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7130D" w14:textId="55AC1DC7" w:rsidR="00046CE5" w:rsidRPr="00D655E5" w:rsidRDefault="00046CE5" w:rsidP="00B85764">
      <w:pPr>
        <w:pStyle w:val="Heading1"/>
      </w:pPr>
      <w:r w:rsidRPr="00D655E5">
        <w:t>Analysis results</w:t>
      </w:r>
    </w:p>
    <w:p w14:paraId="23E1A4F0" w14:textId="7E0CAD28" w:rsidR="00B85764" w:rsidRDefault="00D7261C" w:rsidP="00B85764">
      <w:r>
        <w:t>This section commences by outlining spatial and temporal variance</w:t>
      </w:r>
      <w:r w:rsidR="005F7528">
        <w:t>s</w:t>
      </w:r>
      <w:r>
        <w:t xml:space="preserve"> of </w:t>
      </w:r>
      <w:r w:rsidR="00B72797">
        <w:t>vaccination</w:t>
      </w:r>
      <w:r>
        <w:t xml:space="preserve"> uptake </w:t>
      </w:r>
      <w:r w:rsidR="003909D1">
        <w:t xml:space="preserve">in </w:t>
      </w:r>
      <w:r>
        <w:t xml:space="preserve">England, </w:t>
      </w:r>
      <w:r w:rsidR="00B72797">
        <w:t xml:space="preserve">to </w:t>
      </w:r>
      <w:r w:rsidR="005F7528">
        <w:t>address</w:t>
      </w:r>
      <w:r w:rsidR="003909D1">
        <w:t xml:space="preserve"> </w:t>
      </w:r>
      <w:r w:rsidR="00B72797">
        <w:t xml:space="preserve">how </w:t>
      </w:r>
      <w:r w:rsidR="003909D1">
        <w:t xml:space="preserve">accessibility </w:t>
      </w:r>
      <w:r w:rsidR="00B72797">
        <w:t xml:space="preserve">played a role in spatial variation in vaccination coverage </w:t>
      </w:r>
      <w:r>
        <w:t>in this study</w:t>
      </w:r>
      <w:r w:rsidR="005F7528">
        <w:t>. It</w:t>
      </w:r>
      <w:r>
        <w:t xml:space="preserve"> </w:t>
      </w:r>
      <w:r w:rsidR="00E5510B">
        <w:t>serves</w:t>
      </w:r>
      <w:r w:rsidR="005F7528">
        <w:t xml:space="preserve"> to </w:t>
      </w:r>
      <w:r w:rsidR="00E5510B">
        <w:t>support a spatial regression modelling approach for modelling spatially</w:t>
      </w:r>
      <w:r w:rsidR="005F7528">
        <w:t xml:space="preserve"> varying coefficients </w:t>
      </w:r>
      <w:r w:rsidR="00E5510B">
        <w:t xml:space="preserve">take into account </w:t>
      </w:r>
      <w:r w:rsidR="005F7528">
        <w:t>spatial correlations</w:t>
      </w:r>
      <w:r w:rsidR="00D1484C">
        <w:t xml:space="preserve"> </w:t>
      </w:r>
      <w:r w:rsidR="00E5510B">
        <w:t>in covariates</w:t>
      </w:r>
      <w:r>
        <w:t>.</w:t>
      </w:r>
      <w:r w:rsidR="003909D1">
        <w:t xml:space="preserve"> </w:t>
      </w:r>
      <w:r w:rsidR="00E5510B">
        <w:t>Thereafter</w:t>
      </w:r>
      <w:r w:rsidR="00D1484C">
        <w:t>, model performance and its findings are reported.</w:t>
      </w:r>
      <w:r w:rsidR="00D1484C">
        <w:t xml:space="preserve"> </w:t>
      </w:r>
      <w:r w:rsidR="005F7528">
        <w:fldChar w:fldCharType="begin"/>
      </w:r>
      <w:r w:rsidR="005F7528">
        <w:instrText xml:space="preserve"> REF _Ref91109038 \h </w:instrText>
      </w:r>
      <w:r w:rsidR="005F7528">
        <w:fldChar w:fldCharType="separate"/>
      </w:r>
      <w:r w:rsidR="005F7528" w:rsidRPr="0016070A">
        <w:t>Figure 1</w:t>
      </w:r>
      <w:r w:rsidR="005F7528">
        <w:fldChar w:fldCharType="end"/>
      </w:r>
      <w:r w:rsidR="003909D1">
        <w:t xml:space="preserve"> presents </w:t>
      </w:r>
      <w:r w:rsidR="003909D1">
        <w:t xml:space="preserve">COVID-19 vaccination coverage disparities </w:t>
      </w:r>
      <w:r w:rsidR="003909D1" w:rsidRPr="003909D1">
        <w:t>in England</w:t>
      </w:r>
      <w:r w:rsidR="003909D1" w:rsidRPr="003909D1">
        <w:t xml:space="preserve"> </w:t>
      </w:r>
      <w:r w:rsidR="003909D1">
        <w:t xml:space="preserve">that people aged 25 to 50 received their </w:t>
      </w:r>
      <w:r w:rsidR="003909D1">
        <w:t>1</w:t>
      </w:r>
      <w:r w:rsidR="003909D1" w:rsidRPr="0094663C">
        <w:rPr>
          <w:vertAlign w:val="superscript"/>
        </w:rPr>
        <w:t>st</w:t>
      </w:r>
      <w:r w:rsidR="003909D1">
        <w:t xml:space="preserve"> dose uptake</w:t>
      </w:r>
      <w:r w:rsidR="003909D1">
        <w:t xml:space="preserve"> </w:t>
      </w:r>
      <w:r w:rsidR="006C5E1D">
        <w:t xml:space="preserve">on </w:t>
      </w:r>
      <w:r w:rsidR="003909D1">
        <w:t>24 June 2021</w:t>
      </w:r>
      <w:r w:rsidR="003909D1">
        <w:t xml:space="preserve">. </w:t>
      </w:r>
      <w:r w:rsidR="00E5348B">
        <w:t>The vast majority of MSOAs</w:t>
      </w:r>
      <w:r w:rsidR="00266E80">
        <w:t xml:space="preserve"> </w:t>
      </w:r>
      <w:r w:rsidR="00D655E5">
        <w:t xml:space="preserve">(90.2%) </w:t>
      </w:r>
      <w:r w:rsidR="00266E80">
        <w:t>have an estimated uptake</w:t>
      </w:r>
      <w:r w:rsidR="00D655E5">
        <w:t xml:space="preserve"> above</w:t>
      </w:r>
      <w:r w:rsidR="00266E80">
        <w:t xml:space="preserve"> </w:t>
      </w:r>
      <w:r w:rsidR="00D655E5">
        <w:t xml:space="preserve">than </w:t>
      </w:r>
      <w:r w:rsidR="00266E80">
        <w:t xml:space="preserve">50% reflecting </w:t>
      </w:r>
      <w:r w:rsidR="00E5510B">
        <w:t>the prosperity</w:t>
      </w:r>
      <w:r w:rsidR="00266E80">
        <w:t xml:space="preserve"> of the vaccination roll-out.</w:t>
      </w:r>
      <w:r w:rsidR="00D655E5">
        <w:t xml:space="preserve"> Interestingly, there are lower levels of vaccination uptake in aged 25 to 50 in </w:t>
      </w:r>
      <w:r w:rsidR="00B85764">
        <w:t xml:space="preserve">major cities, particularly Greater London and Birmingham. </w:t>
      </w:r>
      <w:r w:rsidR="00B85764">
        <w:fldChar w:fldCharType="begin"/>
      </w:r>
      <w:r w:rsidR="00B85764">
        <w:instrText xml:space="preserve"> REF _Ref91111325 \h </w:instrText>
      </w:r>
      <w:r w:rsidR="00B85764">
        <w:fldChar w:fldCharType="separate"/>
      </w:r>
      <w:r w:rsidR="00B85764">
        <w:t xml:space="preserve">Figure </w:t>
      </w:r>
      <w:r w:rsidR="00B85764">
        <w:rPr>
          <w:noProof/>
        </w:rPr>
        <w:t>2</w:t>
      </w:r>
      <w:r w:rsidR="00B85764">
        <w:fldChar w:fldCharType="end"/>
      </w:r>
      <w:r w:rsidR="00B85764">
        <w:t xml:space="preserve"> shows the temporal variance of vaccination uptake by age </w:t>
      </w:r>
      <w:r w:rsidR="00B85764" w:rsidRPr="00B85764">
        <w:t>groups</w:t>
      </w:r>
      <w:r w:rsidR="00B85764">
        <w:t xml:space="preserve">. </w:t>
      </w:r>
      <w:r w:rsidR="00D0059D">
        <w:t xml:space="preserve">It is important to recognise (as we noted earlier) that UK vaccination programme and deliver plans will </w:t>
      </w:r>
      <w:r w:rsidR="00117C52">
        <w:t>drive</w:t>
      </w:r>
      <w:r w:rsidR="00D0059D">
        <w:t xml:space="preserve"> geographic differences in vaccin</w:t>
      </w:r>
      <w:r w:rsidR="0067206E">
        <w:t>ation</w:t>
      </w:r>
      <w:r w:rsidR="00D0059D">
        <w:t xml:space="preserve"> coverage, as well </w:t>
      </w:r>
      <w:r w:rsidR="00D0059D" w:rsidRPr="001A03C2">
        <w:t xml:space="preserve">as unequal spatial distribution of </w:t>
      </w:r>
      <w:r w:rsidR="0067206E" w:rsidRPr="001A03C2">
        <w:t xml:space="preserve">vaccine uptake </w:t>
      </w:r>
      <w:r w:rsidR="00C544B7" w:rsidRPr="001A03C2">
        <w:t>in</w:t>
      </w:r>
      <w:r w:rsidR="0067206E" w:rsidRPr="001A03C2">
        <w:t xml:space="preserve"> young adults</w:t>
      </w:r>
      <w:r w:rsidR="00D0059D" w:rsidRPr="001A03C2">
        <w:t>.</w:t>
      </w:r>
    </w:p>
    <w:p w14:paraId="1CCE894D" w14:textId="1B6E12BE" w:rsidR="00057CE5" w:rsidRDefault="00D1484C" w:rsidP="00B85764">
      <w:r>
        <w:t>Examining the spatial and temporal patterning of vaccine uptake</w:t>
      </w:r>
      <w:r w:rsidR="00B85764">
        <w:t xml:space="preserve"> for England</w:t>
      </w:r>
      <w:r>
        <w:t>, two observations stands out.</w:t>
      </w:r>
      <w:r>
        <w:t xml:space="preserve"> Firstly, </w:t>
      </w:r>
      <w:r w:rsidR="00057CE5">
        <w:t>disparities in COVID-19 vaccination coverage was associated with delineation of urban areas and its adjacent neighbourhoods. In other words, t</w:t>
      </w:r>
      <w:r w:rsidR="00057CE5">
        <w:t>here are significant geographic differences in vaccine uptake</w:t>
      </w:r>
      <w:r w:rsidR="00B85764">
        <w:t xml:space="preserve"> for young adults. U</w:t>
      </w:r>
      <w:r w:rsidR="00057CE5">
        <w:t xml:space="preserve">rban centres for those cities in London, Birmingham, and Liverpool is likely to have lower than average while remote areas </w:t>
      </w:r>
      <w:r w:rsidR="00B85764">
        <w:t>have marginal difference between</w:t>
      </w:r>
      <w:r w:rsidR="00D0059D">
        <w:t xml:space="preserve"> the overall</w:t>
      </w:r>
      <w:r w:rsidR="00B85764">
        <w:t xml:space="preserve"> average vaccine uptake in England (</w:t>
      </w:r>
      <w:r w:rsidR="00D0059D">
        <w:t>66.8%).</w:t>
      </w:r>
    </w:p>
    <w:p w14:paraId="6C97AF19" w14:textId="3A760260" w:rsidR="00D1484C" w:rsidRDefault="00D1484C" w:rsidP="00B85764"/>
    <w:p w14:paraId="43F1419C" w14:textId="0A70536A" w:rsidR="00691387" w:rsidRDefault="00691387" w:rsidP="00B85764"/>
    <w:p w14:paraId="72C58758" w14:textId="77777777" w:rsidR="0016070A" w:rsidRDefault="0016070A" w:rsidP="00B85764">
      <w:r>
        <w:rPr>
          <w:noProof/>
        </w:rPr>
        <w:lastRenderedPageBreak/>
        <w:drawing>
          <wp:inline distT="0" distB="0" distL="0" distR="0" wp14:anchorId="4614CBD9" wp14:editId="26C64E94">
            <wp:extent cx="5734050" cy="573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5734050"/>
                    </a:xfrm>
                    <a:prstGeom prst="rect">
                      <a:avLst/>
                    </a:prstGeom>
                    <a:noFill/>
                    <a:ln>
                      <a:noFill/>
                    </a:ln>
                  </pic:spPr>
                </pic:pic>
              </a:graphicData>
            </a:graphic>
          </wp:inline>
        </w:drawing>
      </w:r>
    </w:p>
    <w:p w14:paraId="123CB831" w14:textId="403121C4" w:rsidR="006A3450" w:rsidRDefault="0016070A" w:rsidP="00B85764">
      <w:pPr>
        <w:pStyle w:val="Caption"/>
      </w:pPr>
      <w:bookmarkStart w:id="0" w:name="_Ref91109038"/>
      <w:r w:rsidRPr="0016070A">
        <w:t xml:space="preserve">Figure </w:t>
      </w:r>
      <w:fldSimple w:instr=" SEQ Figure \* ARABIC ">
        <w:r w:rsidR="00057CE5">
          <w:rPr>
            <w:noProof/>
          </w:rPr>
          <w:t>1</w:t>
        </w:r>
      </w:fldSimple>
      <w:bookmarkEnd w:id="0"/>
      <w:r w:rsidR="0094663C">
        <w:t xml:space="preserve">. COVID-19 </w:t>
      </w:r>
      <w:r w:rsidR="006C5E1D">
        <w:t>vaccination coverage</w:t>
      </w:r>
      <w:r w:rsidR="0094663C">
        <w:t xml:space="preserve"> </w:t>
      </w:r>
      <w:r w:rsidR="006C5E1D">
        <w:t xml:space="preserve">on 24 June 2021 </w:t>
      </w:r>
      <w:r w:rsidR="0094663C">
        <w:t>by MSOA level in England.</w:t>
      </w:r>
    </w:p>
    <w:p w14:paraId="37E92BC7" w14:textId="6CA35D6E" w:rsidR="00D71386" w:rsidRDefault="00D71386" w:rsidP="00D71386">
      <w:pPr>
        <w:rPr>
          <w:color w:val="FF0000"/>
        </w:rPr>
      </w:pPr>
      <w:r>
        <w:rPr>
          <w:color w:val="FF0000"/>
        </w:rPr>
        <w:t>Or Below / Above 50% vaccine uptake map?</w:t>
      </w:r>
    </w:p>
    <w:p w14:paraId="52443B1F" w14:textId="77777777" w:rsidR="00D71386" w:rsidRPr="00D71386" w:rsidRDefault="00D71386" w:rsidP="00D71386">
      <w:pPr>
        <w:rPr>
          <w:color w:val="FF0000"/>
        </w:rPr>
      </w:pPr>
    </w:p>
    <w:p w14:paraId="57D7BCBC" w14:textId="77777777" w:rsidR="006A3450" w:rsidRDefault="006A3450" w:rsidP="00B85764"/>
    <w:p w14:paraId="33BA3179" w14:textId="77777777" w:rsidR="00057CE5" w:rsidRDefault="00F42F17" w:rsidP="00B85764">
      <w:r>
        <w:rPr>
          <w:noProof/>
        </w:rPr>
        <w:drawing>
          <wp:inline distT="0" distB="0" distL="0" distR="0" wp14:anchorId="049E8868" wp14:editId="5FECCCB3">
            <wp:extent cx="5734050" cy="2867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4050" cy="2867025"/>
                    </a:xfrm>
                    <a:prstGeom prst="rect">
                      <a:avLst/>
                    </a:prstGeom>
                    <a:noFill/>
                    <a:ln>
                      <a:noFill/>
                    </a:ln>
                  </pic:spPr>
                </pic:pic>
              </a:graphicData>
            </a:graphic>
          </wp:inline>
        </w:drawing>
      </w:r>
    </w:p>
    <w:p w14:paraId="4BA600BB" w14:textId="66410218" w:rsidR="00F42F17" w:rsidRDefault="00057CE5" w:rsidP="00B85764">
      <w:pPr>
        <w:pStyle w:val="Caption"/>
      </w:pPr>
      <w:bookmarkStart w:id="1" w:name="_Ref91111325"/>
      <w:r>
        <w:t xml:space="preserve">Figure </w:t>
      </w:r>
      <w:fldSimple w:instr=" SEQ Figure \* ARABIC ">
        <w:r>
          <w:rPr>
            <w:noProof/>
          </w:rPr>
          <w:t>2</w:t>
        </w:r>
      </w:fldSimple>
      <w:bookmarkEnd w:id="1"/>
      <w:r>
        <w:t xml:space="preserve">. </w:t>
      </w:r>
      <w:r w:rsidR="00B72797">
        <w:t xml:space="preserve">Temporal changes </w:t>
      </w:r>
      <w:r>
        <w:t>in cumulative</w:t>
      </w:r>
      <w:r w:rsidR="00B72797">
        <w:t xml:space="preserve"> vaccination</w:t>
      </w:r>
      <w:r>
        <w:t xml:space="preserve"> </w:t>
      </w:r>
      <w:r w:rsidR="00B72797">
        <w:t xml:space="preserve">uptake of </w:t>
      </w:r>
      <w:r>
        <w:t>1</w:t>
      </w:r>
      <w:r w:rsidRPr="00057CE5">
        <w:rPr>
          <w:vertAlign w:val="superscript"/>
        </w:rPr>
        <w:t>st</w:t>
      </w:r>
      <w:r>
        <w:t xml:space="preserve"> </w:t>
      </w:r>
      <w:r w:rsidR="00B72797">
        <w:t>dose</w:t>
      </w:r>
      <w:r w:rsidR="007C773F">
        <w:t xml:space="preserve">, </w:t>
      </w:r>
      <w:r>
        <w:t>by age groups.</w:t>
      </w:r>
    </w:p>
    <w:p w14:paraId="5478BBD7" w14:textId="77777777" w:rsidR="00F42F17" w:rsidRDefault="00F42F17" w:rsidP="00B85764"/>
    <w:p w14:paraId="53E5D344" w14:textId="602AFB11" w:rsidR="00F42F17" w:rsidRDefault="003C4710" w:rsidP="00B85764">
      <w:r>
        <w:t>W</w:t>
      </w:r>
      <w:r w:rsidR="00AA0755">
        <w:t xml:space="preserve">alk-in </w:t>
      </w:r>
      <w:r>
        <w:t xml:space="preserve">NHS </w:t>
      </w:r>
      <w:r w:rsidR="00AA0755">
        <w:t xml:space="preserve">vaccination </w:t>
      </w:r>
      <w:r>
        <w:t xml:space="preserve">sites have been operated since </w:t>
      </w:r>
      <w:r w:rsidR="00AA0755">
        <w:t>25 June 2021 in England</w:t>
      </w:r>
      <w:r>
        <w:t xml:space="preserve"> with any adults able to turn up and get vaccinated (</w:t>
      </w:r>
      <w:hyperlink r:id="rId8" w:history="1">
        <w:r w:rsidRPr="005266EC">
          <w:rPr>
            <w:rStyle w:val="Hyperlink"/>
          </w:rPr>
          <w:t>https://www.england.nhs.uk/2021/06/nhs-walk-in-vaccination-sites-open-up-in-grab-a-jab-weekend/</w:t>
        </w:r>
      </w:hyperlink>
      <w:r>
        <w:t>).</w:t>
      </w:r>
    </w:p>
    <w:p w14:paraId="6E35256E" w14:textId="77777777" w:rsidR="00AA0755" w:rsidRDefault="00AA0755" w:rsidP="00B85764"/>
    <w:p w14:paraId="36D781D0" w14:textId="00C5CFB7" w:rsidR="00046CE5" w:rsidRPr="0067206E" w:rsidRDefault="00D655E5" w:rsidP="0067206E">
      <w:pPr>
        <w:pStyle w:val="Heading3"/>
      </w:pPr>
      <w:r w:rsidRPr="0067206E">
        <w:t>Model performance</w:t>
      </w:r>
    </w:p>
    <w:p w14:paraId="457F766E" w14:textId="6879C27F" w:rsidR="00A05CB7" w:rsidRPr="00D13A5D" w:rsidRDefault="00A05CB7" w:rsidP="00B85764">
      <w:r w:rsidRPr="00D13A5D">
        <w:t>Table 2</w:t>
      </w:r>
      <w:r w:rsidRPr="00D13A5D">
        <w:t xml:space="preserve"> provides the model fit for the negative binomial regression models. IRR (incidence rate ratios) is the exponential of the coefficient. It denotes the corresponding multiplicative change of influence arising from a one-unit change in the explanatory variable. For instance, share of households in lowest household income quintile at national level, an IRR value of 0.964 in negative binomial regression model controlling for spatial effects, would imply that an explanatory variable is associated with a 3.6% decrease (96.4%) in first dose vaccine uptake for England.</w:t>
      </w:r>
    </w:p>
    <w:p w14:paraId="45EF2557" w14:textId="1FC245BA" w:rsidR="00A05CB7" w:rsidRPr="00D13A5D" w:rsidRDefault="00A05CB7" w:rsidP="00B85764">
      <w:r w:rsidRPr="00D13A5D">
        <w:t>Table 2 also displays</w:t>
      </w:r>
      <w:r w:rsidR="00D13A5D">
        <w:t xml:space="preserve"> whether</w:t>
      </w:r>
      <w:r w:rsidRPr="00D13A5D">
        <w:t xml:space="preserve"> </w:t>
      </w:r>
      <w:r w:rsidR="00D13A5D">
        <w:t>f</w:t>
      </w:r>
      <w:r w:rsidRPr="00D13A5D">
        <w:t xml:space="preserve">actors positively </w:t>
      </w:r>
      <w:r w:rsidR="00D13A5D">
        <w:t xml:space="preserve">or negatively </w:t>
      </w:r>
      <w:r w:rsidRPr="00D13A5D">
        <w:t>influencing vaccine uptake (IRR &gt; 1)</w:t>
      </w:r>
    </w:p>
    <w:p w14:paraId="02784A1C" w14:textId="5B7FC832" w:rsidR="00A05CB7" w:rsidRPr="00D13A5D" w:rsidRDefault="00A05CB7" w:rsidP="0067206E">
      <w:pPr>
        <w:pStyle w:val="ListParagraph"/>
        <w:numPr>
          <w:ilvl w:val="0"/>
          <w:numId w:val="3"/>
        </w:numPr>
      </w:pPr>
      <w:r w:rsidRPr="00D13A5D">
        <w:t>Share of the higher education qualification, lower middle class, part-time workers, median ages of the resident population, number of accessible vaccination centres by public transportation within 60 min, and the average vaccine uptake in adjacent areas (i.e., spatial lag).</w:t>
      </w:r>
    </w:p>
    <w:p w14:paraId="5BBFBCEE" w14:textId="082B5A82" w:rsidR="00A05CB7" w:rsidRPr="00D13A5D" w:rsidRDefault="00A05CB7" w:rsidP="00B85764">
      <w:r w:rsidRPr="00D13A5D">
        <w:t>Factors negatively influencing vaccine uptake (IRR &lt; 1)</w:t>
      </w:r>
    </w:p>
    <w:p w14:paraId="65BFEF78" w14:textId="77777777" w:rsidR="00A05CB7" w:rsidRPr="00D13A5D" w:rsidRDefault="00A05CB7" w:rsidP="0067206E">
      <w:pPr>
        <w:pStyle w:val="ListParagraph"/>
        <w:numPr>
          <w:ilvl w:val="0"/>
          <w:numId w:val="1"/>
        </w:numPr>
      </w:pPr>
      <w:r w:rsidRPr="00D13A5D">
        <w:t>Share of low-income households, household with no car, number of accessible vaccination centres by car (within 45min), and minor ethnic groups.</w:t>
      </w:r>
    </w:p>
    <w:p w14:paraId="06BB104F" w14:textId="77777777" w:rsidR="00D13A5D" w:rsidRDefault="00D13A5D" w:rsidP="00B85764"/>
    <w:p w14:paraId="4C3DFE94" w14:textId="0A40B0D8" w:rsidR="00046CE5" w:rsidRPr="00D13A5D" w:rsidRDefault="00D13A5D" w:rsidP="00B85764">
      <w:r>
        <w:t xml:space="preserve">Additionally, </w:t>
      </w:r>
      <w:r w:rsidR="00A05CB7" w:rsidRPr="00D13A5D">
        <w:t xml:space="preserve">Moran’s I was used to assess the spatial autocorrelation of the NB model’s residual value, and it allows us to investigate a Poisson regression approach for modelling spatial count data (see </w:t>
      </w:r>
      <w:r w:rsidR="00A05CB7" w:rsidRPr="00D13A5D">
        <w:fldChar w:fldCharType="begin"/>
      </w:r>
      <w:r w:rsidR="00A05CB7" w:rsidRPr="00D13A5D">
        <w:instrText xml:space="preserve"> REF _Ref89894575 \h  \* MERGEFORMAT </w:instrText>
      </w:r>
      <w:r w:rsidR="00A05CB7" w:rsidRPr="00D13A5D">
        <w:fldChar w:fldCharType="separate"/>
      </w:r>
      <w:r w:rsidR="00A05CB7" w:rsidRPr="00D13A5D">
        <w:t xml:space="preserve">Table </w:t>
      </w:r>
      <w:r w:rsidR="00A05CB7" w:rsidRPr="00D13A5D">
        <w:rPr>
          <w:noProof/>
        </w:rPr>
        <w:t>1</w:t>
      </w:r>
      <w:r w:rsidR="00A05CB7" w:rsidRPr="00D13A5D">
        <w:fldChar w:fldCharType="end"/>
      </w:r>
      <w:r w:rsidR="00A05CB7" w:rsidRPr="00D13A5D">
        <w:t>).</w:t>
      </w:r>
    </w:p>
    <w:p w14:paraId="3B25EE29" w14:textId="77777777" w:rsidR="0067206E" w:rsidRDefault="0067206E" w:rsidP="0067206E"/>
    <w:p w14:paraId="25C8BDB2" w14:textId="1282B351" w:rsidR="00046CE5" w:rsidRPr="00D13A5D" w:rsidRDefault="00A05CB7" w:rsidP="00B85764">
      <w:pPr>
        <w:pStyle w:val="Heading2"/>
      </w:pPr>
      <w:r w:rsidRPr="00D13A5D">
        <w:t>S</w:t>
      </w:r>
      <w:r w:rsidR="00046CE5" w:rsidRPr="00D13A5D">
        <w:t>patially varying coefficient</w:t>
      </w:r>
      <w:r w:rsidR="00017EB1" w:rsidRPr="00D13A5D">
        <w:t xml:space="preserve"> modelling for vaccine uptake</w:t>
      </w:r>
    </w:p>
    <w:p w14:paraId="2AE6E251" w14:textId="77777777" w:rsidR="00A05CB7" w:rsidRPr="00D13A5D" w:rsidRDefault="00A05CB7" w:rsidP="00B85764">
      <w:pPr>
        <w:pStyle w:val="ListParagraph"/>
        <w:numPr>
          <w:ilvl w:val="0"/>
          <w:numId w:val="2"/>
        </w:numPr>
      </w:pPr>
      <w:r w:rsidRPr="00D13A5D">
        <w:t>In overview, Spatially varying coefficients in covariates explain spatial differences in vaccine uptake for England (</w:t>
      </w:r>
      <w:r w:rsidRPr="00D13A5D">
        <w:fldChar w:fldCharType="begin"/>
      </w:r>
      <w:r w:rsidRPr="00D13A5D">
        <w:instrText xml:space="preserve"> REF _Ref89261718 \h  \* MERGEFORMAT </w:instrText>
      </w:r>
      <w:r w:rsidRPr="00D13A5D">
        <w:fldChar w:fldCharType="separate"/>
      </w:r>
      <w:r w:rsidRPr="00D13A5D">
        <w:t xml:space="preserve">Table </w:t>
      </w:r>
      <w:r w:rsidRPr="00D13A5D">
        <w:rPr>
          <w:noProof/>
        </w:rPr>
        <w:t>3</w:t>
      </w:r>
      <w:r w:rsidRPr="00D13A5D">
        <w:fldChar w:fldCharType="end"/>
      </w:r>
      <w:r w:rsidRPr="00D13A5D">
        <w:t>).</w:t>
      </w:r>
    </w:p>
    <w:p w14:paraId="76851A69" w14:textId="77777777" w:rsidR="00A05CB7" w:rsidRPr="00D13A5D" w:rsidRDefault="00A05CB7" w:rsidP="00B85764">
      <w:pPr>
        <w:pStyle w:val="ListParagraph"/>
        <w:numPr>
          <w:ilvl w:val="1"/>
          <w:numId w:val="1"/>
        </w:numPr>
      </w:pPr>
      <w:r w:rsidRPr="00D13A5D">
        <w:fldChar w:fldCharType="begin"/>
      </w:r>
      <w:r w:rsidRPr="00D13A5D">
        <w:instrText xml:space="preserve"> REF _Ref88497998 \h  \* MERGEFORMAT </w:instrText>
      </w:r>
      <w:r w:rsidRPr="00D13A5D">
        <w:fldChar w:fldCharType="separate"/>
      </w:r>
      <w:r w:rsidRPr="00D13A5D">
        <w:t xml:space="preserve">Figure </w:t>
      </w:r>
      <w:r w:rsidRPr="00D13A5D">
        <w:rPr>
          <w:noProof/>
        </w:rPr>
        <w:t>2</w:t>
      </w:r>
      <w:r w:rsidRPr="00D13A5D">
        <w:fldChar w:fldCharType="end"/>
      </w:r>
      <w:r w:rsidRPr="00D13A5D">
        <w:t xml:space="preserve"> illustrates the spatial distribution of generated clusters using the SFCR model.</w:t>
      </w:r>
    </w:p>
    <w:p w14:paraId="6B5317F1" w14:textId="77777777" w:rsidR="00A05CB7" w:rsidRPr="00D13A5D" w:rsidRDefault="00A05CB7" w:rsidP="00B85764">
      <w:pPr>
        <w:pStyle w:val="ListParagraph"/>
        <w:numPr>
          <w:ilvl w:val="1"/>
          <w:numId w:val="1"/>
        </w:numPr>
        <w:rPr>
          <w:b/>
          <w:bCs/>
        </w:rPr>
      </w:pPr>
      <w:r w:rsidRPr="00D13A5D">
        <w:fldChar w:fldCharType="begin"/>
      </w:r>
      <w:r w:rsidRPr="00D13A5D">
        <w:instrText xml:space="preserve"> REF _Ref90856331 \h  \* MERGEFORMAT </w:instrText>
      </w:r>
      <w:r w:rsidRPr="00D13A5D">
        <w:fldChar w:fldCharType="separate"/>
      </w:r>
      <w:r w:rsidRPr="00D13A5D">
        <w:t xml:space="preserve">Table </w:t>
      </w:r>
      <w:r w:rsidRPr="00D13A5D">
        <w:rPr>
          <w:noProof/>
        </w:rPr>
        <w:t>4</w:t>
      </w:r>
      <w:r w:rsidRPr="00D13A5D">
        <w:fldChar w:fldCharType="end"/>
      </w:r>
      <w:r w:rsidRPr="00D13A5D">
        <w:t xml:space="preserve"> described the characteristics contributing to vaccination uptake across England, and articulated inequalities in access to vaccines by clusters.</w:t>
      </w:r>
    </w:p>
    <w:p w14:paraId="6DCA64AB" w14:textId="77777777" w:rsidR="00A05CB7" w:rsidRPr="00D13A5D" w:rsidRDefault="00A05CB7" w:rsidP="00B85764">
      <w:pPr>
        <w:pStyle w:val="ListParagraph"/>
        <w:numPr>
          <w:ilvl w:val="0"/>
          <w:numId w:val="1"/>
        </w:numPr>
      </w:pPr>
      <w:r w:rsidRPr="00D13A5D">
        <w:t>Intermediate factors based on SFCR model estimation results, would have different influences on vaccine uptake by clusters (</w:t>
      </w:r>
      <w:r w:rsidRPr="00D13A5D">
        <w:fldChar w:fldCharType="begin"/>
      </w:r>
      <w:r w:rsidRPr="00D13A5D">
        <w:instrText xml:space="preserve"> REF _Ref90857090 \h  \* MERGEFORMAT </w:instrText>
      </w:r>
      <w:r w:rsidRPr="00D13A5D">
        <w:fldChar w:fldCharType="separate"/>
      </w:r>
      <w:r w:rsidRPr="00D13A5D">
        <w:t xml:space="preserve">Table </w:t>
      </w:r>
      <w:r w:rsidRPr="00D13A5D">
        <w:rPr>
          <w:noProof/>
        </w:rPr>
        <w:t>3</w:t>
      </w:r>
      <w:r w:rsidRPr="00D13A5D">
        <w:fldChar w:fldCharType="end"/>
      </w:r>
      <w:r w:rsidRPr="00D13A5D">
        <w:t>)</w:t>
      </w:r>
    </w:p>
    <w:p w14:paraId="0884F886" w14:textId="77777777" w:rsidR="00A05CB7" w:rsidRPr="00D13A5D" w:rsidRDefault="00A05CB7" w:rsidP="00B85764">
      <w:pPr>
        <w:pStyle w:val="ListParagraph"/>
        <w:numPr>
          <w:ilvl w:val="1"/>
          <w:numId w:val="1"/>
        </w:numPr>
      </w:pPr>
      <w:r w:rsidRPr="00D13A5D">
        <w:t>Consistent variables: Share of low-income, households with no car, part-time workers, and median ages of the resident population.</w:t>
      </w:r>
    </w:p>
    <w:p w14:paraId="703EDEA7" w14:textId="77777777" w:rsidR="00A05CB7" w:rsidRPr="00D13A5D" w:rsidRDefault="00A05CB7" w:rsidP="00B85764">
      <w:pPr>
        <w:pStyle w:val="ListParagraph"/>
        <w:numPr>
          <w:ilvl w:val="1"/>
          <w:numId w:val="1"/>
        </w:numPr>
        <w:rPr>
          <w:b/>
          <w:bCs/>
        </w:rPr>
      </w:pPr>
      <w:r w:rsidRPr="00D13A5D">
        <w:t>Intermediate variables: Share of the lower middle class, number of accessible vaccination centres by car (within 45 min) and public transportation (within 60 min). Subsequently, share of part-time workers and ethnic minority groups in a few groups.</w:t>
      </w:r>
    </w:p>
    <w:p w14:paraId="36F0B2CA" w14:textId="77777777" w:rsidR="00A05CB7" w:rsidRPr="00D13A5D" w:rsidRDefault="00A05CB7" w:rsidP="00B85764">
      <w:pPr>
        <w:pStyle w:val="ListParagraph"/>
        <w:numPr>
          <w:ilvl w:val="0"/>
          <w:numId w:val="1"/>
        </w:numPr>
      </w:pPr>
      <w:r w:rsidRPr="00D13A5D">
        <w:t>Inequalities in access to COVID-19 vaccines for England – categories (</w:t>
      </w:r>
      <w:r w:rsidRPr="00D13A5D">
        <w:fldChar w:fldCharType="begin"/>
      </w:r>
      <w:r w:rsidRPr="00D13A5D">
        <w:instrText xml:space="preserve"> REF _Ref90856331 \h  \* MERGEFORMAT </w:instrText>
      </w:r>
      <w:r w:rsidRPr="00D13A5D">
        <w:fldChar w:fldCharType="separate"/>
      </w:r>
      <w:r w:rsidRPr="00D13A5D">
        <w:t xml:space="preserve">Table </w:t>
      </w:r>
      <w:r w:rsidRPr="00D13A5D">
        <w:rPr>
          <w:noProof/>
        </w:rPr>
        <w:t>4</w:t>
      </w:r>
      <w:r w:rsidRPr="00D13A5D">
        <w:fldChar w:fldCharType="end"/>
      </w:r>
      <w:r w:rsidRPr="00D13A5D">
        <w:t>)</w:t>
      </w:r>
    </w:p>
    <w:p w14:paraId="4B07CE9E" w14:textId="77777777" w:rsidR="00A05CB7" w:rsidRPr="00D13A5D" w:rsidRDefault="00A05CB7" w:rsidP="00B85764">
      <w:pPr>
        <w:pStyle w:val="ListParagraph"/>
        <w:numPr>
          <w:ilvl w:val="1"/>
          <w:numId w:val="1"/>
        </w:numPr>
      </w:pPr>
      <w:r w:rsidRPr="00D13A5D">
        <w:t>Outstanding accessibility (to vaccination centres) but below average vaccine uptake in G3 (London) and G7 (West County): those areas were shown to have above-average accessibility but had lower uptake.</w:t>
      </w:r>
    </w:p>
    <w:p w14:paraId="058E5812" w14:textId="77777777" w:rsidR="00A05CB7" w:rsidRPr="00D13A5D" w:rsidRDefault="00A05CB7" w:rsidP="00B85764">
      <w:pPr>
        <w:pStyle w:val="ListParagraph"/>
        <w:numPr>
          <w:ilvl w:val="1"/>
          <w:numId w:val="1"/>
        </w:numPr>
      </w:pPr>
      <w:r w:rsidRPr="00D13A5D">
        <w:t>Poorer accessibility to vaccination centres, but above average uptake in G1, G5, and G6: excess mortality was observed in the first wave of the pandemic in early 2020.</w:t>
      </w:r>
    </w:p>
    <w:p w14:paraId="40D567C1" w14:textId="77777777" w:rsidR="00A05CB7" w:rsidRPr="00D13A5D" w:rsidRDefault="00A05CB7" w:rsidP="00B85764">
      <w:pPr>
        <w:pStyle w:val="ListParagraph"/>
        <w:numPr>
          <w:ilvl w:val="1"/>
          <w:numId w:val="1"/>
        </w:numPr>
      </w:pPr>
      <w:r w:rsidRPr="00D13A5D">
        <w:t>Lower than average accessibility will likely lead to poor vaccine uptake in G2 and G4.</w:t>
      </w:r>
    </w:p>
    <w:p w14:paraId="55FA4050" w14:textId="77777777" w:rsidR="00A05CB7" w:rsidRPr="00D13A5D" w:rsidRDefault="00A05CB7" w:rsidP="00B85764">
      <w:pPr>
        <w:pStyle w:val="ListParagraph"/>
        <w:numPr>
          <w:ilvl w:val="2"/>
          <w:numId w:val="1"/>
        </w:numPr>
      </w:pPr>
      <w:r w:rsidRPr="00D13A5D">
        <w:t>Poor access to vaccination centres served as access barriers that may influence vaccine uptake.</w:t>
      </w:r>
    </w:p>
    <w:p w14:paraId="7023015E" w14:textId="6F750BDD" w:rsidR="00017EB1" w:rsidRPr="00D13A5D" w:rsidRDefault="00017EB1" w:rsidP="00B85764"/>
    <w:p w14:paraId="7EB90C8C" w14:textId="77777777" w:rsidR="00017EB1" w:rsidRPr="00D13A5D" w:rsidRDefault="00017EB1" w:rsidP="00B85764"/>
    <w:p w14:paraId="35015681" w14:textId="77777777" w:rsidR="00046CE5" w:rsidRPr="00D13A5D" w:rsidRDefault="00046CE5" w:rsidP="00B85764"/>
    <w:p w14:paraId="380098F5" w14:textId="77777777" w:rsidR="00046CE5" w:rsidRPr="00D13A5D" w:rsidRDefault="00046CE5" w:rsidP="00B85764"/>
    <w:sectPr w:rsidR="00046CE5" w:rsidRPr="00D13A5D" w:rsidSect="00F12DD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794A"/>
    <w:multiLevelType w:val="hybridMultilevel"/>
    <w:tmpl w:val="B942A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0113D6"/>
    <w:multiLevelType w:val="hybridMultilevel"/>
    <w:tmpl w:val="560A3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F12DAC"/>
    <w:multiLevelType w:val="hybridMultilevel"/>
    <w:tmpl w:val="BADACA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CE5"/>
    <w:rsid w:val="00017EB1"/>
    <w:rsid w:val="00046CE5"/>
    <w:rsid w:val="00057CE5"/>
    <w:rsid w:val="000B0332"/>
    <w:rsid w:val="00117C52"/>
    <w:rsid w:val="0016070A"/>
    <w:rsid w:val="001A03C2"/>
    <w:rsid w:val="00237B29"/>
    <w:rsid w:val="00266E80"/>
    <w:rsid w:val="003909D1"/>
    <w:rsid w:val="003C4710"/>
    <w:rsid w:val="00426605"/>
    <w:rsid w:val="005F7528"/>
    <w:rsid w:val="0067206E"/>
    <w:rsid w:val="00691387"/>
    <w:rsid w:val="006A3450"/>
    <w:rsid w:val="006C5E1D"/>
    <w:rsid w:val="007C773F"/>
    <w:rsid w:val="0094296F"/>
    <w:rsid w:val="0094663C"/>
    <w:rsid w:val="00A05CB7"/>
    <w:rsid w:val="00AA0755"/>
    <w:rsid w:val="00B72797"/>
    <w:rsid w:val="00B85764"/>
    <w:rsid w:val="00C26D2A"/>
    <w:rsid w:val="00C544B7"/>
    <w:rsid w:val="00D0059D"/>
    <w:rsid w:val="00D13A5D"/>
    <w:rsid w:val="00D1484C"/>
    <w:rsid w:val="00D655E5"/>
    <w:rsid w:val="00D71386"/>
    <w:rsid w:val="00D713D7"/>
    <w:rsid w:val="00D7261C"/>
    <w:rsid w:val="00E02AAB"/>
    <w:rsid w:val="00E336FF"/>
    <w:rsid w:val="00E5348B"/>
    <w:rsid w:val="00E5510B"/>
    <w:rsid w:val="00E85539"/>
    <w:rsid w:val="00F12DDA"/>
    <w:rsid w:val="00F42F1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7DA7C"/>
  <w15:chartTrackingRefBased/>
  <w15:docId w15:val="{F619D39F-DA8A-41C6-AEC3-FEA45D00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764"/>
    <w:pPr>
      <w:widowControl w:val="0"/>
      <w:wordWrap w:val="0"/>
      <w:autoSpaceDE w:val="0"/>
      <w:autoSpaceDN w:val="0"/>
      <w:spacing w:after="240" w:line="276" w:lineRule="auto"/>
    </w:pPr>
    <w:rPr>
      <w:rFonts w:ascii="Calibri" w:hAnsi="Calibri" w:cs="Calibri"/>
    </w:rPr>
  </w:style>
  <w:style w:type="paragraph" w:styleId="Heading1">
    <w:name w:val="heading 1"/>
    <w:basedOn w:val="Normal"/>
    <w:next w:val="Normal"/>
    <w:link w:val="Heading1Char"/>
    <w:uiPriority w:val="9"/>
    <w:qFormat/>
    <w:rsid w:val="00D655E5"/>
    <w:pPr>
      <w:keepNext/>
      <w:keepLines/>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16070A"/>
    <w:pPr>
      <w:ind w:left="360" w:hanging="360"/>
      <w:outlineLvl w:val="1"/>
    </w:pPr>
    <w:rPr>
      <w:b/>
      <w:bCs/>
      <w:sz w:val="28"/>
      <w:szCs w:val="28"/>
    </w:rPr>
  </w:style>
  <w:style w:type="paragraph" w:styleId="Heading3">
    <w:name w:val="heading 3"/>
    <w:basedOn w:val="Normal"/>
    <w:next w:val="Normal"/>
    <w:link w:val="Heading3Char"/>
    <w:uiPriority w:val="9"/>
    <w:unhideWhenUsed/>
    <w:qFormat/>
    <w:rsid w:val="0067206E"/>
    <w:p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070A"/>
    <w:rPr>
      <w:rFonts w:ascii="Calibri" w:hAnsi="Calibri" w:cs="Calibri"/>
      <w:b/>
      <w:bCs/>
      <w:sz w:val="28"/>
      <w:szCs w:val="28"/>
    </w:rPr>
  </w:style>
  <w:style w:type="paragraph" w:styleId="ListParagraph">
    <w:name w:val="List Paragraph"/>
    <w:basedOn w:val="Normal"/>
    <w:uiPriority w:val="34"/>
    <w:qFormat/>
    <w:rsid w:val="00046CE5"/>
    <w:pPr>
      <w:spacing w:after="0"/>
      <w:ind w:left="720"/>
      <w:contextualSpacing/>
    </w:pPr>
  </w:style>
  <w:style w:type="paragraph" w:styleId="Date">
    <w:name w:val="Date"/>
    <w:basedOn w:val="Normal"/>
    <w:next w:val="Normal"/>
    <w:link w:val="DateChar"/>
    <w:uiPriority w:val="99"/>
    <w:semiHidden/>
    <w:unhideWhenUsed/>
    <w:rsid w:val="00691387"/>
  </w:style>
  <w:style w:type="character" w:customStyle="1" w:styleId="DateChar">
    <w:name w:val="Date Char"/>
    <w:basedOn w:val="DefaultParagraphFont"/>
    <w:link w:val="Date"/>
    <w:uiPriority w:val="99"/>
    <w:semiHidden/>
    <w:rsid w:val="00691387"/>
    <w:rPr>
      <w:rFonts w:ascii="Calibri" w:hAnsi="Calibri" w:cs="Calibri"/>
    </w:rPr>
  </w:style>
  <w:style w:type="paragraph" w:styleId="Caption">
    <w:name w:val="caption"/>
    <w:basedOn w:val="Normal"/>
    <w:next w:val="Normal"/>
    <w:uiPriority w:val="35"/>
    <w:unhideWhenUsed/>
    <w:qFormat/>
    <w:rsid w:val="0016070A"/>
    <w:pPr>
      <w:spacing w:after="200" w:line="240" w:lineRule="auto"/>
    </w:pPr>
    <w:rPr>
      <w:b/>
      <w:bCs/>
      <w:sz w:val="20"/>
      <w:szCs w:val="20"/>
    </w:rPr>
  </w:style>
  <w:style w:type="character" w:customStyle="1" w:styleId="Heading3Char">
    <w:name w:val="Heading 3 Char"/>
    <w:basedOn w:val="DefaultParagraphFont"/>
    <w:link w:val="Heading3"/>
    <w:uiPriority w:val="9"/>
    <w:rsid w:val="0067206E"/>
    <w:rPr>
      <w:rFonts w:ascii="Calibri" w:hAnsi="Calibri" w:cs="Calibri"/>
      <w:b/>
      <w:bCs/>
      <w:sz w:val="28"/>
      <w:szCs w:val="28"/>
    </w:rPr>
  </w:style>
  <w:style w:type="character" w:customStyle="1" w:styleId="Heading1Char">
    <w:name w:val="Heading 1 Char"/>
    <w:basedOn w:val="DefaultParagraphFont"/>
    <w:link w:val="Heading1"/>
    <w:uiPriority w:val="9"/>
    <w:rsid w:val="00D655E5"/>
    <w:rPr>
      <w:rFonts w:ascii="Calibri" w:eastAsiaTheme="majorEastAsia" w:hAnsi="Calibri" w:cs="Calibri"/>
      <w:b/>
      <w:bCs/>
      <w:sz w:val="32"/>
      <w:szCs w:val="32"/>
    </w:rPr>
  </w:style>
  <w:style w:type="character" w:styleId="Hyperlink">
    <w:name w:val="Hyperlink"/>
    <w:basedOn w:val="DefaultParagraphFont"/>
    <w:uiPriority w:val="99"/>
    <w:unhideWhenUsed/>
    <w:rsid w:val="003C4710"/>
    <w:rPr>
      <w:color w:val="0563C1" w:themeColor="hyperlink"/>
      <w:u w:val="single"/>
    </w:rPr>
  </w:style>
  <w:style w:type="character" w:styleId="UnresolvedMention">
    <w:name w:val="Unresolved Mention"/>
    <w:basedOn w:val="DefaultParagraphFont"/>
    <w:uiPriority w:val="99"/>
    <w:semiHidden/>
    <w:unhideWhenUsed/>
    <w:rsid w:val="003C4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83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land.nhs.uk/2021/06/nhs-walk-in-vaccination-sites-open-up-in-grab-a-jab-weekend/"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075D1-A83F-46BB-8349-24BA9064F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4</Pages>
  <Words>832</Words>
  <Characters>4749</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Analysis results</vt:lpstr>
      <vt:lpstr>        Model performance</vt:lpstr>
      <vt:lpstr>    Spatially varying coefficient modelling for vaccine uptake</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 Do Lee</dc:creator>
  <cp:keywords/>
  <dc:description/>
  <cp:lastModifiedBy>Won Do Lee</cp:lastModifiedBy>
  <cp:revision>7</cp:revision>
  <dcterms:created xsi:type="dcterms:W3CDTF">2021-12-22T04:18:00Z</dcterms:created>
  <dcterms:modified xsi:type="dcterms:W3CDTF">2021-12-22T15:37:00Z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http://www.zotero.org/styles/bmj-open</vt:lpwstr>
  </property>
  <property fmtid="{D5CDD505-2E9C-101B-9397-08002B2CF9AE}" pid="5" name="Mendeley Recent Style Name 1_1">
    <vt:lpwstr>BMJ Open</vt:lpwstr>
  </property>
  <property fmtid="{D5CDD505-2E9C-101B-9397-08002B2CF9AE}" pid="6" name="Mendeley Recent Style Id 2_1">
    <vt:lpwstr>http://www.zotero.org/styles/health-and-place</vt:lpwstr>
  </property>
  <property fmtid="{D5CDD505-2E9C-101B-9397-08002B2CF9AE}" pid="7" name="Mendeley Recent Style Name 2_1">
    <vt:lpwstr>Health and Place</vt:lpwstr>
  </property>
  <property fmtid="{D5CDD505-2E9C-101B-9397-08002B2CF9AE}" pid="8" name="Mendeley Recent Style Id 3_1">
    <vt:lpwstr>http://www.zotero.org/styles/journal-of-the-royal-society-interface</vt:lpwstr>
  </property>
  <property fmtid="{D5CDD505-2E9C-101B-9397-08002B2CF9AE}" pid="9" name="Mendeley Recent Style Name 3_1">
    <vt:lpwstr>Journal of the Royal Society Interface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http://www.zotero.org/styles/royal-society-open-science</vt:lpwstr>
  </property>
  <property fmtid="{D5CDD505-2E9C-101B-9397-08002B2CF9AE}" pid="15" name="Mendeley Recent Style Name 6_1">
    <vt:lpwstr>Royal Society Open Science</vt:lpwstr>
  </property>
  <property fmtid="{D5CDD505-2E9C-101B-9397-08002B2CF9AE}" pid="16" name="Mendeley Recent Style Id 7_1">
    <vt:lpwstr>http://www.zotero.org/styles/social-science-and-medicine</vt:lpwstr>
  </property>
  <property fmtid="{D5CDD505-2E9C-101B-9397-08002B2CF9AE}" pid="17" name="Mendeley Recent Style Name 7_1">
    <vt:lpwstr>Social Science &amp; Medicine</vt:lpwstr>
  </property>
  <property fmtid="{D5CDD505-2E9C-101B-9397-08002B2CF9AE}" pid="18" name="Mendeley Recent Style Id 8_1">
    <vt:lpwstr>http://www.zotero.org/styles/sustainable-cities-and-society</vt:lpwstr>
  </property>
  <property fmtid="{D5CDD505-2E9C-101B-9397-08002B2CF9AE}" pid="19" name="Mendeley Recent Style Name 8_1">
    <vt:lpwstr>Sustainable Cities and Society</vt:lpwstr>
  </property>
  <property fmtid="{D5CDD505-2E9C-101B-9397-08002B2CF9AE}" pid="20" name="Mendeley Recent Style Id 9_1">
    <vt:lpwstr>http://www.zotero.org/styles/transportation-research-part-d</vt:lpwstr>
  </property>
  <property fmtid="{D5CDD505-2E9C-101B-9397-08002B2CF9AE}" pid="21" name="Mendeley Recent Style Name 9_1">
    <vt:lpwstr>Transportation Research Part D</vt:lpwstr>
  </property>
</Properties>
</file>