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7035" w14:textId="4A2359F0" w:rsidR="00F269E2" w:rsidRPr="00026576" w:rsidRDefault="00F269E2" w:rsidP="00961B7F">
      <w:pPr>
        <w:pStyle w:val="Title"/>
        <w:spacing w:after="0"/>
      </w:pPr>
      <w:r w:rsidRPr="00026576">
        <w:t>Does accessibility to vaccination centres influenc</w:t>
      </w:r>
      <w:r w:rsidR="00AD1013" w:rsidRPr="00026576">
        <w:t>e</w:t>
      </w:r>
      <w:r w:rsidRPr="00026576">
        <w:t xml:space="preserve"> vaccine uptake</w:t>
      </w:r>
      <w:commentRangeStart w:id="0"/>
      <w:r w:rsidRPr="00026576">
        <w:t>?</w:t>
      </w:r>
      <w:r w:rsidR="00827D2D" w:rsidRPr="00026576">
        <w:rPr>
          <w:rStyle w:val="FootnoteReference"/>
        </w:rPr>
        <w:footnoteReference w:id="1"/>
      </w:r>
      <w:commentRangeEnd w:id="0"/>
      <w:r w:rsidR="00827D2D" w:rsidRPr="00026576">
        <w:rPr>
          <w:rStyle w:val="CommentReference"/>
          <w:b w:val="0"/>
          <w:bCs w:val="0"/>
        </w:rPr>
        <w:commentReference w:id="0"/>
      </w:r>
    </w:p>
    <w:p w14:paraId="493E3B28" w14:textId="77777777" w:rsidR="00827D2D" w:rsidRPr="00026576" w:rsidRDefault="00827D2D" w:rsidP="00961B7F">
      <w:pPr>
        <w:spacing w:line="276" w:lineRule="auto"/>
        <w:rPr>
          <w:rFonts w:ascii="Calibri" w:hAnsi="Calibri" w:cs="Calibri"/>
        </w:rPr>
      </w:pPr>
    </w:p>
    <w:p w14:paraId="73AC73B6" w14:textId="03DA2766" w:rsidR="00827D2D" w:rsidRPr="00026576" w:rsidRDefault="00827D2D" w:rsidP="00961B7F">
      <w:pPr>
        <w:pStyle w:val="Heading1"/>
        <w:spacing w:after="0"/>
      </w:pPr>
      <w:r w:rsidRPr="00026576">
        <w:t>Authors</w:t>
      </w:r>
    </w:p>
    <w:p w14:paraId="0E29EE92" w14:textId="5F882793" w:rsidR="00827D2D" w:rsidRPr="00026576" w:rsidRDefault="00827D2D" w:rsidP="00961B7F">
      <w:pPr>
        <w:spacing w:after="0" w:line="276" w:lineRule="auto"/>
        <w:rPr>
          <w:rFonts w:ascii="Calibri" w:hAnsi="Calibri" w:cs="Calibri"/>
        </w:rPr>
      </w:pPr>
      <w:r w:rsidRPr="00026576">
        <w:rPr>
          <w:rFonts w:ascii="Calibri" w:hAnsi="Calibri" w:cs="Calibri"/>
        </w:rPr>
        <w:t>Won Do Lee</w:t>
      </w:r>
      <w:r w:rsidRPr="00026576">
        <w:rPr>
          <w:rStyle w:val="FootnoteReference"/>
          <w:rFonts w:ascii="Calibri" w:hAnsi="Calibri" w:cs="Calibri"/>
        </w:rPr>
        <w:footnoteReference w:id="2"/>
      </w:r>
      <w:r w:rsidRPr="00026576">
        <w:rPr>
          <w:rFonts w:ascii="Calibri" w:hAnsi="Calibri" w:cs="Calibri"/>
        </w:rPr>
        <w:t xml:space="preserve"> (</w:t>
      </w:r>
      <w:hyperlink r:id="rId12" w:history="1">
        <w:r w:rsidRPr="00026576">
          <w:rPr>
            <w:rStyle w:val="Hyperlink"/>
            <w:rFonts w:ascii="Calibri" w:hAnsi="Calibri" w:cs="Calibri"/>
          </w:rPr>
          <w:t>wondo.lee@ouce.ox.ac.uk</w:t>
        </w:r>
      </w:hyperlink>
      <w:r w:rsidRPr="00026576">
        <w:rPr>
          <w:rFonts w:ascii="Calibri" w:hAnsi="Calibri" w:cs="Calibri"/>
        </w:rPr>
        <w:t>), Hannah Budnitz</w:t>
      </w:r>
      <w:r w:rsidRPr="00026576">
        <w:rPr>
          <w:rFonts w:ascii="Calibri" w:hAnsi="Calibri" w:cs="Calibri"/>
          <w:vertAlign w:val="superscript"/>
        </w:rPr>
        <w:t>2</w:t>
      </w:r>
      <w:r w:rsidRPr="00026576">
        <w:rPr>
          <w:rFonts w:ascii="Calibri" w:hAnsi="Calibri" w:cs="Calibri"/>
        </w:rPr>
        <w:t>, Gordon Stokes</w:t>
      </w:r>
      <w:r w:rsidRPr="00026576">
        <w:rPr>
          <w:rFonts w:ascii="Calibri" w:hAnsi="Calibri" w:cs="Calibri"/>
          <w:vertAlign w:val="superscript"/>
        </w:rPr>
        <w:t>2</w:t>
      </w:r>
      <w:r w:rsidRPr="00026576">
        <w:rPr>
          <w:rFonts w:ascii="Calibri" w:hAnsi="Calibri" w:cs="Calibri"/>
        </w:rPr>
        <w:t>, and Tim Schwanen</w:t>
      </w:r>
      <w:r w:rsidRPr="00026576">
        <w:rPr>
          <w:rFonts w:ascii="Calibri" w:hAnsi="Calibri" w:cs="Calibri"/>
          <w:vertAlign w:val="superscript"/>
        </w:rPr>
        <w:t>2</w:t>
      </w:r>
      <w:r w:rsidRPr="00026576">
        <w:rPr>
          <w:rFonts w:ascii="Calibri" w:hAnsi="Calibri" w:cs="Calibri"/>
        </w:rPr>
        <w:t>.</w:t>
      </w:r>
    </w:p>
    <w:p w14:paraId="5FABBFBB" w14:textId="77777777" w:rsidR="00827D2D" w:rsidRPr="00026576" w:rsidRDefault="00827D2D" w:rsidP="00961B7F">
      <w:pPr>
        <w:spacing w:after="0" w:line="276" w:lineRule="auto"/>
        <w:rPr>
          <w:rFonts w:ascii="Calibri" w:hAnsi="Calibri" w:cs="Calibri"/>
        </w:rPr>
      </w:pPr>
    </w:p>
    <w:p w14:paraId="1AEA36DC" w14:textId="16BA5BE4" w:rsidR="00F269E2" w:rsidRPr="00026576" w:rsidRDefault="00F269E2" w:rsidP="00961B7F">
      <w:pPr>
        <w:pStyle w:val="Heading1"/>
        <w:spacing w:after="0"/>
      </w:pPr>
      <w:r w:rsidRPr="00026576">
        <w:t>Abstracts</w:t>
      </w:r>
    </w:p>
    <w:p w14:paraId="5380FB55" w14:textId="7D8F0EB7" w:rsidR="00907381" w:rsidRPr="00026576" w:rsidRDefault="00907381" w:rsidP="00961B7F">
      <w:pPr>
        <w:spacing w:line="276" w:lineRule="auto"/>
        <w:rPr>
          <w:rFonts w:ascii="Calibri" w:hAnsi="Calibri" w:cs="Calibri"/>
        </w:rPr>
      </w:pPr>
      <w:r w:rsidRPr="00026576">
        <w:rPr>
          <w:rFonts w:ascii="Calibri" w:hAnsi="Calibri" w:cs="Calibri"/>
        </w:rPr>
        <w:t>UK government</w:t>
      </w:r>
      <w:r w:rsidR="00531D3C" w:rsidRPr="00026576">
        <w:rPr>
          <w:rFonts w:ascii="Calibri" w:hAnsi="Calibri" w:cs="Calibri"/>
        </w:rPr>
        <w:t xml:space="preserve">’s vaccination programme </w:t>
      </w:r>
      <w:r w:rsidR="007928FB" w:rsidRPr="00026576">
        <w:rPr>
          <w:rFonts w:ascii="Calibri" w:hAnsi="Calibri" w:cs="Calibri"/>
        </w:rPr>
        <w:t>outlined</w:t>
      </w:r>
      <w:r w:rsidRPr="00026576">
        <w:rPr>
          <w:rFonts w:ascii="Calibri" w:hAnsi="Calibri" w:cs="Calibri"/>
        </w:rPr>
        <w:t xml:space="preserve"> everyone in </w:t>
      </w:r>
      <w:r w:rsidR="00AD1013" w:rsidRPr="00026576">
        <w:rPr>
          <w:rFonts w:ascii="Calibri" w:hAnsi="Calibri" w:cs="Calibri"/>
        </w:rPr>
        <w:t xml:space="preserve">the </w:t>
      </w:r>
      <w:r w:rsidRPr="00026576">
        <w:rPr>
          <w:rFonts w:ascii="Calibri" w:hAnsi="Calibri" w:cs="Calibri"/>
        </w:rPr>
        <w:t xml:space="preserve">UK to be within </w:t>
      </w:r>
      <w:r w:rsidRPr="00026576">
        <w:rPr>
          <w:rFonts w:ascii="Calibri" w:hAnsi="Calibri" w:cs="Calibri"/>
          <w:color w:val="FF0000"/>
        </w:rPr>
        <w:t>10 miles of nearest vaccination centres</w:t>
      </w:r>
      <w:r w:rsidR="00531D3C" w:rsidRPr="00026576">
        <w:rPr>
          <w:rFonts w:ascii="Calibri" w:hAnsi="Calibri" w:cs="Calibri"/>
        </w:rPr>
        <w:t xml:space="preserve">, and NHS England will be asked to go to a local vaccination centre to </w:t>
      </w:r>
      <w:r w:rsidR="00531D3C" w:rsidRPr="00026576">
        <w:rPr>
          <w:rFonts w:ascii="Calibri" w:hAnsi="Calibri" w:cs="Calibri"/>
          <w:color w:val="FF0000"/>
        </w:rPr>
        <w:t>drive up to 45 minutes each way</w:t>
      </w:r>
      <w:r w:rsidR="00531D3C" w:rsidRPr="00026576">
        <w:rPr>
          <w:rFonts w:ascii="Calibri" w:hAnsi="Calibri" w:cs="Calibri"/>
        </w:rPr>
        <w:t>.</w:t>
      </w:r>
      <w:r w:rsidR="008F05E7" w:rsidRPr="00026576">
        <w:rPr>
          <w:rFonts w:ascii="Calibri" w:hAnsi="Calibri" w:cs="Calibri"/>
        </w:rPr>
        <w:t xml:space="preserve"> </w:t>
      </w:r>
      <w:commentRangeStart w:id="1"/>
      <w:r w:rsidR="00531D3C" w:rsidRPr="00026576">
        <w:rPr>
          <w:rFonts w:ascii="Calibri" w:hAnsi="Calibri" w:cs="Calibri"/>
        </w:rPr>
        <w:t>However</w:t>
      </w:r>
      <w:commentRangeEnd w:id="1"/>
      <w:r w:rsidR="006B38D5" w:rsidRPr="00026576">
        <w:rPr>
          <w:rStyle w:val="CommentReference"/>
          <w:rFonts w:ascii="Calibri" w:hAnsi="Calibri" w:cs="Calibri"/>
        </w:rPr>
        <w:commentReference w:id="1"/>
      </w:r>
      <w:r w:rsidR="00531D3C" w:rsidRPr="00026576">
        <w:rPr>
          <w:rFonts w:ascii="Calibri" w:hAnsi="Calibri" w:cs="Calibri"/>
        </w:rPr>
        <w:t xml:space="preserve">, </w:t>
      </w:r>
      <w:r w:rsidR="00AA1BFF" w:rsidRPr="00026576">
        <w:rPr>
          <w:rFonts w:ascii="Calibri" w:hAnsi="Calibri" w:cs="Calibri"/>
        </w:rPr>
        <w:t>“</w:t>
      </w:r>
      <w:r w:rsidR="00531D3C" w:rsidRPr="00026576">
        <w:rPr>
          <w:rFonts w:ascii="Calibri" w:hAnsi="Calibri" w:cs="Calibri"/>
          <w:color w:val="FF0000"/>
        </w:rPr>
        <w:t>p</w:t>
      </w:r>
      <w:r w:rsidRPr="00026576">
        <w:rPr>
          <w:rFonts w:ascii="Calibri" w:hAnsi="Calibri" w:cs="Calibri"/>
          <w:color w:val="FF0000"/>
        </w:rPr>
        <w:t xml:space="preserve">eople’s access to </w:t>
      </w:r>
      <w:r w:rsidR="003E3C2E" w:rsidRPr="00026576">
        <w:rPr>
          <w:rFonts w:ascii="Calibri" w:hAnsi="Calibri" w:cs="Calibri"/>
          <w:color w:val="FF0000"/>
        </w:rPr>
        <w:t>vaccination centres</w:t>
      </w:r>
      <w:r w:rsidRPr="00026576">
        <w:rPr>
          <w:rFonts w:ascii="Calibri" w:hAnsi="Calibri" w:cs="Calibri"/>
          <w:color w:val="FF0000"/>
        </w:rPr>
        <w:t xml:space="preserve"> fluctuates over time as a result of day-to-day variations in time-use and mobility patterns</w:t>
      </w:r>
      <w:r w:rsidR="00531D3C" w:rsidRPr="00026576">
        <w:rPr>
          <w:rFonts w:ascii="Calibri" w:hAnsi="Calibri" w:cs="Calibri"/>
          <w:color w:val="FF0000"/>
        </w:rPr>
        <w:t>, and t</w:t>
      </w:r>
      <w:r w:rsidRPr="00026576">
        <w:rPr>
          <w:rFonts w:ascii="Calibri" w:hAnsi="Calibri" w:cs="Calibri"/>
          <w:color w:val="FF0000"/>
        </w:rPr>
        <w:t>ime to travel varies substantially during the day, between days and across individuals</w:t>
      </w:r>
      <w:r w:rsidR="006B38D5" w:rsidRPr="00026576">
        <w:rPr>
          <w:rFonts w:ascii="Calibri" w:hAnsi="Calibri" w:cs="Calibri"/>
        </w:rPr>
        <w:t>.</w:t>
      </w:r>
      <w:r w:rsidR="00AA1BFF" w:rsidRPr="00026576">
        <w:rPr>
          <w:rFonts w:ascii="Calibri" w:hAnsi="Calibri" w:cs="Calibri"/>
        </w:rPr>
        <w:t>”</w:t>
      </w:r>
      <w:r w:rsidR="007928FB" w:rsidRPr="00026576">
        <w:rPr>
          <w:rFonts w:ascii="Calibri" w:hAnsi="Calibri" w:cs="Calibri"/>
        </w:rPr>
        <w:t xml:space="preserve"> </w:t>
      </w:r>
      <w:r w:rsidR="00531D3C" w:rsidRPr="00026576">
        <w:rPr>
          <w:rFonts w:ascii="Calibri" w:hAnsi="Calibri" w:cs="Calibri"/>
        </w:rPr>
        <w:t xml:space="preserve">This study </w:t>
      </w:r>
      <w:r w:rsidR="00A0359F" w:rsidRPr="00026576">
        <w:rPr>
          <w:rFonts w:ascii="Calibri" w:hAnsi="Calibri" w:cs="Calibri"/>
        </w:rPr>
        <w:t xml:space="preserve">employed </w:t>
      </w:r>
      <w:r w:rsidR="00581D60" w:rsidRPr="00026576">
        <w:rPr>
          <w:rFonts w:ascii="Calibri" w:hAnsi="Calibri" w:cs="Calibri"/>
        </w:rPr>
        <w:t xml:space="preserve">a </w:t>
      </w:r>
      <w:r w:rsidR="00A0359F" w:rsidRPr="00026576">
        <w:rPr>
          <w:rFonts w:ascii="Calibri" w:hAnsi="Calibri" w:cs="Calibri"/>
        </w:rPr>
        <w:t>time-weighted cumulative opportunity approach</w:t>
      </w:r>
      <w:r w:rsidR="00581D60" w:rsidRPr="00026576">
        <w:rPr>
          <w:rFonts w:ascii="Calibri" w:hAnsi="Calibri" w:cs="Calibri"/>
        </w:rPr>
        <w:t>,</w:t>
      </w:r>
      <w:r w:rsidR="00A0359F" w:rsidRPr="00026576">
        <w:rPr>
          <w:rFonts w:ascii="Calibri" w:hAnsi="Calibri" w:cs="Calibri"/>
        </w:rPr>
        <w:t xml:space="preserve"> </w:t>
      </w:r>
      <w:r w:rsidR="00581D60" w:rsidRPr="00026576">
        <w:rPr>
          <w:rFonts w:ascii="Calibri" w:hAnsi="Calibri" w:cs="Calibri"/>
        </w:rPr>
        <w:t>measuring</w:t>
      </w:r>
      <w:r w:rsidR="00A0359F" w:rsidRPr="00026576">
        <w:rPr>
          <w:rFonts w:ascii="Calibri" w:hAnsi="Calibri" w:cs="Calibri"/>
        </w:rPr>
        <w:t xml:space="preserve"> </w:t>
      </w:r>
      <w:r w:rsidR="00581D60" w:rsidRPr="00026576">
        <w:rPr>
          <w:rFonts w:ascii="Calibri" w:hAnsi="Calibri" w:cs="Calibri"/>
        </w:rPr>
        <w:t xml:space="preserve">accessibility </w:t>
      </w:r>
      <w:r w:rsidR="00A0359F" w:rsidRPr="00026576">
        <w:rPr>
          <w:rFonts w:ascii="Calibri" w:hAnsi="Calibri" w:cs="Calibri"/>
        </w:rPr>
        <w:t>within a given travel time</w:t>
      </w:r>
      <w:r w:rsidR="004C4C44" w:rsidRPr="00026576">
        <w:rPr>
          <w:rFonts w:ascii="Calibri" w:hAnsi="Calibri" w:cs="Calibri"/>
        </w:rPr>
        <w:t xml:space="preserve">. </w:t>
      </w:r>
      <w:r w:rsidR="00CC2EA9" w:rsidRPr="00026576">
        <w:rPr>
          <w:rFonts w:ascii="Calibri" w:hAnsi="Calibri" w:cs="Calibri"/>
        </w:rPr>
        <w:t>Exploring</w:t>
      </w:r>
      <w:r w:rsidR="004C4C44" w:rsidRPr="00026576">
        <w:rPr>
          <w:rFonts w:ascii="Calibri" w:hAnsi="Calibri" w:cs="Calibri"/>
        </w:rPr>
        <w:t xml:space="preserve"> </w:t>
      </w:r>
      <w:r w:rsidR="007C266A" w:rsidRPr="00026576">
        <w:rPr>
          <w:rFonts w:ascii="Calibri" w:hAnsi="Calibri" w:cs="Calibri"/>
        </w:rPr>
        <w:t>“</w:t>
      </w:r>
      <w:commentRangeStart w:id="2"/>
      <w:r w:rsidR="00CE3933" w:rsidRPr="00026576">
        <w:rPr>
          <w:rFonts w:ascii="Calibri" w:hAnsi="Calibri" w:cs="Calibri"/>
          <w:color w:val="FF0000"/>
        </w:rPr>
        <w:t>how far people ‘ought’ to travel</w:t>
      </w:r>
      <w:commentRangeEnd w:id="2"/>
      <w:r w:rsidR="006B38D5" w:rsidRPr="00026576">
        <w:rPr>
          <w:rStyle w:val="CommentReference"/>
          <w:rFonts w:ascii="Calibri" w:hAnsi="Calibri" w:cs="Calibri"/>
        </w:rPr>
        <w:commentReference w:id="2"/>
      </w:r>
      <w:r w:rsidR="007C266A" w:rsidRPr="00026576">
        <w:rPr>
          <w:rFonts w:ascii="Calibri" w:hAnsi="Calibri" w:cs="Calibri"/>
        </w:rPr>
        <w:t>”</w:t>
      </w:r>
      <w:r w:rsidR="00CE3933" w:rsidRPr="00026576">
        <w:rPr>
          <w:rFonts w:ascii="Calibri" w:hAnsi="Calibri" w:cs="Calibri"/>
        </w:rPr>
        <w:t xml:space="preserve"> </w:t>
      </w:r>
      <w:r w:rsidR="00581D60" w:rsidRPr="00026576">
        <w:rPr>
          <w:rFonts w:ascii="Calibri" w:hAnsi="Calibri" w:cs="Calibri"/>
        </w:rPr>
        <w:t>to vaccinat</w:t>
      </w:r>
      <w:r w:rsidR="006B38D5" w:rsidRPr="00026576">
        <w:rPr>
          <w:rFonts w:ascii="Calibri" w:hAnsi="Calibri" w:cs="Calibri"/>
        </w:rPr>
        <w:t>e</w:t>
      </w:r>
      <w:r w:rsidR="004C4C44" w:rsidRPr="00026576">
        <w:rPr>
          <w:rFonts w:ascii="Calibri" w:hAnsi="Calibri" w:cs="Calibri"/>
        </w:rPr>
        <w:t xml:space="preserve"> using a </w:t>
      </w:r>
      <w:r w:rsidR="00D47472" w:rsidRPr="00026576">
        <w:rPr>
          <w:rFonts w:ascii="Calibri" w:hAnsi="Calibri" w:cs="Calibri"/>
        </w:rPr>
        <w:t xml:space="preserve">multi-modal trip planner </w:t>
      </w:r>
      <w:r w:rsidR="00F15833" w:rsidRPr="00026576">
        <w:rPr>
          <w:rFonts w:ascii="Calibri" w:hAnsi="Calibri" w:cs="Calibri"/>
        </w:rPr>
        <w:t>to calculate d</w:t>
      </w:r>
      <w:r w:rsidR="00D47472" w:rsidRPr="00026576">
        <w:rPr>
          <w:rFonts w:ascii="Calibri" w:hAnsi="Calibri" w:cs="Calibri"/>
        </w:rPr>
        <w:t>oor-to-door travel times by car and public transportation</w:t>
      </w:r>
      <w:r w:rsidR="00CE3933" w:rsidRPr="00026576">
        <w:rPr>
          <w:rFonts w:ascii="Calibri" w:hAnsi="Calibri" w:cs="Calibri"/>
        </w:rPr>
        <w:t xml:space="preserve"> </w:t>
      </w:r>
      <w:r w:rsidR="00B02358" w:rsidRPr="00026576">
        <w:rPr>
          <w:rFonts w:ascii="Calibri" w:hAnsi="Calibri" w:cs="Calibri"/>
        </w:rPr>
        <w:t>in accessibility analysi</w:t>
      </w:r>
      <w:r w:rsidR="007C266A" w:rsidRPr="00026576">
        <w:rPr>
          <w:rFonts w:ascii="Calibri" w:hAnsi="Calibri" w:cs="Calibri"/>
        </w:rPr>
        <w:t>s</w:t>
      </w:r>
      <w:r w:rsidR="00531D3C" w:rsidRPr="00026576">
        <w:rPr>
          <w:rFonts w:ascii="Calibri" w:hAnsi="Calibri" w:cs="Calibri"/>
        </w:rPr>
        <w:t>.</w:t>
      </w:r>
      <w:r w:rsidR="007928FB" w:rsidRPr="00026576">
        <w:rPr>
          <w:rFonts w:ascii="Calibri" w:hAnsi="Calibri" w:cs="Calibri"/>
        </w:rPr>
        <w:t xml:space="preserve"> </w:t>
      </w:r>
      <w:r w:rsidR="006F389E" w:rsidRPr="00026576">
        <w:rPr>
          <w:rFonts w:ascii="Calibri" w:hAnsi="Calibri" w:cs="Calibri"/>
        </w:rPr>
        <w:t>Spatially fuzzy clustered regression</w:t>
      </w:r>
      <w:r w:rsidR="00AD1013" w:rsidRPr="00026576">
        <w:rPr>
          <w:rFonts w:ascii="Calibri" w:hAnsi="Calibri" w:cs="Calibri"/>
        </w:rPr>
        <w:t xml:space="preserve">, accounting for spatial heterogeneity </w:t>
      </w:r>
      <w:r w:rsidR="006F389E" w:rsidRPr="00026576">
        <w:rPr>
          <w:rFonts w:ascii="Calibri" w:hAnsi="Calibri" w:cs="Calibri"/>
        </w:rPr>
        <w:t>who</w:t>
      </w:r>
      <w:r w:rsidR="00793873" w:rsidRPr="00026576">
        <w:rPr>
          <w:rFonts w:ascii="Calibri" w:hAnsi="Calibri" w:cs="Calibri"/>
        </w:rPr>
        <w:t xml:space="preserve"> </w:t>
      </w:r>
      <w:r w:rsidR="006F389E" w:rsidRPr="00026576">
        <w:rPr>
          <w:rFonts w:ascii="Calibri" w:hAnsi="Calibri" w:cs="Calibri"/>
        </w:rPr>
        <w:t xml:space="preserve">received </w:t>
      </w:r>
      <w:r w:rsidR="00AD1013" w:rsidRPr="00026576">
        <w:rPr>
          <w:rFonts w:ascii="Calibri" w:hAnsi="Calibri" w:cs="Calibri"/>
        </w:rPr>
        <w:t>first</w:t>
      </w:r>
      <w:r w:rsidR="006F389E" w:rsidRPr="00026576">
        <w:rPr>
          <w:rFonts w:ascii="Calibri" w:hAnsi="Calibri" w:cs="Calibri"/>
        </w:rPr>
        <w:t xml:space="preserve"> dose vaccines</w:t>
      </w:r>
      <w:r w:rsidR="00793873" w:rsidRPr="00026576">
        <w:rPr>
          <w:rFonts w:ascii="Calibri" w:hAnsi="Calibri" w:cs="Calibri"/>
        </w:rPr>
        <w:t xml:space="preserve"> in </w:t>
      </w:r>
      <w:r w:rsidR="00793873" w:rsidRPr="00026576">
        <w:rPr>
          <w:rFonts w:ascii="Calibri" w:hAnsi="Calibri" w:cs="Calibri"/>
          <w:color w:val="FF0000"/>
        </w:rPr>
        <w:t xml:space="preserve">young adults </w:t>
      </w:r>
      <w:r w:rsidR="00793873" w:rsidRPr="00026576">
        <w:rPr>
          <w:rFonts w:ascii="Calibri" w:hAnsi="Calibri" w:cs="Calibri"/>
          <w:color w:val="FF0000"/>
        </w:rPr>
        <w:t xml:space="preserve">aged </w:t>
      </w:r>
      <w:r w:rsidR="00793873" w:rsidRPr="00026576">
        <w:rPr>
          <w:rFonts w:ascii="Calibri" w:hAnsi="Calibri" w:cs="Calibri"/>
          <w:color w:val="FF0000"/>
        </w:rPr>
        <w:t xml:space="preserve">between </w:t>
      </w:r>
      <w:r w:rsidR="00793873" w:rsidRPr="00026576">
        <w:rPr>
          <w:rFonts w:ascii="Calibri" w:hAnsi="Calibri" w:cs="Calibri"/>
          <w:color w:val="FF0000"/>
        </w:rPr>
        <w:t>25 to 50 years old</w:t>
      </w:r>
      <w:r w:rsidR="00AD1013" w:rsidRPr="00026576">
        <w:rPr>
          <w:rFonts w:ascii="Calibri" w:hAnsi="Calibri" w:cs="Calibri"/>
        </w:rPr>
        <w:t xml:space="preserve">, was deployed to estimate </w:t>
      </w:r>
      <w:r w:rsidR="006F389E" w:rsidRPr="00026576">
        <w:rPr>
          <w:rFonts w:ascii="Calibri" w:hAnsi="Calibri" w:cs="Calibri"/>
        </w:rPr>
        <w:t>spatially varying coefficients of covariates</w:t>
      </w:r>
      <w:r w:rsidR="009434C5" w:rsidRPr="00026576">
        <w:rPr>
          <w:rFonts w:ascii="Calibri" w:hAnsi="Calibri" w:cs="Calibri"/>
        </w:rPr>
        <w:t xml:space="preserve"> </w:t>
      </w:r>
      <w:r w:rsidR="006F389E" w:rsidRPr="00026576">
        <w:rPr>
          <w:rFonts w:ascii="Calibri" w:hAnsi="Calibri" w:cs="Calibri"/>
        </w:rPr>
        <w:t xml:space="preserve">across England. </w:t>
      </w:r>
      <w:r w:rsidR="006C5B26" w:rsidRPr="00026576">
        <w:rPr>
          <w:rFonts w:ascii="Calibri" w:hAnsi="Calibri" w:cs="Calibri"/>
        </w:rPr>
        <w:t xml:space="preserve">It </w:t>
      </w:r>
      <w:r w:rsidR="006F389E" w:rsidRPr="00026576">
        <w:rPr>
          <w:rFonts w:ascii="Calibri" w:hAnsi="Calibri" w:cs="Calibri"/>
        </w:rPr>
        <w:t xml:space="preserve">provided </w:t>
      </w:r>
      <w:r w:rsidR="00AD1013" w:rsidRPr="00026576">
        <w:rPr>
          <w:rFonts w:ascii="Calibri" w:hAnsi="Calibri" w:cs="Calibri"/>
        </w:rPr>
        <w:t>rigorous</w:t>
      </w:r>
      <w:r w:rsidR="006F389E" w:rsidRPr="00026576">
        <w:rPr>
          <w:rFonts w:ascii="Calibri" w:hAnsi="Calibri" w:cs="Calibri"/>
        </w:rPr>
        <w:t xml:space="preserve"> spatial clustering results </w:t>
      </w:r>
      <w:r w:rsidR="003E3C2E" w:rsidRPr="00026576">
        <w:rPr>
          <w:rFonts w:ascii="Calibri" w:hAnsi="Calibri" w:cs="Calibri"/>
        </w:rPr>
        <w:t>with</w:t>
      </w:r>
      <w:r w:rsidR="006F389E" w:rsidRPr="00026576">
        <w:rPr>
          <w:rFonts w:ascii="Calibri" w:hAnsi="Calibri" w:cs="Calibri"/>
        </w:rPr>
        <w:t xml:space="preserve"> group-wise regression coefficients.</w:t>
      </w:r>
      <w:r w:rsidR="007928FB" w:rsidRPr="00026576">
        <w:rPr>
          <w:rFonts w:ascii="Calibri" w:hAnsi="Calibri" w:cs="Calibri"/>
        </w:rPr>
        <w:t xml:space="preserve"> </w:t>
      </w:r>
      <w:r w:rsidR="006F389E" w:rsidRPr="00026576">
        <w:rPr>
          <w:rFonts w:ascii="Calibri" w:hAnsi="Calibri" w:cs="Calibri"/>
        </w:rPr>
        <w:t xml:space="preserve">In </w:t>
      </w:r>
      <w:r w:rsidR="00B964F5" w:rsidRPr="00026576">
        <w:rPr>
          <w:rFonts w:ascii="Calibri" w:hAnsi="Calibri" w:cs="Calibri"/>
        </w:rPr>
        <w:t>effect</w:t>
      </w:r>
      <w:r w:rsidR="006F389E" w:rsidRPr="00026576">
        <w:rPr>
          <w:rFonts w:ascii="Calibri" w:hAnsi="Calibri" w:cs="Calibri"/>
        </w:rPr>
        <w:t xml:space="preserve">, </w:t>
      </w:r>
      <w:r w:rsidR="002831E9" w:rsidRPr="00026576">
        <w:rPr>
          <w:rFonts w:ascii="Calibri" w:hAnsi="Calibri" w:cs="Calibri"/>
        </w:rPr>
        <w:t xml:space="preserve">spatial disparities of COVID-19 vaccination centres and </w:t>
      </w:r>
      <w:r w:rsidR="006F389E" w:rsidRPr="00026576">
        <w:rPr>
          <w:rFonts w:ascii="Calibri" w:hAnsi="Calibri" w:cs="Calibri"/>
        </w:rPr>
        <w:t>i</w:t>
      </w:r>
      <w:r w:rsidRPr="00026576">
        <w:rPr>
          <w:rFonts w:ascii="Calibri" w:hAnsi="Calibri" w:cs="Calibri"/>
        </w:rPr>
        <w:t>nequalities in education, income</w:t>
      </w:r>
      <w:r w:rsidR="007928FB" w:rsidRPr="00026576">
        <w:rPr>
          <w:rFonts w:ascii="Calibri" w:hAnsi="Calibri" w:cs="Calibri"/>
        </w:rPr>
        <w:t xml:space="preserve">, </w:t>
      </w:r>
      <w:r w:rsidR="002831E9" w:rsidRPr="00026576">
        <w:rPr>
          <w:rFonts w:ascii="Calibri" w:hAnsi="Calibri" w:cs="Calibri"/>
        </w:rPr>
        <w:t xml:space="preserve">and </w:t>
      </w:r>
      <w:r w:rsidRPr="00026576">
        <w:rPr>
          <w:rFonts w:ascii="Calibri" w:hAnsi="Calibri" w:cs="Calibri"/>
        </w:rPr>
        <w:t>employment</w:t>
      </w:r>
      <w:r w:rsidR="002831E9" w:rsidRPr="00026576">
        <w:rPr>
          <w:rFonts w:ascii="Calibri" w:hAnsi="Calibri" w:cs="Calibri"/>
        </w:rPr>
        <w:t xml:space="preserve"> would be </w:t>
      </w:r>
      <w:r w:rsidR="00B964F5" w:rsidRPr="00026576">
        <w:rPr>
          <w:rFonts w:ascii="Calibri" w:hAnsi="Calibri" w:cs="Calibri"/>
        </w:rPr>
        <w:t>led to u</w:t>
      </w:r>
      <w:r w:rsidRPr="00026576">
        <w:rPr>
          <w:rFonts w:ascii="Calibri" w:hAnsi="Calibri" w:cs="Calibri"/>
        </w:rPr>
        <w:t>nequal access to COVID-19 vaccines</w:t>
      </w:r>
      <w:r w:rsidR="00B964F5" w:rsidRPr="00026576">
        <w:rPr>
          <w:rFonts w:ascii="Calibri" w:hAnsi="Calibri" w:cs="Calibri"/>
        </w:rPr>
        <w:t xml:space="preserve"> for England</w:t>
      </w:r>
      <w:r w:rsidRPr="00026576">
        <w:rPr>
          <w:rFonts w:ascii="Calibri" w:hAnsi="Calibri" w:cs="Calibri"/>
        </w:rPr>
        <w:t>.</w:t>
      </w:r>
    </w:p>
    <w:p w14:paraId="30768093" w14:textId="2861866C" w:rsidR="00846970" w:rsidRPr="00026576" w:rsidRDefault="00F269E2" w:rsidP="00961B7F">
      <w:pPr>
        <w:spacing w:line="276" w:lineRule="auto"/>
        <w:rPr>
          <w:rFonts w:ascii="Calibri" w:hAnsi="Calibri" w:cs="Calibri"/>
          <w:b/>
          <w:bCs/>
        </w:rPr>
      </w:pPr>
      <w:r w:rsidRPr="00026576">
        <w:rPr>
          <w:rFonts w:ascii="Calibri" w:hAnsi="Calibri" w:cs="Calibri"/>
          <w:b/>
          <w:bCs/>
        </w:rPr>
        <w:t>Keywords</w:t>
      </w:r>
      <w:r w:rsidR="009434C5" w:rsidRPr="00026576">
        <w:rPr>
          <w:rFonts w:ascii="Calibri" w:hAnsi="Calibri" w:cs="Calibri"/>
          <w:b/>
          <w:bCs/>
        </w:rPr>
        <w:t xml:space="preserve"> (max. 6)</w:t>
      </w:r>
      <w:r w:rsidRPr="00026576">
        <w:rPr>
          <w:rFonts w:ascii="Calibri" w:hAnsi="Calibri" w:cs="Calibri"/>
          <w:b/>
          <w:bCs/>
        </w:rPr>
        <w:t>: Accessibility, COVID-19, Vaccine uptake, Inequalities in access to vaccines.</w:t>
      </w:r>
    </w:p>
    <w:p w14:paraId="7F3827F3" w14:textId="6E50552A" w:rsidR="00846970" w:rsidRPr="00026576" w:rsidRDefault="00846970" w:rsidP="00961B7F">
      <w:pPr>
        <w:widowControl/>
        <w:wordWrap/>
        <w:autoSpaceDE/>
        <w:autoSpaceDN/>
        <w:spacing w:line="276" w:lineRule="auto"/>
        <w:rPr>
          <w:rFonts w:ascii="Calibri" w:hAnsi="Calibri" w:cs="Calibri"/>
          <w:b/>
          <w:bCs/>
        </w:rPr>
      </w:pPr>
      <w:r w:rsidRPr="00026576">
        <w:rPr>
          <w:rFonts w:ascii="Calibri" w:hAnsi="Calibri" w:cs="Calibri"/>
          <w:b/>
          <w:bCs/>
        </w:rPr>
        <w:br w:type="page"/>
      </w:r>
    </w:p>
    <w:p w14:paraId="4224979E" w14:textId="46150BE7" w:rsidR="004752CE" w:rsidRPr="00026576" w:rsidRDefault="00F269E2" w:rsidP="00961B7F">
      <w:pPr>
        <w:pStyle w:val="Heading1"/>
      </w:pPr>
      <w:r w:rsidRPr="00026576">
        <w:lastRenderedPageBreak/>
        <w:t>Paper structure</w:t>
      </w:r>
    </w:p>
    <w:p w14:paraId="2DC63ECB" w14:textId="7D815CC1" w:rsidR="00F269E2" w:rsidRPr="00026576" w:rsidRDefault="00F269E2" w:rsidP="00961B7F">
      <w:pPr>
        <w:pStyle w:val="Heading2"/>
      </w:pPr>
      <w:r w:rsidRPr="00026576">
        <w:t>Introduction</w:t>
      </w:r>
      <w:r w:rsidR="00765D7C" w:rsidRPr="00026576">
        <w:t xml:space="preserve"> (ALL)</w:t>
      </w:r>
    </w:p>
    <w:p w14:paraId="2963CF68" w14:textId="569DF099" w:rsidR="00F269E2" w:rsidRPr="00026576" w:rsidRDefault="00F269E2" w:rsidP="00961B7F">
      <w:pPr>
        <w:pStyle w:val="ListParagraph"/>
        <w:numPr>
          <w:ilvl w:val="0"/>
          <w:numId w:val="5"/>
        </w:numPr>
      </w:pPr>
      <w:r w:rsidRPr="00026576">
        <w:t>Research background</w:t>
      </w:r>
      <w:r w:rsidR="004E03F5" w:rsidRPr="00026576">
        <w:t xml:space="preserve"> and motivation</w:t>
      </w:r>
    </w:p>
    <w:p w14:paraId="3A926E28" w14:textId="77777777" w:rsidR="006F389E" w:rsidRPr="00026576" w:rsidRDefault="006F389E" w:rsidP="00961B7F">
      <w:pPr>
        <w:pStyle w:val="ListParagraph"/>
        <w:numPr>
          <w:ilvl w:val="0"/>
          <w:numId w:val="6"/>
        </w:numPr>
      </w:pPr>
      <w:r w:rsidRPr="00026576">
        <w:t xml:space="preserve">Geographic accessibility to health facilities, measuring travel impedance between patients and providers </w:t>
      </w:r>
      <w:r w:rsidRPr="00026576">
        <w:fldChar w:fldCharType="begin" w:fldLock="1"/>
      </w:r>
      <w:r w:rsidRPr="00026576">
        <w:instrText>ADDIN CSL_CITATION {"citationItems":[{"id":"ITEM-1","itemData":{"DOI":"10.1016/j.jtrangeo.2014.12.006","ISSN":"09666923","abstract":"In much of the industrialised world, policy interventions to address the challenges of widespread air pollution as resulting from development and economic progress in the 2nd half of the 20th century have overall led to reductions in air pollution levels and related health effects since the 1970s. While overall improvements towards reducing health effects from ambient air pollution are recorded, comprehensive and consistent assessments of the long-term impact of policy interventions are still scarce. In this paper, we conduct a model assessment over a 40 year period of air pollution in the UK. In order to correct for the short and longer term variability of meteorological factors contributing to trends in ambient concentrations of priority air pollutants (nitrogen dioxide, sulphur dioxide, fine particulate matter and ozone), we use a fixed meteorological year for all model simulations. Hence, the modelled changes in air pollutant concentrations and related health effects are solely a function of the changes in emissions since 1970. These changes in emissions are primarily driven by policy interventions, ranging from phasing out of specific fuels or substances, to regulating the use of chemicals and driving the development of cleaner, more efficient technologies. Over the 40 year period, UK attributable mortality due to exposure to PM 2.5 and NO 2 have declined by 56% and 44% respectively, while ozone attributable respiratory mortality increased by 17% over the same period (however, with a slight decrease by 14% between 2000 and 2010).","author":[{"dropping-particle":"","family":"Neutens","given":"Tijs","non-dropping-particle":"","parse-names":false,"suffix":""}],"container-title":"Journal of Transport Geography","id":"ITEM-1","issued":{"date-parts":[["2015","2"]]},"page":"14-27","title":"Accessibility, equity and health care: review and research directions for transport geographers","type":"article-journal","volume":"43"},"uris":["http://www.mendeley.com/documents/?uuid=4c770e39-78a5-3dc8-88bd-05728415dbb2"]}],"mendeley":{"formattedCitation":"(Neutens, 2015)","plainTextFormattedCitation":"(Neutens, 2015)","previouslyFormattedCitation":"(Neutens, 2015)"},"properties":{"noteIndex":0},"schema":"https://github.com/citation-style-language/schema/raw/master/csl-citation.json"}</w:instrText>
      </w:r>
      <w:r w:rsidRPr="00026576">
        <w:fldChar w:fldCharType="separate"/>
      </w:r>
      <w:r w:rsidRPr="00026576">
        <w:rPr>
          <w:noProof/>
        </w:rPr>
        <w:t>(Neutens, 2015)</w:t>
      </w:r>
      <w:r w:rsidRPr="00026576">
        <w:fldChar w:fldCharType="end"/>
      </w:r>
      <w:r w:rsidRPr="00026576">
        <w:t>.</w:t>
      </w:r>
    </w:p>
    <w:p w14:paraId="7518A491" w14:textId="770C4679" w:rsidR="00F269E2" w:rsidRPr="00026576" w:rsidRDefault="00F269E2" w:rsidP="00961B7F">
      <w:pPr>
        <w:pStyle w:val="ListParagraph"/>
        <w:numPr>
          <w:ilvl w:val="0"/>
          <w:numId w:val="6"/>
        </w:numPr>
      </w:pPr>
      <w:r w:rsidRPr="00026576">
        <w:t xml:space="preserve">UK vaccination programme with timelines </w:t>
      </w:r>
      <w:r w:rsidRPr="00026576">
        <w:fldChar w:fldCharType="begin" w:fldLock="1"/>
      </w:r>
      <w:r w:rsidR="005268F7" w:rsidRPr="00026576">
        <w:instrText>ADDIN CSL_CITATION {"citationItems":[{"id":"ITEM-1","itemData":{"URL":"https://www.gov.uk/government/publications/uk-covid-19-vaccines-delivery-plan/uk-covid-19-vaccines-delivery-plan","accessed":{"date-parts":[["2021","1","13"]]},"author":[{"dropping-particle":"","family":"Department of Health &amp; Social Care","given":"","non-dropping-particle":"","parse-names":false,"suffix":""}],"id":"ITEM-1","issued":{"date-parts":[["2020"]]},"title":"UK COVID-19 vaccines delivery plan","type":"webpage"},"uris":["http://www.mendeley.com/documents/?uuid=57036023-c725-473f-b73a-2a3df6736f9d"]}],"mendeley":{"formattedCitation":"(Department of Health &amp; Social Care, 2020)","plainTextFormattedCitation":"(Department of Health &amp; Social Care, 2020)","previouslyFormattedCitation":"(Department of Health &amp; Social Care, 2020)"},"properties":{"noteIndex":0},"schema":"https://github.com/citation-style-language/schema/raw/master/csl-citation.json"}</w:instrText>
      </w:r>
      <w:r w:rsidRPr="00026576">
        <w:fldChar w:fldCharType="separate"/>
      </w:r>
      <w:r w:rsidR="0047441B" w:rsidRPr="00026576">
        <w:rPr>
          <w:noProof/>
        </w:rPr>
        <w:t>(Department of Health &amp; Social Care, 2020)</w:t>
      </w:r>
      <w:r w:rsidRPr="00026576">
        <w:fldChar w:fldCharType="end"/>
      </w:r>
      <w:r w:rsidRPr="00026576">
        <w:t>.</w:t>
      </w:r>
    </w:p>
    <w:p w14:paraId="4D6E3C12" w14:textId="1AE01A08" w:rsidR="00F269E2" w:rsidRPr="00026576" w:rsidRDefault="00F269E2" w:rsidP="00961B7F">
      <w:pPr>
        <w:pStyle w:val="ListParagraph"/>
        <w:numPr>
          <w:ilvl w:val="0"/>
          <w:numId w:val="6"/>
        </w:numPr>
      </w:pPr>
      <w:r w:rsidRPr="00026576">
        <w:t>Geographic difference in vaccine uptake</w:t>
      </w:r>
      <w:r w:rsidR="0017147E" w:rsidRPr="00026576">
        <w:t xml:space="preserve"> for </w:t>
      </w:r>
      <w:r w:rsidRPr="00026576">
        <w:t xml:space="preserve">England </w:t>
      </w:r>
      <w:r w:rsidRPr="00026576">
        <w:fldChar w:fldCharType="begin" w:fldLock="1"/>
      </w:r>
      <w:r w:rsidRPr="00026576">
        <w:instrText>ADDIN CSL_CITATION {"citationItems":[{"id":"ITEM-1","itemData":{"URL":"https://coronavirus.data.gov.uk/details/interactive-map/vaccinations","accessed":{"date-parts":[["2021","8","20"]]},"author":[{"dropping-particle":"","family":"UK government","given":"","non-dropping-particle":"","parse-names":false,"suffix":""}],"id":"ITEM-1","issued":{"date-parts":[["2021"]]},"title":"Interactive map of vaccinations","type":"webpage"},"uris":["http://www.mendeley.com/documents/?uuid=72b206b9-d420-40d9-a116-cfa0878e9baf"]}],"mendeley":{"formattedCitation":"(UK government, 2021)","plainTextFormattedCitation":"(UK government, 2021)","previouslyFormattedCitation":"(UK government, 2021)"},"properties":{"noteIndex":0},"schema":"https://github.com/citation-style-language/schema/raw/master/csl-citation.json"}</w:instrText>
      </w:r>
      <w:r w:rsidRPr="00026576">
        <w:fldChar w:fldCharType="separate"/>
      </w:r>
      <w:r w:rsidRPr="00026576">
        <w:rPr>
          <w:noProof/>
        </w:rPr>
        <w:t>(UK government, 2021)</w:t>
      </w:r>
      <w:r w:rsidRPr="00026576">
        <w:fldChar w:fldCharType="end"/>
      </w:r>
      <w:r w:rsidRPr="00026576">
        <w:t>.</w:t>
      </w:r>
    </w:p>
    <w:p w14:paraId="22535C6E" w14:textId="3691D191" w:rsidR="00846970" w:rsidRPr="00026576" w:rsidRDefault="00864616" w:rsidP="00961B7F">
      <w:pPr>
        <w:pStyle w:val="ListParagraph"/>
        <w:numPr>
          <w:ilvl w:val="0"/>
          <w:numId w:val="6"/>
        </w:numPr>
      </w:pPr>
      <w:r>
        <w:t>Uptake by</w:t>
      </w:r>
      <w:commentRangeStart w:id="3"/>
      <w:r w:rsidR="001F6AC5">
        <w:t xml:space="preserve"> </w:t>
      </w:r>
      <w:r w:rsidR="00846970" w:rsidRPr="00026576">
        <w:t>young adults aged between 25 to 50 years old</w:t>
      </w:r>
      <w:commentRangeEnd w:id="3"/>
      <w:r w:rsidR="001F6AC5">
        <w:rPr>
          <w:rStyle w:val="CommentReference"/>
        </w:rPr>
        <w:commentReference w:id="3"/>
      </w:r>
      <w:r>
        <w:t>.</w:t>
      </w:r>
    </w:p>
    <w:p w14:paraId="19035FE0" w14:textId="26B8F40A" w:rsidR="00F269E2" w:rsidRPr="00026576" w:rsidRDefault="00D51C4F" w:rsidP="00961B7F">
      <w:pPr>
        <w:pStyle w:val="ListParagraph"/>
        <w:numPr>
          <w:ilvl w:val="0"/>
          <w:numId w:val="5"/>
        </w:numPr>
      </w:pPr>
      <w:r w:rsidRPr="00026576">
        <w:t>Factors influencing vaccine uptake</w:t>
      </w:r>
      <w:r w:rsidR="0002532C" w:rsidRPr="00026576">
        <w:t xml:space="preserve"> –</w:t>
      </w:r>
      <w:r w:rsidR="00BB2C73" w:rsidRPr="00026576">
        <w:t xml:space="preserve"> </w:t>
      </w:r>
      <w:r w:rsidR="0002532C" w:rsidRPr="00026576">
        <w:t>B</w:t>
      </w:r>
      <w:r w:rsidR="00BB2C73" w:rsidRPr="00026576">
        <w:t xml:space="preserve">AME communities, economic deprivation, occupational characteristics, and </w:t>
      </w:r>
      <w:r w:rsidR="00BB2C73" w:rsidRPr="00026576">
        <w:rPr>
          <w:color w:val="FF0000"/>
        </w:rPr>
        <w:t>less accessible geographical areas</w:t>
      </w:r>
      <w:r w:rsidR="005F6E9F">
        <w:rPr>
          <w:color w:val="FF0000"/>
        </w:rPr>
        <w:t xml:space="preserve"> – remote areas compare to urban centres</w:t>
      </w:r>
      <w:r w:rsidR="00BB2C73" w:rsidRPr="00026576">
        <w:t>.</w:t>
      </w:r>
    </w:p>
    <w:p w14:paraId="3181C5FB" w14:textId="1BB2650E" w:rsidR="00F269E2" w:rsidRPr="00026576" w:rsidRDefault="00F269E2" w:rsidP="00961B7F">
      <w:pPr>
        <w:pStyle w:val="ListParagraph"/>
        <w:numPr>
          <w:ilvl w:val="0"/>
          <w:numId w:val="6"/>
        </w:numPr>
      </w:pPr>
      <w:r w:rsidRPr="00026576">
        <w:t xml:space="preserve">COVID-19 vaccine coverage varies with local factors, including socioeconomic deprivation, ethnicity, age, religion, and household tenure. Based upon the estimated odd-ratios to analyse the linked vaccination data from National Immunisation Management System (NIMS) to the ONS Public Health Data Asset (PHDA) over NHS number </w:t>
      </w:r>
      <w:r w:rsidRPr="00026576">
        <w:fldChar w:fldCharType="begin" w:fldLock="1"/>
      </w:r>
      <w:r w:rsidRPr="00026576">
        <w:instrText>ADDIN CSL_CITATION {"citationItems":[{"id":"ITEM-1","itemData":{"URL":"https://www.ons.gov.uk/peoplepopulationandcommunity/healthandsocialcare/healthinequalities/bulletins/coronavirusandvaccinationratesinpeopleaged70yearsandoverbysociodemographiccharacteristicengland/8december2020to12april2021","accessed":{"date-parts":[["2021","5","6"]]},"author":[{"dropping-particle":"","family":"Office for National Statistics","given":"","non-dropping-particle":"","parse-names":false,"suffix":""}],"id":"ITEM-1","issued":{"date-parts":[["2021"]]},"title":"Coronavirus and vaccination rates in people aged 50 years and over by socio-demographic characteristic, England: 8 December 2020 to 12 April 2021","type":"webpage"},"uris":["http://www.mendeley.com/documents/?uuid=f808a39c-f86c-4691-bbfd-87d82e6ee87f"]}],"mendeley":{"formattedCitation":"(Office for National Statistics, 2021a)","plainTextFormattedCitation":"(Office for National Statistics, 2021a)","previouslyFormattedCitation":"(Office for National Statistics, 2021a)"},"properties":{"noteIndex":0},"schema":"https://github.com/citation-style-language/schema/raw/master/csl-citation.json"}</w:instrText>
      </w:r>
      <w:r w:rsidRPr="00026576">
        <w:fldChar w:fldCharType="separate"/>
      </w:r>
      <w:r w:rsidRPr="00026576">
        <w:rPr>
          <w:noProof/>
        </w:rPr>
        <w:t>(Office for National Statistics, 2021a)</w:t>
      </w:r>
      <w:r w:rsidRPr="00026576">
        <w:fldChar w:fldCharType="end"/>
      </w:r>
      <w:r w:rsidRPr="00026576">
        <w:t>.</w:t>
      </w:r>
    </w:p>
    <w:p w14:paraId="50129DCA" w14:textId="71E8A4C0" w:rsidR="00F269E2" w:rsidRPr="00026576" w:rsidRDefault="00A70778" w:rsidP="00961B7F">
      <w:pPr>
        <w:pStyle w:val="ListParagraph"/>
        <w:numPr>
          <w:ilvl w:val="0"/>
          <w:numId w:val="6"/>
        </w:numPr>
      </w:pPr>
      <w:r w:rsidRPr="00026576">
        <w:t>However</w:t>
      </w:r>
      <w:r w:rsidR="00F269E2" w:rsidRPr="00026576">
        <w:t>, it has been paying less attention to a barrier to access the COVID-19 vaccine</w:t>
      </w:r>
      <w:r w:rsidRPr="00026576">
        <w:t xml:space="preserve"> e</w:t>
      </w:r>
      <w:r w:rsidR="00F269E2" w:rsidRPr="00026576">
        <w:t>ven though travel (and other reasons) tak</w:t>
      </w:r>
      <w:r w:rsidRPr="00026576">
        <w:t>es</w:t>
      </w:r>
      <w:r w:rsidR="00F269E2" w:rsidRPr="00026576">
        <w:t xml:space="preserve"> 13% of the reasons for not taking a COVID-19 vaccine based on the Opinions and Lifestyle Survey (COVID-19 module) survey </w:t>
      </w:r>
      <w:r w:rsidR="00F269E2" w:rsidRPr="00026576">
        <w:fldChar w:fldCharType="begin" w:fldLock="1"/>
      </w:r>
      <w:r w:rsidR="00456B11" w:rsidRPr="00026576">
        <w:instrText>ADDIN CSL_CITATION {"citationItems":[{"id":"ITEM-1","itemData":{"DOI":"10.5255/UKDA-SN-8635-3","author":[{"dropping-particle":"","family":"Office for National Statistics","given":"","non-dropping-particle":"","parse-names":false,"suffix":""}],"container-title":"UK Data Service","id":"ITEM-1","issued":{"date-parts":[["2021"]]},"publisher":"UK Data Service","title":"ONS Opinions and Lifestyle Survey, Covid-19 Module","type":"webpage"},"uris":["http://www.mendeley.com/documents/?uuid=56273449-633f-4b87-98e3-2668c64ada0c"]}],"mendeley":{"formattedCitation":"(Office for National Statistics, 2021b)","plainTextFormattedCitation":"(Office for National Statistics, 2021b)","previouslyFormattedCitation":"(Office for National Statistics, 2021b)"},"properties":{"noteIndex":0},"schema":"https://github.com/citation-style-language/schema/raw/master/csl-citation.json"}</w:instrText>
      </w:r>
      <w:r w:rsidR="00F269E2" w:rsidRPr="00026576">
        <w:fldChar w:fldCharType="separate"/>
      </w:r>
      <w:r w:rsidR="00456B11" w:rsidRPr="00026576">
        <w:rPr>
          <w:noProof/>
        </w:rPr>
        <w:t>(Office for National Statistics, 2021b)</w:t>
      </w:r>
      <w:r w:rsidR="00F269E2" w:rsidRPr="00026576">
        <w:fldChar w:fldCharType="end"/>
      </w:r>
      <w:r w:rsidR="00F269E2" w:rsidRPr="00026576">
        <w:t>.</w:t>
      </w:r>
    </w:p>
    <w:p w14:paraId="753C2572" w14:textId="77777777" w:rsidR="00F269E2" w:rsidRPr="00026576" w:rsidRDefault="00F269E2" w:rsidP="00961B7F">
      <w:pPr>
        <w:pStyle w:val="ListParagraph"/>
        <w:numPr>
          <w:ilvl w:val="0"/>
          <w:numId w:val="5"/>
        </w:numPr>
      </w:pPr>
      <w:r w:rsidRPr="00026576">
        <w:t xml:space="preserve">Research </w:t>
      </w:r>
      <w:commentRangeStart w:id="4"/>
      <w:r w:rsidRPr="00026576">
        <w:t>questions</w:t>
      </w:r>
      <w:commentRangeEnd w:id="4"/>
      <w:r w:rsidR="004E03F5" w:rsidRPr="00026576">
        <w:rPr>
          <w:rStyle w:val="CommentReference"/>
        </w:rPr>
        <w:commentReference w:id="4"/>
      </w:r>
    </w:p>
    <w:p w14:paraId="7B1BE8BF" w14:textId="3D19F7CA" w:rsidR="00F269E2" w:rsidRPr="00026576" w:rsidRDefault="004E03F5" w:rsidP="00961B7F">
      <w:pPr>
        <w:pStyle w:val="ListParagraph"/>
        <w:numPr>
          <w:ilvl w:val="0"/>
          <w:numId w:val="6"/>
        </w:numPr>
      </w:pPr>
      <w:r w:rsidRPr="00026576">
        <w:t xml:space="preserve">To what extent has accessibility played a role in spatial variation in vaccination rates? </w:t>
      </w:r>
    </w:p>
    <w:p w14:paraId="78BCD514" w14:textId="77777777" w:rsidR="00F269E2" w:rsidRPr="00026576" w:rsidRDefault="00F269E2" w:rsidP="00961B7F">
      <w:pPr>
        <w:spacing w:line="276" w:lineRule="auto"/>
        <w:rPr>
          <w:rFonts w:ascii="Calibri" w:hAnsi="Calibri" w:cs="Calibri"/>
        </w:rPr>
      </w:pPr>
    </w:p>
    <w:p w14:paraId="1DF41FAD" w14:textId="09D5DA38" w:rsidR="004E03F5" w:rsidRPr="00026576" w:rsidRDefault="004E03F5" w:rsidP="00961B7F">
      <w:pPr>
        <w:pStyle w:val="Heading2"/>
      </w:pPr>
      <w:r w:rsidRPr="00026576">
        <w:t>Related works</w:t>
      </w:r>
      <w:r w:rsidR="00765D7C" w:rsidRPr="00026576">
        <w:t xml:space="preserve"> (WDL</w:t>
      </w:r>
      <w:r w:rsidR="00315475" w:rsidRPr="00026576">
        <w:t xml:space="preserve"> &amp; ALL</w:t>
      </w:r>
      <w:r w:rsidR="00765D7C" w:rsidRPr="00026576">
        <w:t>)</w:t>
      </w:r>
    </w:p>
    <w:p w14:paraId="00F2FE9A" w14:textId="36AEF46F" w:rsidR="00D51C4F" w:rsidRPr="00026576" w:rsidRDefault="00BB2C73" w:rsidP="00961B7F">
      <w:pPr>
        <w:pStyle w:val="ListParagraph"/>
        <w:numPr>
          <w:ilvl w:val="0"/>
          <w:numId w:val="10"/>
        </w:numPr>
      </w:pPr>
      <w:r w:rsidRPr="00026576">
        <w:t>Measuring accessibility to health facilities</w:t>
      </w:r>
      <w:r w:rsidR="00315475" w:rsidRPr="00026576">
        <w:t xml:space="preserve"> (WDL)</w:t>
      </w:r>
    </w:p>
    <w:p w14:paraId="10CE351D" w14:textId="309051F7" w:rsidR="00BB2C73" w:rsidRPr="00026576" w:rsidRDefault="00BB2C73" w:rsidP="00961B7F">
      <w:pPr>
        <w:pStyle w:val="ListParagraph"/>
        <w:numPr>
          <w:ilvl w:val="0"/>
          <w:numId w:val="6"/>
        </w:numPr>
      </w:pPr>
      <w:r w:rsidRPr="00026576">
        <w:t>From the perspective of the provision of health facilities</w:t>
      </w:r>
    </w:p>
    <w:p w14:paraId="2BA54AA5" w14:textId="0B3FE951" w:rsidR="00BB2C73" w:rsidRPr="00026576" w:rsidRDefault="00BB2C73" w:rsidP="00961B7F">
      <w:pPr>
        <w:pStyle w:val="ListParagraph"/>
        <w:numPr>
          <w:ilvl w:val="1"/>
          <w:numId w:val="6"/>
        </w:numPr>
      </w:pPr>
      <w:r w:rsidRPr="00026576">
        <w:t>How many people can reach a given facility within a given travel time and/or travel impedance function?</w:t>
      </w:r>
    </w:p>
    <w:p w14:paraId="7EB90D19" w14:textId="2DE68126" w:rsidR="00BB2C73" w:rsidRPr="00026576" w:rsidRDefault="00BB2C73" w:rsidP="00961B7F">
      <w:pPr>
        <w:pStyle w:val="ListParagraph"/>
        <w:numPr>
          <w:ilvl w:val="0"/>
          <w:numId w:val="6"/>
        </w:numPr>
      </w:pPr>
      <w:r w:rsidRPr="00026576">
        <w:t>From the perspective of the demand of people and where they live</w:t>
      </w:r>
    </w:p>
    <w:p w14:paraId="7EF55589" w14:textId="18F60476" w:rsidR="00BB2C73" w:rsidRPr="00026576" w:rsidRDefault="00BB2C73" w:rsidP="00961B7F">
      <w:pPr>
        <w:pStyle w:val="ListParagraph"/>
        <w:numPr>
          <w:ilvl w:val="1"/>
          <w:numId w:val="6"/>
        </w:numPr>
      </w:pPr>
      <w:r w:rsidRPr="00026576">
        <w:t xml:space="preserve">How afford is it for people in zone </w:t>
      </w:r>
      <m:oMath>
        <m:r>
          <w:rPr>
            <w:rFonts w:ascii="Cambria Math" w:hAnsi="Cambria Math"/>
          </w:rPr>
          <m:t>i</m:t>
        </m:r>
      </m:oMath>
      <w:r w:rsidRPr="00026576">
        <w:t xml:space="preserve"> to access one or more facilities given a travel time threshold and/or impedance function?</w:t>
      </w:r>
    </w:p>
    <w:p w14:paraId="3CF1B749" w14:textId="3115EED9" w:rsidR="00BB2C73" w:rsidRPr="00026576" w:rsidRDefault="00BB2C73" w:rsidP="00961B7F">
      <w:pPr>
        <w:pStyle w:val="ListParagraph"/>
        <w:numPr>
          <w:ilvl w:val="0"/>
          <w:numId w:val="6"/>
        </w:numPr>
      </w:pPr>
      <w:r w:rsidRPr="00026576">
        <w:t>Methods</w:t>
      </w:r>
    </w:p>
    <w:p w14:paraId="3178B55A" w14:textId="26E8051A" w:rsidR="00BB2C73" w:rsidRPr="00026576" w:rsidRDefault="00BB2C73" w:rsidP="00961B7F">
      <w:pPr>
        <w:pStyle w:val="ListParagraph"/>
        <w:numPr>
          <w:ilvl w:val="1"/>
          <w:numId w:val="6"/>
        </w:numPr>
      </w:pPr>
      <w:r w:rsidRPr="00026576">
        <w:t>Provisional approach</w:t>
      </w:r>
      <w:r w:rsidR="00E31F46" w:rsidRPr="00026576">
        <w:t xml:space="preserve"> </w:t>
      </w:r>
      <w:r w:rsidRPr="00026576">
        <w:t>– two-step catchment floating area (2SCFA)</w:t>
      </w:r>
      <w:r w:rsidR="00E31F46" w:rsidRPr="00026576">
        <w:t xml:space="preserve"> to calculate the provide-to-population ratio (PPR).</w:t>
      </w:r>
    </w:p>
    <w:p w14:paraId="2D2159AB" w14:textId="2E18711E" w:rsidR="00BB2C73" w:rsidRPr="00026576" w:rsidRDefault="00BB2C73" w:rsidP="00961B7F">
      <w:pPr>
        <w:pStyle w:val="ListParagraph"/>
        <w:numPr>
          <w:ilvl w:val="1"/>
          <w:numId w:val="6"/>
        </w:numPr>
      </w:pPr>
      <w:r w:rsidRPr="00026576">
        <w:t>Demand approach –</w:t>
      </w:r>
      <w:r w:rsidR="00E31F46" w:rsidRPr="00026576">
        <w:t xml:space="preserve"> </w:t>
      </w:r>
      <w:r w:rsidRPr="00026576">
        <w:t>cumulative opportunity measure</w:t>
      </w:r>
      <w:r w:rsidR="00E31F46" w:rsidRPr="00026576">
        <w:t xml:space="preserve"> to facilitate the number of opportunities within a certain cut-off travel distance or time.</w:t>
      </w:r>
    </w:p>
    <w:p w14:paraId="07EE77FF" w14:textId="0B4B1677" w:rsidR="00BB2C73" w:rsidRPr="00026576" w:rsidRDefault="00BB2C73" w:rsidP="00961B7F">
      <w:pPr>
        <w:pStyle w:val="ListParagraph"/>
        <w:numPr>
          <w:ilvl w:val="1"/>
          <w:numId w:val="6"/>
        </w:numPr>
      </w:pPr>
      <w:r w:rsidRPr="00026576">
        <w:t xml:space="preserve">Why </w:t>
      </w:r>
      <w:r w:rsidR="00636A0F" w:rsidRPr="00026576">
        <w:t>was the demand approach for measuring accessibility u</w:t>
      </w:r>
      <w:r w:rsidR="00E31F46" w:rsidRPr="00026576">
        <w:t xml:space="preserve">sed </w:t>
      </w:r>
      <w:r w:rsidR="00636A0F" w:rsidRPr="00026576">
        <w:t xml:space="preserve">in </w:t>
      </w:r>
      <w:r w:rsidR="00E31F46" w:rsidRPr="00026576">
        <w:t>t</w:t>
      </w:r>
      <w:r w:rsidRPr="00026576">
        <w:t>his paper</w:t>
      </w:r>
      <w:r w:rsidR="00E31F46" w:rsidRPr="00026576">
        <w:t>?</w:t>
      </w:r>
    </w:p>
    <w:p w14:paraId="1EBF89F9" w14:textId="77777777" w:rsidR="00557EE2" w:rsidRPr="00026576" w:rsidRDefault="00BB2C73" w:rsidP="00961B7F">
      <w:pPr>
        <w:pStyle w:val="ListParagraph"/>
        <w:numPr>
          <w:ilvl w:val="2"/>
          <w:numId w:val="6"/>
        </w:numPr>
      </w:pPr>
      <w:r w:rsidRPr="00026576">
        <w:t>People were not constrained to go to the nearest opportunity – the NHS option gave multiple options</w:t>
      </w:r>
      <w:r w:rsidR="00E31F46" w:rsidRPr="00026576">
        <w:t xml:space="preserve"> to choose the regional vaccination centres</w:t>
      </w:r>
      <w:r w:rsidR="003308D7" w:rsidRPr="00026576">
        <w:t xml:space="preserve">. </w:t>
      </w:r>
    </w:p>
    <w:p w14:paraId="59A026CF" w14:textId="18FC3665" w:rsidR="00BB2C73" w:rsidRPr="00026576" w:rsidRDefault="003308D7" w:rsidP="00961B7F">
      <w:pPr>
        <w:pStyle w:val="ListParagraph"/>
        <w:numPr>
          <w:ilvl w:val="2"/>
          <w:numId w:val="6"/>
        </w:numPr>
      </w:pPr>
      <w:r w:rsidRPr="00026576">
        <w:t>In other words,</w:t>
      </w:r>
      <w:r w:rsidR="00BB2C73" w:rsidRPr="00026576">
        <w:t xml:space="preserve"> </w:t>
      </w:r>
      <w:r w:rsidRPr="00026576">
        <w:t>it is not essential to vaccinate in catchment areas</w:t>
      </w:r>
      <w:r w:rsidR="00636A0F" w:rsidRPr="00026576">
        <w:t>. P</w:t>
      </w:r>
      <w:r w:rsidRPr="00026576">
        <w:t xml:space="preserve">eople can book </w:t>
      </w:r>
      <w:r w:rsidR="0083121B" w:rsidRPr="00026576">
        <w:t>their</w:t>
      </w:r>
      <w:r w:rsidRPr="00026576">
        <w:t xml:space="preserve"> jab </w:t>
      </w:r>
      <w:r w:rsidR="00BB2C73" w:rsidRPr="00026576">
        <w:t>on available capacity at a given day</w:t>
      </w:r>
      <w:r w:rsidRPr="00026576">
        <w:t xml:space="preserve"> and </w:t>
      </w:r>
      <w:r w:rsidR="00BB2C73" w:rsidRPr="00026576">
        <w:t>time.</w:t>
      </w:r>
    </w:p>
    <w:p w14:paraId="3841D142" w14:textId="1F14C56B" w:rsidR="00BB2C73" w:rsidRPr="00026576" w:rsidRDefault="00BB2C73" w:rsidP="00961B7F">
      <w:pPr>
        <w:pStyle w:val="ListParagraph"/>
        <w:numPr>
          <w:ilvl w:val="0"/>
          <w:numId w:val="10"/>
        </w:numPr>
      </w:pPr>
      <w:commentRangeStart w:id="5"/>
      <w:r w:rsidRPr="00026576">
        <w:t xml:space="preserve">Factors influencing vaccine uptake </w:t>
      </w:r>
      <w:commentRangeEnd w:id="5"/>
      <w:r w:rsidR="00AD3548" w:rsidRPr="00026576">
        <w:rPr>
          <w:rStyle w:val="CommentReference"/>
        </w:rPr>
        <w:commentReference w:id="5"/>
      </w:r>
      <w:r w:rsidR="00315475" w:rsidRPr="00026576">
        <w:t>(ALL)</w:t>
      </w:r>
    </w:p>
    <w:p w14:paraId="3BC1A5C1" w14:textId="5705740A" w:rsidR="00636A0F" w:rsidRPr="00026576" w:rsidRDefault="00174931" w:rsidP="00961B7F">
      <w:pPr>
        <w:pStyle w:val="ListParagraph"/>
        <w:numPr>
          <w:ilvl w:val="0"/>
          <w:numId w:val="6"/>
        </w:numPr>
      </w:pPr>
      <w:r w:rsidRPr="00026576">
        <w:t>To the extent of h</w:t>
      </w:r>
      <w:r w:rsidR="008E01FD" w:rsidRPr="00026576">
        <w:t xml:space="preserve">ow </w:t>
      </w:r>
      <w:r w:rsidRPr="00026576">
        <w:t xml:space="preserve">differences in </w:t>
      </w:r>
      <w:r w:rsidR="008E01FD" w:rsidRPr="00026576">
        <w:t xml:space="preserve">accessibility </w:t>
      </w:r>
      <w:r w:rsidRPr="00026576">
        <w:t xml:space="preserve">to vaccination centres </w:t>
      </w:r>
      <w:r w:rsidR="008E01FD" w:rsidRPr="00026576">
        <w:t>influenc</w:t>
      </w:r>
      <w:r w:rsidRPr="00026576">
        <w:t xml:space="preserve">e </w:t>
      </w:r>
      <w:r w:rsidR="00636A0F" w:rsidRPr="00026576">
        <w:t>vaccine uptake</w:t>
      </w:r>
      <w:r w:rsidR="00D56C9D" w:rsidRPr="00026576">
        <w:t xml:space="preserve"> for England</w:t>
      </w:r>
      <w:r w:rsidR="00636A0F" w:rsidRPr="00026576">
        <w:t>.</w:t>
      </w:r>
    </w:p>
    <w:p w14:paraId="54C1F3EC" w14:textId="32A35283" w:rsidR="00FF31B3" w:rsidRPr="00026576" w:rsidRDefault="00636A0F" w:rsidP="00961B7F">
      <w:pPr>
        <w:pStyle w:val="ListParagraph"/>
        <w:numPr>
          <w:ilvl w:val="0"/>
          <w:numId w:val="6"/>
        </w:numPr>
      </w:pPr>
      <w:r w:rsidRPr="00026576">
        <w:t>Also, a</w:t>
      </w:r>
      <w:r w:rsidR="00AD3548" w:rsidRPr="00026576">
        <w:t>ddress</w:t>
      </w:r>
      <w:r w:rsidRPr="00026576">
        <w:t xml:space="preserve">ing </w:t>
      </w:r>
      <w:r w:rsidR="00FF31B3" w:rsidRPr="00026576">
        <w:t>other variables known to influence vaccination rates –</w:t>
      </w:r>
      <w:r w:rsidR="00A70778" w:rsidRPr="00026576">
        <w:t xml:space="preserve"> </w:t>
      </w:r>
      <w:r w:rsidR="00FF31B3" w:rsidRPr="00026576">
        <w:t>need</w:t>
      </w:r>
      <w:r w:rsidRPr="00026576">
        <w:t>s</w:t>
      </w:r>
      <w:r w:rsidR="00FF31B3" w:rsidRPr="00026576">
        <w:t xml:space="preserve"> to present </w:t>
      </w:r>
      <w:r w:rsidRPr="00026576">
        <w:t>a</w:t>
      </w:r>
      <w:r w:rsidR="00FF31B3" w:rsidRPr="00026576">
        <w:t xml:space="preserve"> simple conceptual model of what can help explain spatial differences in vaccination rates. Here some engagement with the public health literature on modelling of vaccination uptake – for COVID-19 or other disease</w:t>
      </w:r>
      <w:r w:rsidRPr="00026576">
        <w:t>s</w:t>
      </w:r>
      <w:r w:rsidR="00FF31B3" w:rsidRPr="00026576">
        <w:t xml:space="preserve"> – is essential.</w:t>
      </w:r>
    </w:p>
    <w:p w14:paraId="558E8695" w14:textId="77777777" w:rsidR="00BB2C73" w:rsidRPr="00026576" w:rsidRDefault="00BB2C73" w:rsidP="00961B7F">
      <w:pPr>
        <w:spacing w:line="276" w:lineRule="auto"/>
        <w:rPr>
          <w:rFonts w:ascii="Calibri" w:hAnsi="Calibri" w:cs="Calibri"/>
        </w:rPr>
      </w:pPr>
    </w:p>
    <w:p w14:paraId="7F475D78" w14:textId="7403161D" w:rsidR="00F269E2" w:rsidRPr="00026576" w:rsidRDefault="00D91328" w:rsidP="00961B7F">
      <w:pPr>
        <w:pStyle w:val="Heading2"/>
      </w:pPr>
      <w:r w:rsidRPr="00026576">
        <w:t>Data &amp; m</w:t>
      </w:r>
      <w:r w:rsidR="00F269E2" w:rsidRPr="00026576">
        <w:t>ethods</w:t>
      </w:r>
      <w:r w:rsidR="00765D7C" w:rsidRPr="00026576">
        <w:t xml:space="preserve"> (WDL)</w:t>
      </w:r>
    </w:p>
    <w:p w14:paraId="6FD9B283" w14:textId="0C0D4A52" w:rsidR="00F269E2" w:rsidRPr="00026576" w:rsidRDefault="005766D3" w:rsidP="00961B7F">
      <w:pPr>
        <w:pStyle w:val="ListParagraph"/>
        <w:numPr>
          <w:ilvl w:val="0"/>
          <w:numId w:val="7"/>
        </w:numPr>
      </w:pPr>
      <w:r w:rsidRPr="00026576">
        <w:t>Calculating</w:t>
      </w:r>
      <w:r w:rsidR="00F269E2" w:rsidRPr="00026576">
        <w:t xml:space="preserve"> accessibility using </w:t>
      </w:r>
      <w:bookmarkStart w:id="6" w:name="OLE_LINK1"/>
      <w:r w:rsidR="00F269E2" w:rsidRPr="00026576">
        <w:t xml:space="preserve">cumulative opportunity </w:t>
      </w:r>
      <w:bookmarkEnd w:id="6"/>
      <w:r w:rsidR="00F269E2" w:rsidRPr="00026576">
        <w:t>measure</w:t>
      </w:r>
      <w:r w:rsidRPr="00026576">
        <w:t>s</w:t>
      </w:r>
      <w:r w:rsidR="00B3700D" w:rsidRPr="00026576">
        <w:t xml:space="preserve"> </w:t>
      </w:r>
    </w:p>
    <w:p w14:paraId="0DA2376A" w14:textId="3D461B40" w:rsidR="00F269E2" w:rsidRPr="00026576" w:rsidRDefault="00F269E2" w:rsidP="00961B7F">
      <w:pPr>
        <w:pStyle w:val="ListParagraph"/>
        <w:numPr>
          <w:ilvl w:val="1"/>
          <w:numId w:val="7"/>
        </w:numPr>
      </w:pPr>
      <w:r w:rsidRPr="00026576">
        <w:t xml:space="preserve">Exploring how affordable to access the </w:t>
      </w:r>
      <w:r w:rsidR="005766D3" w:rsidRPr="00026576">
        <w:t>regional</w:t>
      </w:r>
      <w:r w:rsidRPr="00026576">
        <w:t xml:space="preserve"> vaccination centres at a given location</w:t>
      </w:r>
      <w:r w:rsidR="00C15905" w:rsidRPr="00026576">
        <w:t xml:space="preserve"> </w:t>
      </w:r>
      <w:r w:rsidR="00C15905" w:rsidRPr="00026576">
        <w:fldChar w:fldCharType="begin" w:fldLock="1"/>
      </w:r>
      <w:r w:rsidR="00C15905" w:rsidRPr="00026576">
        <w:instrText>ADDIN CSL_CITATION {"citationItems":[{"id":"ITEM-1","itemData":{"DOI":"10.1016/j.tra.2016.07.003","ISSN":"09658564","abstract":"Social equity is increasingly incorporated as a long-term objective into urban transportation plans. Researchers use accessibility measures to assess equity issues, such as determining the amount of jobs reachable by marginalized groups within a defined travel time threshold and compare these measures across socioeconomic categories. However, allocating public transit resources in an equitable manner is not only related to travel time, but also related to the out-of-pocket cost of transit, which can represent a major barrier to accessibility for many disadvantaged groups. Therefore, this research proposes a set of new accessibility measures that incorporates both travel time and transit fares. It then applies those measures to determine whether people residing in socially disadvantaged neighborhoods in Montreal, Canada experience the same levels of transit accessibility as those living in other neighborhoods. Results are presented in terms of regional accessibility and trends by social indicator decile. Travel time accessibility measures estimate a higher number of jobs that can be reached compared to combined travel time and cost measures. However, the degree and impact of these measures varies across the social deciles. Compared to other groups in the region, residents of socially disadvantaged areas have more equitable accessibility to jobs using transit; this is reflected in smaller decreases in accessibility when fare costs are included. Generating new measures of accessibility combining travel time and transit fares provides more accurate measures that can be easily communicated by transportation planners and engineers to policy makers and the public since it translates accessibility measures to a dollar value.","author":[{"dropping-particle":"","family":"El-Geneidy","given":"Ahmed","non-dropping-particle":"","parse-names":false,"suffix":""},{"dropping-particle":"","family":"Levinson","given":"David","non-dropping-particle":"","parse-names":false,"suffix":""},{"dropping-particle":"","family":"Diab","given":"Ehab","non-dropping-particle":"","parse-names":false,"suffix":""},{"dropping-particle":"","family":"Boisjoly","given":"Genevieve","non-dropping-particle":"","parse-names":false,"suffix":""},{"dropping-particle":"","family":"Verbich","given":"David","non-dropping-particle":"","parse-names":false,"suffix":""},{"dropping-particle":"","family":"Loong","given":"Charis","non-dropping-particle":"","parse-names":false,"suffix":""}],"container-title":"Transportation Research Part A: Policy and Practice","id":"ITEM-1","issued":{"date-parts":[["2016"]]},"page":"302-316","publisher":"Elsevier Ltd","title":"The cost of equity: Assessing transit accessibility and social disparity using total travel cost","type":"article-journal","volume":"91"},"uris":["http://www.mendeley.com/documents/?uuid=7926e8ce-3bfd-4e1d-8701-86d94b598b2e"]},{"id":"ITEM-2","itemData":{"DOI":"10.1016/j.jtrangeo.2018.10.006","ISSN":"09666923","abstract":"Accessibility, or the ease of reaching destinations, is increasingly being used and examined in both literature and practice. The most common accessibility metric, the cumulative opportunity measure, is often computed as the number of jobs that can be reached within a certain time frame. Aggregating all jobs, however, often inflates the opportunities that can be reached by socially vulnerable residents, which could feed into and/or generate inadequate policy decisions. This study therefore develops the measure of accessibility to low-income jobs for vulnerable residents by public transport, specifically taking into account realized travel times by these vulnerable individuals. This fine-grained measure, computed across 11 major Canadian cities, is a modified place-based accessibility metric that incorporates facets of person-based metrics, allowing planners and policy makers to propose more targeted interventions to improve the quality of life of their cities’ most vulnerable populations. The study further allows for direct comparisons between the impacts of variation in accessibility levels between different regions to help create best practices in land use and transport planning.","author":[{"dropping-particle":"","family":"Deboosere","given":"Robbin","non-dropping-particle":"","parse-names":false,"suffix":""},{"dropping-particle":"","family":"El-Geneidy","given":"Ahmed","non-dropping-particle":"","parse-names":false,"suffix":""}],"container-title":"Journal of Transport Geography","id":"ITEM-2","issue":"October","issued":{"date-parts":[["2018"]]},"page":"54-63","publisher":"Elsevier","title":"Evaluating equity and accessibility to jobs by public transport across Canada","type":"article-journal","volume":"73"},"uris":["http://www.mendeley.com/documents/?uuid=aeee66e8-000a-40d1-b3d8-f3470653ba43"]}],"mendeley":{"formattedCitation":"(Deboosere and El-Geneidy, 2018; El-Geneidy et al., 2016)","plainTextFormattedCitation":"(Deboosere and El-Geneidy, 2018; El-Geneidy et al., 2016)","previouslyFormattedCitation":"(Deboosere and El-Geneidy, 2018; El-Geneidy et al., 2016)"},"properties":{"noteIndex":0},"schema":"https://github.com/citation-style-language/schema/raw/master/csl-citation.json"}</w:instrText>
      </w:r>
      <w:r w:rsidR="00C15905" w:rsidRPr="00026576">
        <w:fldChar w:fldCharType="separate"/>
      </w:r>
      <w:r w:rsidR="00C15905" w:rsidRPr="00026576">
        <w:rPr>
          <w:noProof/>
        </w:rPr>
        <w:t>(Deboosere and El-Geneidy, 2018; El-Geneidy et al., 2016)</w:t>
      </w:r>
      <w:r w:rsidR="00C15905" w:rsidRPr="00026576">
        <w:fldChar w:fldCharType="end"/>
      </w:r>
      <w:r w:rsidRPr="00026576">
        <w:t>. Cut-off time beyond which opportunit</w:t>
      </w:r>
      <w:r w:rsidR="00837F49" w:rsidRPr="00026576">
        <w:t>ies</w:t>
      </w:r>
      <w:r w:rsidRPr="00026576">
        <w:t xml:space="preserve"> are inaccessible </w:t>
      </w:r>
      <w:r w:rsidRPr="00026576">
        <w:fldChar w:fldCharType="begin" w:fldLock="1"/>
      </w:r>
      <w:r w:rsidRPr="00026576">
        <w:instrText>ADDIN CSL_CITATION {"citationItems":[{"id":"ITEM-1","itemData":{"DOI":"10.1016/j.jtrangeo.2020.102706","ISSN":"09666923","author":[{"dropping-particle":"","family":"Kelobonye","given":"Keone","non-dropping-particle":"","parse-names":false,"suffix":""},{"dropping-particle":"","family":"Zhou","given":"Heng","non-dropping-particle":"","parse-names":false,"suffix":""},{"dropping-particle":"","family":"McCarney","given":"Gary","non-dropping-particle":"","parse-names":false,"suffix":""},{"dropping-particle":"","family":"Xia","given":"Jianhong (Cecilia)","non-dropping-particle":"","parse-names":false,"suffix":""}],"container-title":"Journal of Transport Geography","id":"ITEM-1","issued":{"date-parts":[["2020","5"]]},"page":"102706","title":"Measuring the accessibility and spatial equity of urban services under competition using the cumulative opportunities measure","type":"article-journal","volume":"85"},"uris":["http://www.mendeley.com/documents/?uuid=035d7662-69f1-47e5-9074-f309448ec7b9"]}],"mendeley":{"formattedCitation":"(Kelobonye et al., 2020)","plainTextFormattedCitation":"(Kelobonye et al., 2020)","previouslyFormattedCitation":"(Kelobonye et al., 2020)"},"properties":{"noteIndex":0},"schema":"https://github.com/citation-style-language/schema/raw/master/csl-citation.json"}</w:instrText>
      </w:r>
      <w:r w:rsidRPr="00026576">
        <w:fldChar w:fldCharType="separate"/>
      </w:r>
      <w:r w:rsidRPr="00026576">
        <w:rPr>
          <w:noProof/>
        </w:rPr>
        <w:t>(Kelobonye et al., 2020)</w:t>
      </w:r>
      <w:r w:rsidRPr="00026576">
        <w:fldChar w:fldCharType="end"/>
      </w:r>
      <w:r w:rsidRPr="00026576">
        <w:t xml:space="preserve">. </w:t>
      </w:r>
    </w:p>
    <w:p w14:paraId="23349FAC" w14:textId="459029D6" w:rsidR="00F269E2" w:rsidRPr="00026576" w:rsidRDefault="00F269E2" w:rsidP="00961B7F">
      <w:pPr>
        <w:pStyle w:val="ListParagraph"/>
        <w:numPr>
          <w:ilvl w:val="1"/>
          <w:numId w:val="7"/>
        </w:numPr>
      </w:pPr>
      <w:r w:rsidRPr="00026576">
        <w:t xml:space="preserve">Drawing the isochron maps to measure variances in accessible vaccination centres from each MSOA unit within 15 min to 90 min, by car and public transportation. Also, it allows a maximum </w:t>
      </w:r>
      <w:r w:rsidR="00837F49" w:rsidRPr="00026576">
        <w:t xml:space="preserve">of </w:t>
      </w:r>
      <w:r w:rsidRPr="00026576">
        <w:t>1,000m walking distance to access/egress public transport.</w:t>
      </w:r>
    </w:p>
    <w:p w14:paraId="34DE4BDF" w14:textId="0F7290F5" w:rsidR="00F269E2" w:rsidRPr="00026576" w:rsidRDefault="00F269E2" w:rsidP="00961B7F">
      <w:pPr>
        <w:pStyle w:val="ListParagraph"/>
        <w:numPr>
          <w:ilvl w:val="1"/>
          <w:numId w:val="7"/>
        </w:numPr>
      </w:pPr>
      <w:r w:rsidRPr="00026576">
        <w:t xml:space="preserve">In effect, </w:t>
      </w:r>
      <w:r w:rsidR="00837F49" w:rsidRPr="00026576">
        <w:t xml:space="preserve">an </w:t>
      </w:r>
      <w:r w:rsidRPr="00026576">
        <w:t>isochron map was generated using an open-source multimodal trip planner, Open Trip Planner (OTP)</w:t>
      </w:r>
      <w:r w:rsidR="00837F49" w:rsidRPr="00026576">
        <w:t xml:space="preserve"> for the </w:t>
      </w:r>
      <w:r w:rsidRPr="00026576">
        <w:t xml:space="preserve">R package </w:t>
      </w:r>
      <w:r w:rsidRPr="00026576">
        <w:fldChar w:fldCharType="begin" w:fldLock="1"/>
      </w:r>
      <w:r w:rsidRPr="00026576">
        <w:instrText>ADDIN CSL_CITATION {"citationItems":[{"id":"ITEM-1","itemData":{"DOI":"10.21105/joss.01926","ISSN":"2475-9066","author":[{"dropping-particle":"","family":"Morgan","given":"Malcolm","non-dropping-particle":"","parse-names":false,"suffix":""},{"dropping-particle":"","family":"Young","given":"Marcus","non-dropping-particle":"","parse-names":false,"suffix":""},{"dropping-particle":"","family":"Lovelace","given":"Robin","non-dropping-particle":"","parse-names":false,"suffix":""},{"dropping-particle":"","family":"Hama","given":"Layik","non-dropping-particle":"","parse-names":false,"suffix":""}],"container-title":"Journal of Open Source Software","id":"ITEM-1","issue":"44","issued":{"date-parts":[["2019","12","2"]]},"page":"1926","title":"OpenTripPlanner for R","type":"article-journal","volume":"4"},"uris":["http://www.mendeley.com/documents/?uuid=96a640af-9ce9-454d-939e-5bda48251217"]}],"mendeley":{"formattedCitation":"(Morgan et al., 2019)","plainTextFormattedCitation":"(Morgan et al., 2019)","previouslyFormattedCitation":"(Morgan et al., 2019)"},"properties":{"noteIndex":0},"schema":"https://github.com/citation-style-language/schema/raw/master/csl-citation.json"}</w:instrText>
      </w:r>
      <w:r w:rsidRPr="00026576">
        <w:fldChar w:fldCharType="separate"/>
      </w:r>
      <w:r w:rsidRPr="00026576">
        <w:rPr>
          <w:noProof/>
        </w:rPr>
        <w:t>(Morgan et al., 2019)</w:t>
      </w:r>
      <w:r w:rsidRPr="00026576">
        <w:fldChar w:fldCharType="end"/>
      </w:r>
      <w:r w:rsidRPr="00026576">
        <w:t>. By calculating every route within travel time threshold</w:t>
      </w:r>
      <w:r w:rsidR="00837F49" w:rsidRPr="00026576">
        <w:t>s</w:t>
      </w:r>
      <w:r w:rsidRPr="00026576">
        <w:t xml:space="preserve"> based </w:t>
      </w:r>
      <w:r w:rsidR="00837F49" w:rsidRPr="00026576">
        <w:t xml:space="preserve">on </w:t>
      </w:r>
      <w:r w:rsidRPr="00026576">
        <w:t>built network graphs incorporated with public transport schedules</w:t>
      </w:r>
      <w:r w:rsidR="000153DD" w:rsidRPr="00026576">
        <w:t xml:space="preserve"> (</w:t>
      </w:r>
      <w:r w:rsidR="00A60602" w:rsidRPr="00026576">
        <w:t xml:space="preserve">see </w:t>
      </w:r>
      <w:r w:rsidR="000153DD" w:rsidRPr="00026576">
        <w:fldChar w:fldCharType="begin"/>
      </w:r>
      <w:r w:rsidR="000153DD" w:rsidRPr="00026576">
        <w:instrText xml:space="preserve"> REF _Ref89899282 \h </w:instrText>
      </w:r>
      <w:r w:rsidR="006B38D5" w:rsidRPr="00026576">
        <w:instrText xml:space="preserve"> \* MERGEFORMAT </w:instrText>
      </w:r>
      <w:r w:rsidR="000153DD" w:rsidRPr="00026576">
        <w:fldChar w:fldCharType="separate"/>
      </w:r>
      <w:r w:rsidR="000153DD" w:rsidRPr="00026576">
        <w:t xml:space="preserve">Figure </w:t>
      </w:r>
      <w:r w:rsidR="000153DD" w:rsidRPr="00026576">
        <w:rPr>
          <w:noProof/>
        </w:rPr>
        <w:t>1</w:t>
      </w:r>
      <w:r w:rsidR="000153DD" w:rsidRPr="00026576">
        <w:fldChar w:fldCharType="end"/>
      </w:r>
      <w:r w:rsidR="000153DD" w:rsidRPr="00026576">
        <w:t>)</w:t>
      </w:r>
      <w:r w:rsidRPr="00026576">
        <w:t xml:space="preserve">. </w:t>
      </w:r>
    </w:p>
    <w:p w14:paraId="4F11814D" w14:textId="75F82C8D" w:rsidR="00F269E2" w:rsidRPr="00026576" w:rsidRDefault="00F269E2" w:rsidP="00961B7F">
      <w:pPr>
        <w:pStyle w:val="ListParagraph"/>
        <w:numPr>
          <w:ilvl w:val="1"/>
          <w:numId w:val="7"/>
        </w:numPr>
      </w:pPr>
      <w:r w:rsidRPr="00026576">
        <w:t xml:space="preserve">OTP imported OpenStreetMap© (OSM) data for routing on street and path networks that incorporated imported General Transit Feed Specification (GTFS) feeds. GTFS national data retrieved from the bus open data service, operated by </w:t>
      </w:r>
      <w:r w:rsidR="00837F49" w:rsidRPr="00026576">
        <w:t xml:space="preserve">the </w:t>
      </w:r>
      <w:r w:rsidRPr="00026576">
        <w:t xml:space="preserve">UK government </w:t>
      </w:r>
      <w:r w:rsidRPr="00026576">
        <w:fldChar w:fldCharType="begin" w:fldLock="1"/>
      </w:r>
      <w:r w:rsidR="006B38D5" w:rsidRPr="00026576">
        <w:instrText>ADDIN CSL_CITATION {"citationItems":[{"id":"ITEM-1","itemData":{"URL":"https://data.bus-data.dft.gov.uk/timetable/download/","accessed":{"date-parts":[["2021","7","26"]]},"author":[{"dropping-particle":"","family":"UK government","given":"","non-dropping-particle":"","parse-names":false,"suffix":""}],"id":"ITEM-1","issued":{"date-parts":[["2019"]]},"title":"Bus Open Data Service","type":"webpage"},"uris":["http://www.mendeley.com/documents/?uuid=c83dc293-2317-45ca-8fa2-b0857907b4f8"]}],"mendeley":{"formattedCitation":"(UK government, 2019)","plainTextFormattedCitation":"(UK government, 2019)","previouslyFormattedCitation":"(UK government, 2019)"},"properties":{"noteIndex":0},"schema":"https://github.com/citation-style-language/schema/raw/master/csl-citation.json"}</w:instrText>
      </w:r>
      <w:r w:rsidRPr="00026576">
        <w:fldChar w:fldCharType="separate"/>
      </w:r>
      <w:r w:rsidR="00376248" w:rsidRPr="00026576">
        <w:rPr>
          <w:noProof/>
        </w:rPr>
        <w:t>(UK government, 2019)</w:t>
      </w:r>
      <w:r w:rsidRPr="00026576">
        <w:fldChar w:fldCharType="end"/>
      </w:r>
      <w:r w:rsidRPr="00026576">
        <w:t>.</w:t>
      </w:r>
    </w:p>
    <w:p w14:paraId="3093EF00" w14:textId="77777777" w:rsidR="00F269E2" w:rsidRPr="00026576" w:rsidRDefault="00F269E2" w:rsidP="00961B7F">
      <w:pPr>
        <w:pStyle w:val="ListParagraph"/>
        <w:numPr>
          <w:ilvl w:val="0"/>
          <w:numId w:val="7"/>
        </w:numPr>
      </w:pPr>
      <w:r w:rsidRPr="00026576">
        <w:t>Deploying a count-based modelling approach controlling for spatial effects</w:t>
      </w:r>
    </w:p>
    <w:p w14:paraId="3644A4E6" w14:textId="40FC84B8" w:rsidR="00F269E2" w:rsidRPr="00026576" w:rsidRDefault="00837F49" w:rsidP="00961B7F">
      <w:pPr>
        <w:pStyle w:val="ListParagraph"/>
        <w:numPr>
          <w:ilvl w:val="1"/>
          <w:numId w:val="7"/>
        </w:numPr>
      </w:pPr>
      <w:r w:rsidRPr="00026576">
        <w:t>A g</w:t>
      </w:r>
      <w:r w:rsidR="00F269E2" w:rsidRPr="00026576">
        <w:t>lobal negative binomial regression model with spatial lags</w:t>
      </w:r>
    </w:p>
    <w:p w14:paraId="0276D37D" w14:textId="4D9B6012" w:rsidR="00F269E2" w:rsidRPr="00026576" w:rsidRDefault="005766D3" w:rsidP="00961B7F">
      <w:pPr>
        <w:pStyle w:val="ListParagraph"/>
        <w:numPr>
          <w:ilvl w:val="1"/>
          <w:numId w:val="7"/>
        </w:numPr>
      </w:pPr>
      <w:r w:rsidRPr="00026576">
        <w:t>Spatially clustered regression (SCR) and spatially fuzzy clustered regression (SFCR) model</w:t>
      </w:r>
    </w:p>
    <w:p w14:paraId="023404C1" w14:textId="07B0F801" w:rsidR="006E5773" w:rsidRPr="00026576" w:rsidRDefault="006E5773" w:rsidP="00961B7F">
      <w:pPr>
        <w:pStyle w:val="ListParagraph"/>
        <w:numPr>
          <w:ilvl w:val="0"/>
          <w:numId w:val="7"/>
        </w:numPr>
      </w:pPr>
      <w:r w:rsidRPr="00026576">
        <w:t xml:space="preserve">SFCR model </w:t>
      </w:r>
      <w:r w:rsidRPr="00026576">
        <w:fldChar w:fldCharType="begin" w:fldLock="1"/>
      </w:r>
      <w:r w:rsidR="00456B11" w:rsidRPr="00026576">
        <w:instrText>ADDIN CSL_CITATION {"citationItems":[{"id":"ITEM-1","itemData":{"DOI":"10.1016/j.spasta.2021.100525","ISSN":"22116753","abstract":"Spatial regression and geographically weighted regression models have been widely adopted to capture the effects of auxiliary information on a response variable of interest over a region. In contrast, relationships between response and auxiliary variables are expected to exhibit complex spatial patterns in many applications. This paper proposes a new approach for spatial regression, called spatially clustered regression, to estimate possibly clustered spatial patterns of the relationships. We combine K-means-based clustering formulation and penalty function motivated from a spatial process known as Potts model for encouraging similar clustering in neighboring locations. We provide a simple iterative algorithm to fit the proposed method, scalable for large spatial datasets. Through simulation studies, the proposed method demonstrates its superior performance to existing methods even under the true structure does not admit spatial clustering. Finally, the proposed method is applied to crime event data in Tokyo and produces interpretable results for spatial patterns. The R code is available at https://github.com/sshonosuke/SCR.","author":[{"dropping-particle":"","family":"Sugasawa","given":"Shonosuke","non-dropping-particle":"","parse-names":false,"suffix":""},{"dropping-particle":"","family":"Murakami","given":"Daisuke","non-dropping-particle":"","parse-names":false,"suffix":""}],"container-title":"Spatial Statistics","id":"ITEM-1","issued":{"date-parts":[["2021","8"]]},"note":"From Duplicate 2 (Spatial Random Slope Multilevel Modeling Using Multivariate Conditional Autoregressive Models: A Case Study of Subjective Travel Satisfaction in Beijing - Dong, Guanpeng; Ma, Jing; Harris, Richard; Pryce, Gwilym)\n\n·         This paper exploring how to incorporate a spatial dependence effect into the standard multilevel model using multivariate conditional autoregressive models, in detail, to develop a spatial random slope MLM approach to account for the within-group dependence among individuals in the same area and the spatial dependence between areas simultaneously. \n·         Bayesian Markov chain Monte Carlo (MCMC) algorithms are derived to implement the proposal model using two-level travel; individual and district-level, understanding of how geographical factors (as determinants) affect individuals’ subjective travel satisfaction. \n·         MLM claimed that the models dealing with the spatial dependence as the area-level random effect, however a spatial multiple membership model enable to employ the spatial dependence effects that individuals area allowed to be influence by both their immediate and neighbouring contexts. \n·         Model foundations: random slope-, car-, and MCAR MLM \no   Random Slope: standard non-spatial random slope model \no   Conditional autoregressive: using J as spatial weight matrix or neighbourhood structure for higher-level spatial units, which defined by geographical contiguity. This study using resultant precision matrix for the LCAR (Leroux conditional autoregressive from Leroux, Lei and Breslow 1999) specification, which to measure the relative importance between the two sources and as an indicator of the intensity of spatial dependence. \no   Multivariate conditional autoregressive: will be incorporated into nonspatial random slope MLM to model the spatial dependence among higher level random effects. \n·         The model comparison results for the three models tell us the MLM-MLCAR is selected from the best model fit according to the DIC and PsML statistics. \n·         The MLM_MLCAR estimation results interpreted as follows: \no   Association between life circumstances (e.g. income, age group): monthly income is significantly and positively associated with travel satisfaction (i.e. low income – low satisfaction, and high income – high satisfaction). \no   Association between commuting behaviour (travel duration, travel mode): commuting time increasing, people’s satisfaction with travel decreases (sig&amp;lt;0.01), negative regression coefficient of the interaction terms suggest that with commuting time increasing, people’s subjective satisfaction with travel by car or public transport tends to decrease. \no   Association between geographical context (accessibility to green parks and public stations): location variables are significantly associated with travel satisfaction. \n·         Questions \no   Why the fixed effect estimates summarised by posterior median and 95% credible intervals (2.5%, 97.5%)? \no   How to estimate the spatial random slope? Which kind of spatial weights was employed? \no   According to the challenges of this study that the sensitivity of the identified district-level effect, due to the notable issue of uncertain geographic context (Kwan 2012). How to estimate the nonspatial dependence between aerial units?","page":"100525","publisher":"Elsevier B.V.","title":"Spatially clustered regression","type":"article-journal","volume":"44"},"uris":["http://www.mendeley.com/documents/?uuid=6b4b3fcb-2285-403e-8438-4cf4553faa84"]}],"mendeley":{"formattedCitation":"(Sugasawa and Murakami, 2021)","plainTextFormattedCitation":"(Sugasawa and Murakami, 2021)","previouslyFormattedCitation":"(Sugasawa and Murakami, 2021)"},"properties":{"noteIndex":0},"schema":"https://github.com/citation-style-language/schema/raw/master/csl-citation.json"}</w:instrText>
      </w:r>
      <w:r w:rsidRPr="00026576">
        <w:fldChar w:fldCharType="separate"/>
      </w:r>
      <w:r w:rsidRPr="00026576">
        <w:rPr>
          <w:noProof/>
        </w:rPr>
        <w:t>(Sugasawa and Murakami, 2021)</w:t>
      </w:r>
      <w:r w:rsidRPr="00026576">
        <w:fldChar w:fldCharType="end"/>
      </w:r>
      <w:r w:rsidRPr="00026576">
        <w:t xml:space="preserve"> was selected to estimate the grouping parameters and group-wise regression models simultaneously, and its performance seemed to be better than the Geographically Weighted Negative Binomial Regression (GWNBR) model.</w:t>
      </w:r>
    </w:p>
    <w:p w14:paraId="20A6FFBC" w14:textId="77777777" w:rsidR="006E5773" w:rsidRPr="00026576" w:rsidRDefault="006E5773" w:rsidP="00961B7F">
      <w:pPr>
        <w:pStyle w:val="ListParagraph"/>
        <w:numPr>
          <w:ilvl w:val="1"/>
          <w:numId w:val="7"/>
        </w:numPr>
      </w:pPr>
      <w:r w:rsidRPr="00026576">
        <w:t>The proposed model accounts for spatial heterogeneity for modelling spatially varying regression coefficients to impose that the geographically neighbouring locations are likely to belong to the same groups.</w:t>
      </w:r>
    </w:p>
    <w:p w14:paraId="41AD9BCD" w14:textId="77777777" w:rsidR="006E5773" w:rsidRPr="00026576" w:rsidRDefault="006E5773" w:rsidP="00961B7F">
      <w:pPr>
        <w:pStyle w:val="ListParagraph"/>
        <w:numPr>
          <w:ilvl w:val="1"/>
          <w:numId w:val="7"/>
        </w:numPr>
      </w:pPr>
      <w:r w:rsidRPr="00026576">
        <w:t xml:space="preserve">A tuning parameter λ, in terms of a penalty parameter, controls the strength of the penalty term in a fused LASSO approach to shrink regression coefficients in neighbouring areas toward 0, which results in spatially clustered regression coefficients </w:t>
      </w:r>
      <w:r w:rsidRPr="00026576">
        <w:fldChar w:fldCharType="begin" w:fldLock="1"/>
      </w:r>
      <w:r w:rsidRPr="00026576">
        <w:instrText>ADDIN CSL_CITATION {"citationItems":[{"id":"ITEM-1","itemData":{"DOI":"10.1080/01621459.2018.1529595","ISSN":"0162-1459","abstract":"Spatial regression models have been widely used to describe the relationship between a response variable and some explanatory variables over a region of interest, taking into account the spatial dependence of the observations. In many applications, relationships between response variables and covariates are expected to exhibit complex spatial patterns. We propose a new approach, referred to as spatially clustered coefficient (SCC) regression, to detect spatially clustered patterns in the regression coefficients. It incorporates spatial neighborhood information through a carefully constructed regularization to automatically detect change points in space and to achieve computational scalability. Our numerical studies suggest that SCC works very effectively, capturing not only clustered coefficients, but also smoothly varying coefficients because of its strong local adaptivity. This flexibility allows researchers to explore various spatial structures in regression coefficients. We also establish theoretical properties of SCC. We use SCC to explore the relationship between the temperature and salinity of sea water in the Atlantic basin; this can provide important insights about the evolution of individual water masses and the pathway and strength of meridional overturning circulation in oceanography. Supplementary materials for this article, including a standardized description of the materials available for reproducing the work, are available as an online supplement.","author":[{"dropping-particle":"","family":"Li","given":"Furong","non-dropping-particle":"","parse-names":false,"suffix":""},{"dropping-particle":"","family":"Sang","given":"Huiyan","non-dropping-particle":"","parse-names":false,"suffix":""}],"container-title":"Journal of the American Statistical Association","id":"ITEM-1","issue":"527","issued":{"date-parts":[["2019","7","3"]]},"page":"1050-1062","publisher":"Taylor &amp; Francis","title":"Spatial Homogeneity Pursuit of Regression Coefficients for Large Datasets","type":"article-journal","volume":"114"},"uris":["http://www.mendeley.com/documents/?uuid=5aeaa27d-e395-41c8-8047-b3b2795e0a48"]}],"mendeley":{"formattedCitation":"(Li and Sang, 2019)","plainTextFormattedCitation":"(Li and Sang, 2019)","previouslyFormattedCitation":"(Li and Sang, 2019)"},"properties":{"noteIndex":0},"schema":"https://github.com/citation-style-language/schema/raw/master/csl-citation.json"}</w:instrText>
      </w:r>
      <w:r w:rsidRPr="00026576">
        <w:fldChar w:fldCharType="separate"/>
      </w:r>
      <w:r w:rsidRPr="00026576">
        <w:rPr>
          <w:noProof/>
        </w:rPr>
        <w:t>(Li and Sang, 2019)</w:t>
      </w:r>
      <w:r w:rsidRPr="00026576">
        <w:fldChar w:fldCharType="end"/>
      </w:r>
      <w:r w:rsidRPr="00026576">
        <w:t xml:space="preserve">. Two parameters were asked to pre-set the number of groups </w:t>
      </w:r>
      <w:r w:rsidRPr="00026576">
        <w:rPr>
          <w:i/>
          <w:iCs/>
        </w:rPr>
        <w:t>G</w:t>
      </w:r>
      <w:r w:rsidRPr="00026576">
        <w:t>, and spatial similarity ϕ corresponding to weak (0.1), moderate (0.6), and strong spatial correlation (1) in covariates.</w:t>
      </w:r>
    </w:p>
    <w:p w14:paraId="4B95B6B0" w14:textId="177DB4F7" w:rsidR="000262F7" w:rsidRPr="00026576" w:rsidRDefault="006E5773" w:rsidP="00961B7F">
      <w:pPr>
        <w:pStyle w:val="ListParagraph"/>
        <w:numPr>
          <w:ilvl w:val="1"/>
          <w:numId w:val="7"/>
        </w:numPr>
      </w:pPr>
      <w:r w:rsidRPr="00026576">
        <w:t>In this paper, we have tested three moderate spatial correlation parameters – 0.5, 0.6, and 0.75, and confirmed ϕ</w:t>
      </w:r>
      <w:r w:rsidRPr="00026576">
        <w:rPr>
          <w:i/>
          <w:iCs/>
        </w:rPr>
        <w:t>=</w:t>
      </w:r>
      <w:r w:rsidRPr="00026576">
        <w:t xml:space="preserve">0.5 shows the best while </w:t>
      </w:r>
      <w:r w:rsidRPr="00026576">
        <w:rPr>
          <w:i/>
          <w:iCs/>
        </w:rPr>
        <w:t>K</w:t>
      </w:r>
      <w:r w:rsidRPr="00026576">
        <w:t xml:space="preserve">=7 on the maximum number of iterations to 200 to consider the spatial patterns (see </w:t>
      </w:r>
      <w:r w:rsidRPr="00026576">
        <w:fldChar w:fldCharType="begin"/>
      </w:r>
      <w:r w:rsidRPr="00026576">
        <w:instrText xml:space="preserve"> REF _Ref89895479 \h  \* MERGEFORMAT </w:instrText>
      </w:r>
      <w:r w:rsidRPr="00026576">
        <w:fldChar w:fldCharType="separate"/>
      </w:r>
      <w:r w:rsidR="003E3DBF" w:rsidRPr="00026576">
        <w:t xml:space="preserve">Table </w:t>
      </w:r>
      <w:r w:rsidR="003E3DBF" w:rsidRPr="00026576">
        <w:rPr>
          <w:noProof/>
        </w:rPr>
        <w:t>1</w:t>
      </w:r>
      <w:r w:rsidRPr="00026576">
        <w:fldChar w:fldCharType="end"/>
      </w:r>
      <w:r w:rsidRPr="00026576">
        <w:t xml:space="preserve"> and</w:t>
      </w:r>
      <w:r w:rsidR="003E3DBF" w:rsidRPr="00026576">
        <w:t xml:space="preserve"> </w:t>
      </w:r>
      <w:r w:rsidR="002C527F" w:rsidRPr="00026576">
        <w:fldChar w:fldCharType="begin"/>
      </w:r>
      <w:r w:rsidR="002C527F" w:rsidRPr="00026576">
        <w:instrText xml:space="preserve"> REF _Ref90856248 \h </w:instrText>
      </w:r>
      <w:r w:rsidR="00456B11" w:rsidRPr="00026576">
        <w:instrText xml:space="preserve"> \* MERGEFORMAT </w:instrText>
      </w:r>
      <w:r w:rsidR="002C527F" w:rsidRPr="00026576">
        <w:fldChar w:fldCharType="separate"/>
      </w:r>
      <w:r w:rsidR="002C527F" w:rsidRPr="00026576">
        <w:t xml:space="preserve">Figure </w:t>
      </w:r>
      <w:r w:rsidR="002C527F" w:rsidRPr="00026576">
        <w:rPr>
          <w:noProof/>
        </w:rPr>
        <w:t>2</w:t>
      </w:r>
      <w:r w:rsidR="002C527F" w:rsidRPr="00026576">
        <w:fldChar w:fldCharType="end"/>
      </w:r>
      <w:r w:rsidRPr="00026576">
        <w:t>).</w:t>
      </w:r>
    </w:p>
    <w:p w14:paraId="1DA172C5" w14:textId="77777777" w:rsidR="006E5773" w:rsidRPr="00026576" w:rsidRDefault="006E5773" w:rsidP="00961B7F">
      <w:pPr>
        <w:spacing w:line="276" w:lineRule="auto"/>
        <w:rPr>
          <w:rFonts w:ascii="Calibri" w:hAnsi="Calibri" w:cs="Calibri"/>
        </w:rPr>
      </w:pPr>
    </w:p>
    <w:p w14:paraId="051F2134" w14:textId="4689DBE0" w:rsidR="006870F3" w:rsidRPr="00026576" w:rsidRDefault="00D91328" w:rsidP="00961B7F">
      <w:pPr>
        <w:pStyle w:val="Heading2"/>
      </w:pPr>
      <w:r w:rsidRPr="00026576">
        <w:t>Analysis results</w:t>
      </w:r>
      <w:r w:rsidR="00765D7C" w:rsidRPr="00026576">
        <w:t xml:space="preserve"> (WDL)</w:t>
      </w:r>
      <w:r w:rsidR="00FA2E72" w:rsidRPr="00026576">
        <w:fldChar w:fldCharType="begin"/>
      </w:r>
      <w:r w:rsidR="00FA2E72" w:rsidRPr="00026576">
        <w:instrText xml:space="preserve"> REF _Ref89894575 \h </w:instrText>
      </w:r>
      <w:r w:rsidR="00C601B0" w:rsidRPr="00026576">
        <w:instrText xml:space="preserve"> \* MERGEFORMAT </w:instrText>
      </w:r>
      <w:r w:rsidR="00FA2E72" w:rsidRPr="00026576">
        <w:fldChar w:fldCharType="separate"/>
      </w:r>
    </w:p>
    <w:p w14:paraId="2997D2E4" w14:textId="77777777" w:rsidR="00C8015D" w:rsidRPr="00026576" w:rsidRDefault="006870F3" w:rsidP="00961B7F">
      <w:pPr>
        <w:pStyle w:val="ListParagraph"/>
        <w:numPr>
          <w:ilvl w:val="0"/>
          <w:numId w:val="3"/>
        </w:numPr>
      </w:pPr>
      <w:r w:rsidRPr="00026576">
        <w:t>Table</w:t>
      </w:r>
      <w:r w:rsidRPr="00026576">
        <w:rPr>
          <w:noProof/>
        </w:rPr>
        <w:t xml:space="preserve"> </w:t>
      </w:r>
      <w:r w:rsidRPr="00026576">
        <w:rPr>
          <w:noProof/>
        </w:rPr>
        <w:t>2</w:t>
      </w:r>
      <w:r w:rsidR="00FA2E72" w:rsidRPr="00026576">
        <w:fldChar w:fldCharType="end"/>
      </w:r>
      <w:r w:rsidR="00FA2E72" w:rsidRPr="00026576">
        <w:t xml:space="preserve"> provides the model fit for the negative binomial regression models. IRR (incidence rate ratios) is the exponential of the coefficient. </w:t>
      </w:r>
    </w:p>
    <w:p w14:paraId="421DD5B2" w14:textId="7E875A15" w:rsidR="00AD3548" w:rsidRPr="00026576" w:rsidRDefault="00FA2E72" w:rsidP="00961B7F">
      <w:pPr>
        <w:pStyle w:val="ListParagraph"/>
        <w:numPr>
          <w:ilvl w:val="1"/>
          <w:numId w:val="3"/>
        </w:numPr>
      </w:pPr>
      <w:r w:rsidRPr="00026576">
        <w:t xml:space="preserve">It denotes the corresponding multiplicative change of influence arising from a one-unit change in the explanatory variable. For instance, share of </w:t>
      </w:r>
      <w:r w:rsidR="00256E24" w:rsidRPr="00026576">
        <w:t>households in lowest household income quintile at national level</w:t>
      </w:r>
      <w:r w:rsidRPr="00026576">
        <w:t>, an IRR value of 0.</w:t>
      </w:r>
      <w:r w:rsidR="00256E24" w:rsidRPr="00026576">
        <w:t>964</w:t>
      </w:r>
      <w:r w:rsidRPr="00026576">
        <w:t xml:space="preserve"> in negative binomial regression model controlling for spatial effects, would imply that an explanatory variable is associated with a </w:t>
      </w:r>
      <w:r w:rsidR="00256E24" w:rsidRPr="00026576">
        <w:t>3</w:t>
      </w:r>
      <w:r w:rsidRPr="00026576">
        <w:t>.</w:t>
      </w:r>
      <w:r w:rsidR="00256E24" w:rsidRPr="00026576">
        <w:t>6</w:t>
      </w:r>
      <w:r w:rsidRPr="00026576">
        <w:t>% decrease (9</w:t>
      </w:r>
      <w:r w:rsidR="00256E24" w:rsidRPr="00026576">
        <w:t>6</w:t>
      </w:r>
      <w:r w:rsidRPr="00026576">
        <w:t>.</w:t>
      </w:r>
      <w:r w:rsidR="00256E24" w:rsidRPr="00026576">
        <w:t>4</w:t>
      </w:r>
      <w:r w:rsidRPr="00026576">
        <w:t>%) in first dose vaccine uptake for England.</w:t>
      </w:r>
    </w:p>
    <w:p w14:paraId="76DD32B6" w14:textId="53C7C35C" w:rsidR="00FA2E72" w:rsidRPr="00026576" w:rsidRDefault="00FA2E72" w:rsidP="00961B7F">
      <w:pPr>
        <w:pStyle w:val="ListParagraph"/>
        <w:numPr>
          <w:ilvl w:val="0"/>
          <w:numId w:val="3"/>
        </w:numPr>
      </w:pPr>
      <w:r w:rsidRPr="00026576">
        <w:t xml:space="preserve">Factors positively influencing vaccine uptake (IRR </w:t>
      </w:r>
      <w:r w:rsidR="00352BF0" w:rsidRPr="00026576">
        <w:t>&gt;</w:t>
      </w:r>
      <w:r w:rsidRPr="00026576">
        <w:t xml:space="preserve"> 1)</w:t>
      </w:r>
    </w:p>
    <w:p w14:paraId="07715641" w14:textId="766CC506" w:rsidR="00FA2E72" w:rsidRPr="00026576" w:rsidRDefault="00FA2E72" w:rsidP="00961B7F">
      <w:pPr>
        <w:pStyle w:val="ListParagraph"/>
        <w:numPr>
          <w:ilvl w:val="1"/>
          <w:numId w:val="3"/>
        </w:numPr>
      </w:pPr>
      <w:r w:rsidRPr="00026576">
        <w:t xml:space="preserve">Share of </w:t>
      </w:r>
      <w:r w:rsidR="00293BCD" w:rsidRPr="00026576">
        <w:t xml:space="preserve">the </w:t>
      </w:r>
      <w:r w:rsidR="00A732FC" w:rsidRPr="00026576">
        <w:t xml:space="preserve">higher education qualification, </w:t>
      </w:r>
      <w:r w:rsidRPr="00026576">
        <w:t xml:space="preserve">lower middle class, </w:t>
      </w:r>
      <w:r w:rsidR="00A732FC" w:rsidRPr="00026576">
        <w:t>p</w:t>
      </w:r>
      <w:r w:rsidRPr="00026576">
        <w:t xml:space="preserve">art-time workers, median ages of the resident population, </w:t>
      </w:r>
      <w:r w:rsidR="00F97353" w:rsidRPr="00026576">
        <w:t>number of accessible vaccination centres by public transportation within 60 min</w:t>
      </w:r>
      <w:r w:rsidR="00D20907">
        <w:t xml:space="preserve">, </w:t>
      </w:r>
      <w:r w:rsidRPr="00026576">
        <w:t>and the average vaccine uptake in adjacent areas (i.e., spatial lag).</w:t>
      </w:r>
    </w:p>
    <w:p w14:paraId="053A5DD1" w14:textId="4DEABEF3" w:rsidR="00FA2E72" w:rsidRPr="00026576" w:rsidRDefault="00FA2E72" w:rsidP="00961B7F">
      <w:pPr>
        <w:pStyle w:val="ListParagraph"/>
        <w:numPr>
          <w:ilvl w:val="0"/>
          <w:numId w:val="3"/>
        </w:numPr>
      </w:pPr>
      <w:r w:rsidRPr="00026576">
        <w:t>Factors negatively influencing vaccine uptake (IRR &lt; 1)</w:t>
      </w:r>
    </w:p>
    <w:p w14:paraId="4B473147" w14:textId="270379DF" w:rsidR="00FA2E72" w:rsidRPr="00026576" w:rsidRDefault="00FA2E72" w:rsidP="00961B7F">
      <w:pPr>
        <w:pStyle w:val="ListParagraph"/>
        <w:numPr>
          <w:ilvl w:val="1"/>
          <w:numId w:val="3"/>
        </w:numPr>
      </w:pPr>
      <w:r w:rsidRPr="00026576">
        <w:t>Share of low</w:t>
      </w:r>
      <w:r w:rsidR="00293BCD" w:rsidRPr="00026576">
        <w:t>-</w:t>
      </w:r>
      <w:r w:rsidRPr="00026576">
        <w:t xml:space="preserve">income households, </w:t>
      </w:r>
      <w:r w:rsidR="00F97353" w:rsidRPr="00026576">
        <w:t>household with no car</w:t>
      </w:r>
      <w:r w:rsidRPr="00026576">
        <w:t xml:space="preserve">, </w:t>
      </w:r>
      <w:r w:rsidR="006E5773" w:rsidRPr="00026576">
        <w:t>number of accessible vaccination centres by car (within 45min)</w:t>
      </w:r>
      <w:r w:rsidR="006E5773" w:rsidRPr="00026576">
        <w:t>, and minor ethnic groups.</w:t>
      </w:r>
    </w:p>
    <w:p w14:paraId="42AC5C40" w14:textId="4C941FA0" w:rsidR="006D5155" w:rsidRPr="00026576" w:rsidRDefault="006D5155" w:rsidP="00961B7F">
      <w:pPr>
        <w:pStyle w:val="ListParagraph"/>
        <w:numPr>
          <w:ilvl w:val="0"/>
          <w:numId w:val="3"/>
        </w:numPr>
      </w:pPr>
      <w:r w:rsidRPr="00026576">
        <w:t xml:space="preserve">Moran’s I </w:t>
      </w:r>
      <w:r w:rsidR="00293BCD" w:rsidRPr="00026576">
        <w:t>wa</w:t>
      </w:r>
      <w:r w:rsidRPr="00026576">
        <w:t xml:space="preserve">s used to assess the spatial autocorrelation of the NB model’s residual value, </w:t>
      </w:r>
      <w:r w:rsidR="00EB47AC" w:rsidRPr="00026576">
        <w:t xml:space="preserve">and </w:t>
      </w:r>
      <w:r w:rsidRPr="00026576">
        <w:t xml:space="preserve">it </w:t>
      </w:r>
      <w:r w:rsidR="001A4BB7" w:rsidRPr="00026576">
        <w:t xml:space="preserve">allows </w:t>
      </w:r>
      <w:r w:rsidRPr="00026576">
        <w:t xml:space="preserve">us to investigate </w:t>
      </w:r>
      <w:r w:rsidR="001A4BB7" w:rsidRPr="00026576">
        <w:t xml:space="preserve">a </w:t>
      </w:r>
      <w:r w:rsidR="00522D0D" w:rsidRPr="00026576">
        <w:t>Poisson regression approach for modelling spatial count data</w:t>
      </w:r>
      <w:r w:rsidR="00846970" w:rsidRPr="00026576">
        <w:t xml:space="preserve"> (see </w:t>
      </w:r>
      <w:r w:rsidR="00846970" w:rsidRPr="00026576">
        <w:fldChar w:fldCharType="begin"/>
      </w:r>
      <w:r w:rsidR="00846970" w:rsidRPr="00026576">
        <w:instrText xml:space="preserve"> REF _Ref89894575 \h </w:instrText>
      </w:r>
      <w:r w:rsidR="00456B11" w:rsidRPr="00026576">
        <w:instrText xml:space="preserve"> \* MERGEFORMAT </w:instrText>
      </w:r>
      <w:r w:rsidR="00846970" w:rsidRPr="00026576">
        <w:fldChar w:fldCharType="separate"/>
      </w:r>
      <w:r w:rsidR="00846970" w:rsidRPr="00026576">
        <w:t xml:space="preserve">Table </w:t>
      </w:r>
      <w:r w:rsidR="00846970" w:rsidRPr="00026576">
        <w:rPr>
          <w:noProof/>
        </w:rPr>
        <w:t>1</w:t>
      </w:r>
      <w:r w:rsidR="00846970" w:rsidRPr="00026576">
        <w:fldChar w:fldCharType="end"/>
      </w:r>
      <w:r w:rsidR="00846970" w:rsidRPr="00026576">
        <w:t>)</w:t>
      </w:r>
      <w:r w:rsidRPr="00026576">
        <w:t>.</w:t>
      </w:r>
    </w:p>
    <w:p w14:paraId="57BAA8FA" w14:textId="3322CF14" w:rsidR="004237B2" w:rsidRPr="00026576" w:rsidRDefault="004237B2" w:rsidP="00961B7F">
      <w:pPr>
        <w:pStyle w:val="ListParagraph"/>
        <w:numPr>
          <w:ilvl w:val="0"/>
          <w:numId w:val="3"/>
        </w:numPr>
      </w:pPr>
      <w:r w:rsidRPr="00026576">
        <w:t>Spatially varying coefficients in covariates</w:t>
      </w:r>
      <w:r w:rsidR="00C93EF1" w:rsidRPr="00026576">
        <w:t xml:space="preserve"> </w:t>
      </w:r>
      <w:r w:rsidR="00A70778" w:rsidRPr="00026576">
        <w:t>explain spatial differences in vaccine uptake for</w:t>
      </w:r>
      <w:r w:rsidRPr="00026576">
        <w:t xml:space="preserve"> England</w:t>
      </w:r>
      <w:r w:rsidR="002C0114">
        <w:t xml:space="preserve"> </w:t>
      </w:r>
      <w:r w:rsidR="002C0114" w:rsidRPr="00026576">
        <w:t>(</w:t>
      </w:r>
      <w:r w:rsidR="002C0114" w:rsidRPr="00026576">
        <w:fldChar w:fldCharType="begin"/>
      </w:r>
      <w:r w:rsidR="002C0114" w:rsidRPr="00026576">
        <w:instrText xml:space="preserve"> REF _Ref89261718 \h  \* MERGEFORMAT </w:instrText>
      </w:r>
      <w:r w:rsidR="002C0114" w:rsidRPr="00026576">
        <w:fldChar w:fldCharType="separate"/>
      </w:r>
      <w:r w:rsidR="002C0114" w:rsidRPr="00026576">
        <w:t xml:space="preserve">Table </w:t>
      </w:r>
      <w:r w:rsidR="002C0114" w:rsidRPr="00026576">
        <w:rPr>
          <w:noProof/>
        </w:rPr>
        <w:t>3</w:t>
      </w:r>
      <w:r w:rsidR="002C0114" w:rsidRPr="00026576">
        <w:fldChar w:fldCharType="end"/>
      </w:r>
      <w:r w:rsidR="002C0114" w:rsidRPr="00026576">
        <w:t>)</w:t>
      </w:r>
      <w:r w:rsidRPr="00026576">
        <w:t>.</w:t>
      </w:r>
    </w:p>
    <w:p w14:paraId="2BF168AD" w14:textId="0E2344B2" w:rsidR="00FC6B41" w:rsidRPr="00026576" w:rsidRDefault="00C93EF1" w:rsidP="00961B7F">
      <w:pPr>
        <w:pStyle w:val="ListParagraph"/>
        <w:numPr>
          <w:ilvl w:val="1"/>
          <w:numId w:val="3"/>
        </w:numPr>
      </w:pPr>
      <w:r w:rsidRPr="00026576">
        <w:fldChar w:fldCharType="begin"/>
      </w:r>
      <w:r w:rsidRPr="00026576">
        <w:instrText xml:space="preserve"> REF _Ref88497998 \h </w:instrText>
      </w:r>
      <w:r w:rsidR="00C601B0" w:rsidRPr="00026576">
        <w:instrText xml:space="preserve"> \* MERGEFORMAT </w:instrText>
      </w:r>
      <w:r w:rsidRPr="00026576">
        <w:fldChar w:fldCharType="separate"/>
      </w:r>
      <w:r w:rsidRPr="00026576">
        <w:t xml:space="preserve">Figure </w:t>
      </w:r>
      <w:r w:rsidRPr="00026576">
        <w:rPr>
          <w:noProof/>
        </w:rPr>
        <w:t>2</w:t>
      </w:r>
      <w:r w:rsidRPr="00026576">
        <w:fldChar w:fldCharType="end"/>
      </w:r>
      <w:r w:rsidRPr="00026576">
        <w:t xml:space="preserve"> illustrate</w:t>
      </w:r>
      <w:r w:rsidR="00F51040" w:rsidRPr="00026576">
        <w:t xml:space="preserve">s </w:t>
      </w:r>
      <w:r w:rsidRPr="00026576">
        <w:t xml:space="preserve">the spatial distribution of generated clusters using </w:t>
      </w:r>
      <w:r w:rsidR="00A70778" w:rsidRPr="00026576">
        <w:t xml:space="preserve">the </w:t>
      </w:r>
      <w:r w:rsidRPr="00026576">
        <w:t>SFCR model.</w:t>
      </w:r>
    </w:p>
    <w:bookmarkStart w:id="7" w:name="_Ref88144329"/>
    <w:p w14:paraId="627F2C1B" w14:textId="698E2A4B" w:rsidR="004E03F5" w:rsidRPr="00026576" w:rsidRDefault="001E1457" w:rsidP="00961B7F">
      <w:pPr>
        <w:pStyle w:val="ListParagraph"/>
        <w:numPr>
          <w:ilvl w:val="1"/>
          <w:numId w:val="3"/>
        </w:numPr>
        <w:rPr>
          <w:b/>
          <w:bCs/>
        </w:rPr>
      </w:pPr>
      <w:r w:rsidRPr="00026576">
        <w:fldChar w:fldCharType="begin"/>
      </w:r>
      <w:r w:rsidRPr="00026576">
        <w:instrText xml:space="preserve"> REF _Ref90856331 \h </w:instrText>
      </w:r>
      <w:r w:rsidR="00456B11" w:rsidRPr="00026576">
        <w:instrText xml:space="preserve"> \* MERGEFORMAT </w:instrText>
      </w:r>
      <w:r w:rsidRPr="00026576">
        <w:fldChar w:fldCharType="separate"/>
      </w:r>
      <w:r w:rsidRPr="00026576">
        <w:t xml:space="preserve">Table </w:t>
      </w:r>
      <w:r w:rsidRPr="00026576">
        <w:rPr>
          <w:noProof/>
        </w:rPr>
        <w:t>4</w:t>
      </w:r>
      <w:r w:rsidRPr="00026576">
        <w:fldChar w:fldCharType="end"/>
      </w:r>
      <w:r w:rsidRPr="00026576">
        <w:t xml:space="preserve"> </w:t>
      </w:r>
      <w:r w:rsidR="00522D0D" w:rsidRPr="00026576">
        <w:t>d</w:t>
      </w:r>
      <w:r w:rsidR="007F4B90" w:rsidRPr="00026576">
        <w:t>escribe</w:t>
      </w:r>
      <w:r w:rsidR="00F51040" w:rsidRPr="00026576">
        <w:t>d</w:t>
      </w:r>
      <w:r w:rsidR="00522D0D" w:rsidRPr="00026576">
        <w:t xml:space="preserve"> the </w:t>
      </w:r>
      <w:r w:rsidR="00F51040" w:rsidRPr="00026576">
        <w:t>characteristics contributing to vaccination uptake across England, and articulated inequalities in access to vaccines by clusters.</w:t>
      </w:r>
    </w:p>
    <w:p w14:paraId="69CD63A3" w14:textId="51A617FB" w:rsidR="001E1457" w:rsidRPr="00026576" w:rsidRDefault="006942D4" w:rsidP="00961B7F">
      <w:pPr>
        <w:pStyle w:val="ListParagraph"/>
        <w:numPr>
          <w:ilvl w:val="0"/>
          <w:numId w:val="3"/>
        </w:numPr>
        <w:rPr>
          <w:color w:val="FF0000"/>
        </w:rPr>
      </w:pPr>
      <w:r>
        <w:rPr>
          <w:color w:val="FF0000"/>
        </w:rPr>
        <w:t>I</w:t>
      </w:r>
      <w:r w:rsidR="00174865" w:rsidRPr="00026576">
        <w:rPr>
          <w:color w:val="FF0000"/>
        </w:rPr>
        <w:t>ntermediate</w:t>
      </w:r>
      <w:r w:rsidR="001E1457" w:rsidRPr="00026576">
        <w:rPr>
          <w:color w:val="FF0000"/>
        </w:rPr>
        <w:t xml:space="preserve"> </w:t>
      </w:r>
      <w:r w:rsidR="008A7191" w:rsidRPr="00026576">
        <w:rPr>
          <w:color w:val="FF0000"/>
        </w:rPr>
        <w:t xml:space="preserve">factors based on SFCR model estimation results, </w:t>
      </w:r>
      <w:r w:rsidR="00174865" w:rsidRPr="00026576">
        <w:rPr>
          <w:color w:val="FF0000"/>
        </w:rPr>
        <w:t>would have</w:t>
      </w:r>
      <w:r w:rsidR="008A7191" w:rsidRPr="00026576">
        <w:rPr>
          <w:color w:val="FF0000"/>
        </w:rPr>
        <w:t xml:space="preserve"> </w:t>
      </w:r>
      <w:r w:rsidR="00174865" w:rsidRPr="00026576">
        <w:rPr>
          <w:color w:val="FF0000"/>
        </w:rPr>
        <w:t>different influence</w:t>
      </w:r>
      <w:r w:rsidR="00A5247E">
        <w:rPr>
          <w:color w:val="FF0000"/>
        </w:rPr>
        <w:t>s</w:t>
      </w:r>
      <w:r w:rsidR="008A7191" w:rsidRPr="00026576">
        <w:rPr>
          <w:color w:val="FF0000"/>
        </w:rPr>
        <w:t xml:space="preserve"> on</w:t>
      </w:r>
      <w:r w:rsidR="001E1457" w:rsidRPr="00026576">
        <w:rPr>
          <w:color w:val="FF0000"/>
        </w:rPr>
        <w:t xml:space="preserve"> vaccine uptake</w:t>
      </w:r>
      <w:r w:rsidR="00174865" w:rsidRPr="00026576">
        <w:rPr>
          <w:color w:val="FF0000"/>
        </w:rPr>
        <w:t xml:space="preserve"> </w:t>
      </w:r>
      <w:r w:rsidR="001E1457" w:rsidRPr="00026576">
        <w:rPr>
          <w:color w:val="FF0000"/>
        </w:rPr>
        <w:t>by clusters</w:t>
      </w:r>
      <w:r w:rsidR="00007AEC" w:rsidRPr="00026576">
        <w:rPr>
          <w:color w:val="FF0000"/>
        </w:rPr>
        <w:t xml:space="preserve"> (</w:t>
      </w:r>
      <w:r w:rsidR="00007AEC" w:rsidRPr="00026576">
        <w:rPr>
          <w:color w:val="FF0000"/>
        </w:rPr>
        <w:fldChar w:fldCharType="begin"/>
      </w:r>
      <w:r w:rsidR="00007AEC" w:rsidRPr="00026576">
        <w:rPr>
          <w:color w:val="FF0000"/>
        </w:rPr>
        <w:instrText xml:space="preserve"> REF _Ref90857090 \h </w:instrText>
      </w:r>
      <w:r w:rsidR="00007AEC" w:rsidRPr="00026576">
        <w:rPr>
          <w:color w:val="FF0000"/>
        </w:rPr>
      </w:r>
      <w:r w:rsidR="00026576">
        <w:rPr>
          <w:color w:val="FF0000"/>
        </w:rPr>
        <w:instrText xml:space="preserve"> \* MERGEFORMAT </w:instrText>
      </w:r>
      <w:r w:rsidR="00007AEC" w:rsidRPr="00026576">
        <w:rPr>
          <w:color w:val="FF0000"/>
        </w:rPr>
        <w:fldChar w:fldCharType="separate"/>
      </w:r>
      <w:r w:rsidR="00007AEC" w:rsidRPr="00026576">
        <w:rPr>
          <w:color w:val="FF0000"/>
        </w:rPr>
        <w:t xml:space="preserve">Table </w:t>
      </w:r>
      <w:r w:rsidR="00007AEC" w:rsidRPr="00026576">
        <w:rPr>
          <w:noProof/>
          <w:color w:val="FF0000"/>
        </w:rPr>
        <w:t>3</w:t>
      </w:r>
      <w:r w:rsidR="00007AEC" w:rsidRPr="00026576">
        <w:rPr>
          <w:color w:val="FF0000"/>
        </w:rPr>
        <w:fldChar w:fldCharType="end"/>
      </w:r>
      <w:r w:rsidR="00007AEC" w:rsidRPr="00026576">
        <w:rPr>
          <w:color w:val="FF0000"/>
        </w:rPr>
        <w:t>)</w:t>
      </w:r>
    </w:p>
    <w:p w14:paraId="3A6F141C" w14:textId="2E6B6591" w:rsidR="001E1457" w:rsidRPr="00026576" w:rsidRDefault="001E1457" w:rsidP="00961B7F">
      <w:pPr>
        <w:pStyle w:val="ListParagraph"/>
        <w:numPr>
          <w:ilvl w:val="1"/>
          <w:numId w:val="3"/>
        </w:numPr>
      </w:pPr>
      <w:r w:rsidRPr="00026576">
        <w:t>Consistent</w:t>
      </w:r>
      <w:r w:rsidR="00174865" w:rsidRPr="00026576">
        <w:t xml:space="preserve"> variables</w:t>
      </w:r>
      <w:r w:rsidRPr="00026576">
        <w:t>: Share of low-income, household</w:t>
      </w:r>
      <w:r w:rsidR="00A5247E">
        <w:t>s</w:t>
      </w:r>
      <w:r w:rsidRPr="00026576">
        <w:t xml:space="preserve"> with no car, part-time workers, and median ages of the resident population.</w:t>
      </w:r>
    </w:p>
    <w:p w14:paraId="64D0F637" w14:textId="5DCBB630" w:rsidR="000262F7" w:rsidRPr="00026576" w:rsidRDefault="00174865" w:rsidP="00961B7F">
      <w:pPr>
        <w:pStyle w:val="ListParagraph"/>
        <w:numPr>
          <w:ilvl w:val="1"/>
          <w:numId w:val="3"/>
        </w:numPr>
        <w:rPr>
          <w:b/>
          <w:bCs/>
        </w:rPr>
      </w:pPr>
      <w:r w:rsidRPr="00026576">
        <w:t>Intermediate variables</w:t>
      </w:r>
      <w:r w:rsidR="001E1457" w:rsidRPr="00026576">
        <w:t xml:space="preserve">: Share of </w:t>
      </w:r>
      <w:r w:rsidR="00A5247E">
        <w:t xml:space="preserve">the </w:t>
      </w:r>
      <w:r w:rsidR="001E1457" w:rsidRPr="00026576">
        <w:t>lower middle class, number of accessible vaccination centres by car (within 45 min) and public transportation (within 60 min)</w:t>
      </w:r>
      <w:r w:rsidR="00456B11" w:rsidRPr="00026576">
        <w:t>. Subsequently, share of part-time workers and ethnic minority groups in a few groups.</w:t>
      </w:r>
    </w:p>
    <w:p w14:paraId="71716478" w14:textId="6625BD47" w:rsidR="00007AEC" w:rsidRPr="00026576" w:rsidRDefault="00D41359" w:rsidP="00961B7F">
      <w:pPr>
        <w:pStyle w:val="ListParagraph"/>
        <w:numPr>
          <w:ilvl w:val="0"/>
          <w:numId w:val="3"/>
        </w:numPr>
        <w:rPr>
          <w:color w:val="FF0000"/>
        </w:rPr>
      </w:pPr>
      <w:r w:rsidRPr="00026576">
        <w:rPr>
          <w:color w:val="FF0000"/>
        </w:rPr>
        <w:t>Inequalities in access to COVID-19 vaccines for England</w:t>
      </w:r>
      <w:r w:rsidR="00EE4876" w:rsidRPr="00026576">
        <w:rPr>
          <w:color w:val="FF0000"/>
        </w:rPr>
        <w:t xml:space="preserve"> </w:t>
      </w:r>
      <w:r w:rsidR="00CB70E4">
        <w:rPr>
          <w:color w:val="FF0000"/>
        </w:rPr>
        <w:t xml:space="preserve">– categories </w:t>
      </w:r>
      <w:r w:rsidR="00EE4876" w:rsidRPr="00026576">
        <w:rPr>
          <w:color w:val="FF0000"/>
        </w:rPr>
        <w:t>(</w:t>
      </w:r>
      <w:r w:rsidR="00EE4876" w:rsidRPr="00026576">
        <w:rPr>
          <w:color w:val="FF0000"/>
        </w:rPr>
        <w:fldChar w:fldCharType="begin"/>
      </w:r>
      <w:r w:rsidR="00EE4876" w:rsidRPr="00026576">
        <w:rPr>
          <w:color w:val="FF0000"/>
        </w:rPr>
        <w:instrText xml:space="preserve"> REF _Ref90856331 \h </w:instrText>
      </w:r>
      <w:r w:rsidR="00EE4876" w:rsidRPr="00026576">
        <w:rPr>
          <w:color w:val="FF0000"/>
        </w:rPr>
      </w:r>
      <w:r w:rsidR="00026576">
        <w:rPr>
          <w:color w:val="FF0000"/>
        </w:rPr>
        <w:instrText xml:space="preserve"> \* MERGEFORMAT </w:instrText>
      </w:r>
      <w:r w:rsidR="00EE4876" w:rsidRPr="00026576">
        <w:rPr>
          <w:color w:val="FF0000"/>
        </w:rPr>
        <w:fldChar w:fldCharType="separate"/>
      </w:r>
      <w:r w:rsidR="00EE4876" w:rsidRPr="00026576">
        <w:rPr>
          <w:color w:val="FF0000"/>
        </w:rPr>
        <w:t xml:space="preserve">Table </w:t>
      </w:r>
      <w:r w:rsidR="00EE4876" w:rsidRPr="00026576">
        <w:rPr>
          <w:noProof/>
          <w:color w:val="FF0000"/>
        </w:rPr>
        <w:t>4</w:t>
      </w:r>
      <w:r w:rsidR="00EE4876" w:rsidRPr="00026576">
        <w:rPr>
          <w:color w:val="FF0000"/>
        </w:rPr>
        <w:fldChar w:fldCharType="end"/>
      </w:r>
      <w:r w:rsidR="00EE4876" w:rsidRPr="00026576">
        <w:rPr>
          <w:color w:val="FF0000"/>
        </w:rPr>
        <w:t>)</w:t>
      </w:r>
    </w:p>
    <w:p w14:paraId="489992DA" w14:textId="52E7DAFE" w:rsidR="00D41359" w:rsidRPr="00026576" w:rsidRDefault="003125E7" w:rsidP="00961B7F">
      <w:pPr>
        <w:pStyle w:val="ListParagraph"/>
        <w:numPr>
          <w:ilvl w:val="1"/>
          <w:numId w:val="3"/>
        </w:numPr>
      </w:pPr>
      <w:r w:rsidRPr="00026576">
        <w:t xml:space="preserve">Outstanding accessibility (to vaccination centres) but </w:t>
      </w:r>
      <w:r w:rsidR="00B520E9" w:rsidRPr="00026576">
        <w:t>below average</w:t>
      </w:r>
      <w:r w:rsidRPr="00026576">
        <w:t xml:space="preserve"> vaccine uptake</w:t>
      </w:r>
      <w:r w:rsidR="00070845" w:rsidRPr="00026576">
        <w:t xml:space="preserve"> </w:t>
      </w:r>
      <w:r w:rsidR="00070845" w:rsidRPr="00026576">
        <w:t xml:space="preserve">in G3 </w:t>
      </w:r>
      <w:r w:rsidR="007A1779">
        <w:t xml:space="preserve">(London) </w:t>
      </w:r>
      <w:r w:rsidR="00070845" w:rsidRPr="00026576">
        <w:t>and G7</w:t>
      </w:r>
      <w:r w:rsidR="007A1779">
        <w:t xml:space="preserve"> (</w:t>
      </w:r>
      <w:r w:rsidR="00F74AC6">
        <w:t>West County)</w:t>
      </w:r>
      <w:r w:rsidR="00B520E9" w:rsidRPr="00026576">
        <w:t xml:space="preserve">: those areas </w:t>
      </w:r>
      <w:r w:rsidR="00070845" w:rsidRPr="00026576">
        <w:t>were</w:t>
      </w:r>
      <w:r w:rsidR="00EE4876" w:rsidRPr="00026576">
        <w:t xml:space="preserve"> </w:t>
      </w:r>
      <w:r w:rsidRPr="00026576">
        <w:t>shown to have above</w:t>
      </w:r>
      <w:r w:rsidR="00F74AC6">
        <w:t>-</w:t>
      </w:r>
      <w:r w:rsidRPr="00026576">
        <w:t>average accessibility but ha</w:t>
      </w:r>
      <w:r w:rsidR="00F74AC6">
        <w:t>d</w:t>
      </w:r>
      <w:r w:rsidRPr="00026576">
        <w:t xml:space="preserve"> lower uptake.</w:t>
      </w:r>
    </w:p>
    <w:p w14:paraId="3974F20C" w14:textId="10C350B1" w:rsidR="00C91B9D" w:rsidRPr="00026576" w:rsidRDefault="003125E7" w:rsidP="00961B7F">
      <w:pPr>
        <w:pStyle w:val="ListParagraph"/>
        <w:numPr>
          <w:ilvl w:val="1"/>
          <w:numId w:val="3"/>
        </w:numPr>
      </w:pPr>
      <w:r w:rsidRPr="00026576">
        <w:t xml:space="preserve">Poorer accessibility to vaccination centres, but </w:t>
      </w:r>
      <w:r w:rsidR="00EE4876" w:rsidRPr="00026576">
        <w:t xml:space="preserve">above average </w:t>
      </w:r>
      <w:r w:rsidRPr="00026576">
        <w:t>uptake</w:t>
      </w:r>
      <w:r w:rsidR="00EE4876" w:rsidRPr="00026576">
        <w:t xml:space="preserve"> in G1, G5, and G6</w:t>
      </w:r>
      <w:r w:rsidR="00070845" w:rsidRPr="00026576">
        <w:t>:</w:t>
      </w:r>
      <w:r w:rsidR="00830E6B">
        <w:t xml:space="preserve"> excess mor</w:t>
      </w:r>
      <w:r w:rsidR="00F74AC6">
        <w:t>t</w:t>
      </w:r>
      <w:r w:rsidR="00830E6B">
        <w:t xml:space="preserve">ality was observed in </w:t>
      </w:r>
      <w:r w:rsidR="00F74AC6">
        <w:t xml:space="preserve">the </w:t>
      </w:r>
      <w:r w:rsidR="00830E6B">
        <w:t>first wave of the pandemic in early 2020.</w:t>
      </w:r>
    </w:p>
    <w:p w14:paraId="41DFA6F2" w14:textId="29DE854F" w:rsidR="00456B11" w:rsidRPr="00026576" w:rsidRDefault="00EE4876" w:rsidP="00961B7F">
      <w:pPr>
        <w:pStyle w:val="ListParagraph"/>
        <w:numPr>
          <w:ilvl w:val="1"/>
          <w:numId w:val="3"/>
        </w:numPr>
      </w:pPr>
      <w:r w:rsidRPr="00026576">
        <w:t>Lower than average accessibility will likely lead to poor vaccine uptake in G2 and G4.</w:t>
      </w:r>
    </w:p>
    <w:p w14:paraId="58ACF9F8" w14:textId="122B492D" w:rsidR="00026576" w:rsidRPr="00026576" w:rsidRDefault="00026576" w:rsidP="00961B7F">
      <w:pPr>
        <w:pStyle w:val="ListParagraph"/>
        <w:numPr>
          <w:ilvl w:val="2"/>
          <w:numId w:val="3"/>
        </w:numPr>
      </w:pPr>
      <w:r w:rsidRPr="00026576">
        <w:t>Poor access to vaccination centres</w:t>
      </w:r>
      <w:r w:rsidR="00F74AC6">
        <w:t xml:space="preserve"> served as access barriers that may influence vaccine </w:t>
      </w:r>
      <w:r w:rsidRPr="00026576">
        <w:t>uptake.</w:t>
      </w:r>
    </w:p>
    <w:p w14:paraId="6C22266C" w14:textId="77777777" w:rsidR="00026576" w:rsidRPr="00026576" w:rsidRDefault="00026576" w:rsidP="00961B7F">
      <w:pPr>
        <w:spacing w:line="276" w:lineRule="auto"/>
        <w:rPr>
          <w:rFonts w:ascii="Calibri" w:hAnsi="Calibri" w:cs="Calibri"/>
        </w:rPr>
      </w:pPr>
    </w:p>
    <w:p w14:paraId="5A2A73DD" w14:textId="5B34D309" w:rsidR="00D91328" w:rsidRPr="00026576" w:rsidRDefault="00D91328" w:rsidP="00961B7F">
      <w:pPr>
        <w:pStyle w:val="Heading2"/>
      </w:pPr>
      <w:r w:rsidRPr="00026576">
        <w:t>Discussion and conclusions</w:t>
      </w:r>
      <w:r w:rsidR="00765D7C" w:rsidRPr="00026576">
        <w:t xml:space="preserve"> (ALL)</w:t>
      </w:r>
    </w:p>
    <w:p w14:paraId="4AD8EC44" w14:textId="5EA906AC" w:rsidR="002162B1" w:rsidRPr="00026576" w:rsidRDefault="002162B1" w:rsidP="00961B7F">
      <w:pPr>
        <w:pStyle w:val="ListParagraph"/>
        <w:numPr>
          <w:ilvl w:val="0"/>
          <w:numId w:val="14"/>
        </w:numPr>
      </w:pPr>
      <w:r w:rsidRPr="00026576">
        <w:t xml:space="preserve">UK Government’s vaccine programme has failed to effective vaccine rollout, which might be influenced by inequalities in access to COVID-19 vaccines. In other words, </w:t>
      </w:r>
      <w:r w:rsidR="00A5247E">
        <w:t xml:space="preserve">the </w:t>
      </w:r>
      <w:r w:rsidRPr="00026576">
        <w:t xml:space="preserve">effects of </w:t>
      </w:r>
      <w:r w:rsidR="00A5247E">
        <w:t xml:space="preserve">the </w:t>
      </w:r>
      <w:r w:rsidRPr="00026576">
        <w:t>unequal spatial distribution of vaccination centres in England.</w:t>
      </w:r>
    </w:p>
    <w:p w14:paraId="00012577" w14:textId="2EEEB797" w:rsidR="00771833" w:rsidRPr="00026576" w:rsidRDefault="002162B1" w:rsidP="00961B7F">
      <w:pPr>
        <w:pStyle w:val="ListParagraph"/>
        <w:numPr>
          <w:ilvl w:val="0"/>
          <w:numId w:val="14"/>
        </w:numPr>
        <w:rPr>
          <w:color w:val="FF0000"/>
        </w:rPr>
      </w:pPr>
      <w:r w:rsidRPr="00026576">
        <w:rPr>
          <w:color w:val="FF0000"/>
        </w:rPr>
        <w:t>The effectiveness of walk-in centre strategy</w:t>
      </w:r>
      <w:r w:rsidR="00D923BF" w:rsidRPr="00026576">
        <w:rPr>
          <w:color w:val="FF0000"/>
        </w:rPr>
        <w:t xml:space="preserve"> (starts from 25 June 2021) </w:t>
      </w:r>
      <w:r w:rsidR="00A5247E">
        <w:rPr>
          <w:color w:val="FF0000"/>
        </w:rPr>
        <w:t xml:space="preserve">paves the way to </w:t>
      </w:r>
      <w:r w:rsidRPr="00026576">
        <w:rPr>
          <w:color w:val="FF0000"/>
        </w:rPr>
        <w:t>increase vaccine uptake.</w:t>
      </w:r>
    </w:p>
    <w:p w14:paraId="7EECCF9B" w14:textId="4EDCA401" w:rsidR="002162B1" w:rsidRPr="00026576" w:rsidRDefault="002162B1" w:rsidP="00961B7F">
      <w:pPr>
        <w:pStyle w:val="ListParagraph"/>
        <w:numPr>
          <w:ilvl w:val="1"/>
          <w:numId w:val="14"/>
        </w:numPr>
        <w:rPr>
          <w:color w:val="FF0000"/>
        </w:rPr>
      </w:pPr>
      <w:r w:rsidRPr="00026576">
        <w:rPr>
          <w:color w:val="FF0000"/>
        </w:rPr>
        <w:t xml:space="preserve">Does walk-in centre strategy contribute to </w:t>
      </w:r>
      <w:r w:rsidR="00A5247E">
        <w:rPr>
          <w:color w:val="FF0000"/>
        </w:rPr>
        <w:t>increasing uptake for England</w:t>
      </w:r>
      <w:r w:rsidRPr="00026576">
        <w:rPr>
          <w:color w:val="FF0000"/>
        </w:rPr>
        <w:t>? To address this question, this study thus investigates the rise of vaccine uptake for 24 June 2021, when interventions ha</w:t>
      </w:r>
      <w:r w:rsidR="00A5247E">
        <w:rPr>
          <w:color w:val="FF0000"/>
        </w:rPr>
        <w:t>ve</w:t>
      </w:r>
      <w:r w:rsidRPr="00026576">
        <w:rPr>
          <w:color w:val="FF0000"/>
        </w:rPr>
        <w:t xml:space="preserve"> been implemented.</w:t>
      </w:r>
    </w:p>
    <w:p w14:paraId="76D5C6CC" w14:textId="77777777" w:rsidR="00ED024C" w:rsidRPr="00026576" w:rsidRDefault="00ED024C" w:rsidP="00961B7F">
      <w:pPr>
        <w:spacing w:line="276" w:lineRule="auto"/>
        <w:rPr>
          <w:rFonts w:ascii="Calibri" w:hAnsi="Calibri" w:cs="Calibri"/>
        </w:rPr>
      </w:pPr>
    </w:p>
    <w:p w14:paraId="10D8AFCB" w14:textId="4EE316E6" w:rsidR="004E03F5" w:rsidRPr="00026576" w:rsidRDefault="004E03F5" w:rsidP="00961B7F">
      <w:pPr>
        <w:pStyle w:val="Heading1"/>
      </w:pPr>
      <w:r w:rsidRPr="00026576">
        <w:t>Bibliography</w:t>
      </w:r>
    </w:p>
    <w:p w14:paraId="381CCA74" w14:textId="780A3D85" w:rsidR="008A7191" w:rsidRPr="00026576" w:rsidRDefault="004E03F5" w:rsidP="00961B7F">
      <w:pPr>
        <w:adjustRightInd w:val="0"/>
        <w:spacing w:after="0" w:line="276" w:lineRule="auto"/>
        <w:ind w:left="480" w:hanging="480"/>
        <w:rPr>
          <w:rFonts w:ascii="Calibri" w:hAnsi="Calibri" w:cs="Calibri"/>
          <w:noProof/>
          <w:szCs w:val="24"/>
        </w:rPr>
      </w:pPr>
      <w:r w:rsidRPr="00026576">
        <w:rPr>
          <w:rFonts w:ascii="Calibri" w:hAnsi="Calibri" w:cs="Calibri"/>
          <w:b/>
          <w:bCs/>
        </w:rPr>
        <w:fldChar w:fldCharType="begin" w:fldLock="1"/>
      </w:r>
      <w:r w:rsidRPr="00026576">
        <w:rPr>
          <w:rFonts w:ascii="Calibri" w:hAnsi="Calibri" w:cs="Calibri"/>
          <w:b/>
          <w:bCs/>
        </w:rPr>
        <w:instrText xml:space="preserve">ADDIN Mendeley Bibliography CSL_BIBLIOGRAPHY </w:instrText>
      </w:r>
      <w:r w:rsidRPr="00026576">
        <w:rPr>
          <w:rFonts w:ascii="Calibri" w:hAnsi="Calibri" w:cs="Calibri"/>
          <w:b/>
          <w:bCs/>
        </w:rPr>
        <w:fldChar w:fldCharType="separate"/>
      </w:r>
      <w:r w:rsidR="008A7191" w:rsidRPr="00026576">
        <w:rPr>
          <w:rFonts w:ascii="Calibri" w:hAnsi="Calibri" w:cs="Calibri"/>
          <w:noProof/>
          <w:szCs w:val="24"/>
        </w:rPr>
        <w:t>Deboosere, R., El-Geneidy, A., 2018. Evaluating equity and accessibility to jobs by public transport across Canada. J. Transp. Geogr. 73, 54–63. https://doi.org/10.1016/j.jtrangeo.2018.10.006</w:t>
      </w:r>
    </w:p>
    <w:p w14:paraId="438F8B3F"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Department of Health &amp; Social Care, 2020. UK COVID-19 vaccines delivery plan [WWW Document]. URL https://www.gov.uk/government/publications/uk-covid-19-vaccines-delivery-plan/uk-covid-19-vaccines-delivery-plan (accessed 1.13.21).</w:t>
      </w:r>
    </w:p>
    <w:p w14:paraId="74DDD82F"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El-Geneidy, A., Levinson, D., Diab, E., Boisjoly, G., Verbich, D., Loong, C., 2016. The cost of equity: Assessing transit accessibility and social disparity using total travel cost. Transp. Res. Part A Policy Pract. 91, 302–316. https://doi.org/10.1016/j.tra.2016.07.003</w:t>
      </w:r>
    </w:p>
    <w:p w14:paraId="7DBB7D47"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Kelobonye, K., Zhou, H., McCarney, G., Xia, J. (Cecilia), 2020. Measuring the accessibility and spatial equity of urban services under competition using the cumulative opportunities measure. J. Transp. Geogr. 85, 102706. https://doi.org/10.1016/j.jtrangeo.2020.102706</w:t>
      </w:r>
    </w:p>
    <w:p w14:paraId="1CC216E3"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Li, F., Sang, H., 2019. Spatial Homogeneity Pursuit of Regression Coefficients for Large Datasets. J. Am. Stat. Assoc. 114, 1050–1062. https://doi.org/10.1080/01621459.2018.1529595</w:t>
      </w:r>
    </w:p>
    <w:p w14:paraId="5CF4D350"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Morgan, M., Young, M., Lovelace, R., Hama, L., 2019. OpenTripPlanner for R. J. Open Source Softw. 4, 1926. https://doi.org/10.21105/joss.01926</w:t>
      </w:r>
    </w:p>
    <w:p w14:paraId="375B7D87"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Neutens, T., 2015. Accessibility, equity and health care: review and research directions for transport geographers. J. Transp. Geogr. 43, 14–27. https://doi.org/10.1016/j.jtrangeo.2014.12.006</w:t>
      </w:r>
    </w:p>
    <w:p w14:paraId="4BEB793C"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Office for National Statistics, 2021a. Coronavirus and vaccination rates in people aged 50 years and over by socio-demographic characteristic, England: 8 December 2020 to 12 April 2021 [WWW Document]. URL https://www.ons.gov.uk/peoplepopulationandcommunity/healthandsocialcare/healthinequalities/bulletins/coronavirusandvaccinationratesinpeopleaged70yearsandoverbysociodemographiccharacteristicengland/8december2020to12april2021 (accessed 5.6.21).</w:t>
      </w:r>
    </w:p>
    <w:p w14:paraId="2396E0CB"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Office for National Statistics, 2021b. ONS Opinions and Lifestyle Survey, Covid-19 Module [WWW Document]. UK Data Serv. https://doi.org/10.5255/UKDA-SN-8635-3</w:t>
      </w:r>
    </w:p>
    <w:p w14:paraId="6E3A9818"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Sugasawa, S., Murakami, D., 2021. Spatially clustered regression. Spat. Stat. 44, 100525. https://doi.org/10.1016/j.spasta.2021.100525</w:t>
      </w:r>
    </w:p>
    <w:p w14:paraId="58E9D471" w14:textId="77777777" w:rsidR="008A7191" w:rsidRPr="00026576" w:rsidRDefault="008A7191" w:rsidP="00961B7F">
      <w:pPr>
        <w:adjustRightInd w:val="0"/>
        <w:spacing w:after="0" w:line="276" w:lineRule="auto"/>
        <w:ind w:left="480" w:hanging="480"/>
        <w:rPr>
          <w:rFonts w:ascii="Calibri" w:hAnsi="Calibri" w:cs="Calibri"/>
          <w:noProof/>
          <w:szCs w:val="24"/>
        </w:rPr>
      </w:pPr>
      <w:r w:rsidRPr="00026576">
        <w:rPr>
          <w:rFonts w:ascii="Calibri" w:hAnsi="Calibri" w:cs="Calibri"/>
          <w:noProof/>
          <w:szCs w:val="24"/>
        </w:rPr>
        <w:t>UK government, 2021. Interactive map of vaccinations [WWW Document]. URL https://coronavirus.data.gov.uk/details/interactive-map/vaccinations (accessed 8.20.21).</w:t>
      </w:r>
    </w:p>
    <w:p w14:paraId="1D87D97B" w14:textId="77777777" w:rsidR="008A7191" w:rsidRPr="00026576" w:rsidRDefault="008A7191" w:rsidP="00961B7F">
      <w:pPr>
        <w:adjustRightInd w:val="0"/>
        <w:spacing w:after="0" w:line="276" w:lineRule="auto"/>
        <w:ind w:left="480" w:hanging="480"/>
        <w:rPr>
          <w:rFonts w:ascii="Calibri" w:hAnsi="Calibri" w:cs="Calibri"/>
          <w:noProof/>
        </w:rPr>
      </w:pPr>
      <w:r w:rsidRPr="00026576">
        <w:rPr>
          <w:rFonts w:ascii="Calibri" w:hAnsi="Calibri" w:cs="Calibri"/>
          <w:noProof/>
          <w:szCs w:val="24"/>
        </w:rPr>
        <w:t>UK government, 2019. Bus Open Data Service [WWW Document]. URL https://data.bus-data.dft.gov.uk/timetable/download/ (accessed 7.26.21).</w:t>
      </w:r>
    </w:p>
    <w:p w14:paraId="3EF64BB4" w14:textId="51B8E8B1" w:rsidR="004E03F5" w:rsidRPr="00026576" w:rsidRDefault="004E03F5" w:rsidP="00961B7F">
      <w:pPr>
        <w:adjustRightInd w:val="0"/>
        <w:spacing w:after="0" w:line="276" w:lineRule="auto"/>
        <w:ind w:left="480" w:hanging="480"/>
        <w:rPr>
          <w:rFonts w:ascii="Calibri" w:hAnsi="Calibri" w:cs="Calibri"/>
        </w:rPr>
        <w:sectPr w:rsidR="004E03F5" w:rsidRPr="00026576" w:rsidSect="00F269E2">
          <w:pgSz w:w="11906" w:h="16838"/>
          <w:pgMar w:top="1701" w:right="1440" w:bottom="1440" w:left="1440" w:header="851" w:footer="992" w:gutter="0"/>
          <w:cols w:space="425"/>
          <w:docGrid w:linePitch="360"/>
        </w:sectPr>
      </w:pPr>
      <w:r w:rsidRPr="00026576">
        <w:rPr>
          <w:rFonts w:ascii="Calibri" w:hAnsi="Calibri" w:cs="Calibri"/>
          <w:b/>
          <w:bCs/>
        </w:rPr>
        <w:fldChar w:fldCharType="end"/>
      </w:r>
    </w:p>
    <w:p w14:paraId="33B0CDF3" w14:textId="42DDD5CB" w:rsidR="00D84563" w:rsidRPr="00026576" w:rsidRDefault="00D84563" w:rsidP="00961B7F">
      <w:pPr>
        <w:pStyle w:val="Caption"/>
      </w:pPr>
      <w:bookmarkStart w:id="8" w:name="_Ref89895479"/>
      <w:bookmarkEnd w:id="7"/>
      <w:r w:rsidRPr="00026576">
        <w:t xml:space="preserve">Table </w:t>
      </w:r>
      <w:r w:rsidR="00D4176D" w:rsidRPr="00026576">
        <w:fldChar w:fldCharType="begin"/>
      </w:r>
      <w:r w:rsidR="00D4176D" w:rsidRPr="00026576">
        <w:instrText xml:space="preserve"> SEQ Table \* ARABIC </w:instrText>
      </w:r>
      <w:r w:rsidR="00D4176D" w:rsidRPr="00026576">
        <w:fldChar w:fldCharType="separate"/>
      </w:r>
      <w:r w:rsidR="00BE6BDF" w:rsidRPr="00026576">
        <w:rPr>
          <w:noProof/>
        </w:rPr>
        <w:t>1</w:t>
      </w:r>
      <w:r w:rsidR="00D4176D" w:rsidRPr="00026576">
        <w:rPr>
          <w:noProof/>
        </w:rPr>
        <w:fldChar w:fldCharType="end"/>
      </w:r>
      <w:bookmarkEnd w:id="8"/>
      <w:r w:rsidRPr="00026576">
        <w:t xml:space="preserve">. </w:t>
      </w:r>
      <w:r w:rsidRPr="00026576">
        <w:rPr>
          <w:rFonts w:eastAsia="Times New Roman"/>
          <w:color w:val="000000"/>
        </w:rPr>
        <w:t>Average BIC replicated 5 times by different tuning parameter ϕ.</w:t>
      </w:r>
    </w:p>
    <w:tbl>
      <w:tblPr>
        <w:tblStyle w:val="GridTable1Light"/>
        <w:tblW w:w="5000" w:type="pct"/>
        <w:tblLook w:val="04A0" w:firstRow="1" w:lastRow="0" w:firstColumn="1" w:lastColumn="0" w:noHBand="0" w:noVBand="1"/>
      </w:tblPr>
      <w:tblGrid>
        <w:gridCol w:w="3191"/>
        <w:gridCol w:w="3501"/>
        <w:gridCol w:w="3501"/>
        <w:gridCol w:w="3504"/>
      </w:tblGrid>
      <w:tr w:rsidR="00D84563" w:rsidRPr="00026576" w14:paraId="6BDB54ED" w14:textId="77777777" w:rsidTr="00D845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12" w:space="0" w:color="auto"/>
              <w:left w:val="nil"/>
            </w:tcBorders>
            <w:shd w:val="clear" w:color="auto" w:fill="A5A5A5" w:themeFill="accent3"/>
            <w:noWrap/>
          </w:tcPr>
          <w:p w14:paraId="24E4F019" w14:textId="1DE7DA1E" w:rsidR="00D84563" w:rsidRPr="00026576" w:rsidRDefault="00D84563" w:rsidP="00961B7F">
            <w:pPr>
              <w:spacing w:line="276" w:lineRule="auto"/>
              <w:rPr>
                <w:rFonts w:ascii="Calibri" w:eastAsia="Times New Roman" w:hAnsi="Calibri" w:cs="Calibri"/>
                <w:color w:val="000000"/>
              </w:rPr>
            </w:pPr>
            <w:r w:rsidRPr="00026576">
              <w:rPr>
                <w:rFonts w:ascii="Calibri" w:eastAsia="Times New Roman" w:hAnsi="Calibri" w:cs="Calibri"/>
                <w:color w:val="000000"/>
              </w:rPr>
              <w:t>Number of groups</w:t>
            </w:r>
          </w:p>
        </w:tc>
        <w:tc>
          <w:tcPr>
            <w:tcW w:w="3835" w:type="pct"/>
            <w:gridSpan w:val="3"/>
            <w:tcBorders>
              <w:top w:val="single" w:sz="12" w:space="0" w:color="auto"/>
              <w:right w:val="nil"/>
            </w:tcBorders>
            <w:shd w:val="clear" w:color="auto" w:fill="A5A5A5" w:themeFill="accent3"/>
            <w:noWrap/>
          </w:tcPr>
          <w:p w14:paraId="617F4DDF" w14:textId="3E1E2705" w:rsidR="00D84563" w:rsidRPr="00026576" w:rsidRDefault="00D8456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 xml:space="preserve">Average BIC for replicated 5 times </w:t>
            </w:r>
          </w:p>
        </w:tc>
      </w:tr>
      <w:tr w:rsidR="00D84563" w:rsidRPr="00026576" w14:paraId="71E9C029" w14:textId="77777777" w:rsidTr="00D84563">
        <w:trPr>
          <w:trHeight w:val="300"/>
        </w:trPr>
        <w:tc>
          <w:tcPr>
            <w:cnfStyle w:val="001000000000" w:firstRow="0" w:lastRow="0" w:firstColumn="1" w:lastColumn="0" w:oddVBand="0" w:evenVBand="0" w:oddHBand="0" w:evenHBand="0" w:firstRowFirstColumn="0" w:firstRowLastColumn="0" w:lastRowFirstColumn="0" w:lastRowLastColumn="0"/>
            <w:tcW w:w="1165" w:type="pct"/>
            <w:vMerge/>
            <w:tcBorders>
              <w:left w:val="nil"/>
              <w:bottom w:val="single" w:sz="12" w:space="0" w:color="auto"/>
            </w:tcBorders>
            <w:shd w:val="clear" w:color="auto" w:fill="A5A5A5" w:themeFill="accent3"/>
            <w:noWrap/>
            <w:hideMark/>
          </w:tcPr>
          <w:p w14:paraId="68F59088" w14:textId="155FF933" w:rsidR="00D84563" w:rsidRPr="00026576" w:rsidRDefault="00D84563" w:rsidP="00961B7F">
            <w:pPr>
              <w:widowControl/>
              <w:wordWrap/>
              <w:autoSpaceDE/>
              <w:autoSpaceDN/>
              <w:spacing w:line="276" w:lineRule="auto"/>
              <w:rPr>
                <w:rFonts w:ascii="Calibri" w:eastAsia="Times New Roman" w:hAnsi="Calibri" w:cs="Calibri"/>
                <w:color w:val="000000"/>
              </w:rPr>
            </w:pPr>
          </w:p>
        </w:tc>
        <w:tc>
          <w:tcPr>
            <w:tcW w:w="1278" w:type="pct"/>
            <w:tcBorders>
              <w:bottom w:val="single" w:sz="12" w:space="0" w:color="auto"/>
            </w:tcBorders>
            <w:shd w:val="clear" w:color="auto" w:fill="A5A5A5" w:themeFill="accent3"/>
            <w:noWrap/>
            <w:hideMark/>
          </w:tcPr>
          <w:p w14:paraId="2FB6A47F" w14:textId="5E1A0694" w:rsidR="00D84563" w:rsidRPr="00026576" w:rsidRDefault="00D8456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ϕ = 0.5</w:t>
            </w:r>
          </w:p>
        </w:tc>
        <w:tc>
          <w:tcPr>
            <w:tcW w:w="1278" w:type="pct"/>
            <w:tcBorders>
              <w:bottom w:val="single" w:sz="12" w:space="0" w:color="auto"/>
            </w:tcBorders>
            <w:shd w:val="clear" w:color="auto" w:fill="A5A5A5" w:themeFill="accent3"/>
            <w:noWrap/>
            <w:hideMark/>
          </w:tcPr>
          <w:p w14:paraId="0CD175FB" w14:textId="6831C3DD" w:rsidR="00D84563" w:rsidRPr="00026576" w:rsidRDefault="00D8456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ϕ  = 0.6</w:t>
            </w:r>
          </w:p>
        </w:tc>
        <w:tc>
          <w:tcPr>
            <w:tcW w:w="1279" w:type="pct"/>
            <w:tcBorders>
              <w:bottom w:val="single" w:sz="12" w:space="0" w:color="auto"/>
              <w:right w:val="nil"/>
            </w:tcBorders>
            <w:shd w:val="clear" w:color="auto" w:fill="A5A5A5" w:themeFill="accent3"/>
            <w:noWrap/>
            <w:hideMark/>
          </w:tcPr>
          <w:p w14:paraId="5AA7C97E" w14:textId="79C5B26A" w:rsidR="00D84563" w:rsidRPr="00026576" w:rsidRDefault="00D8456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ϕ = 0.75</w:t>
            </w:r>
          </w:p>
        </w:tc>
      </w:tr>
      <w:tr w:rsidR="00101B26" w:rsidRPr="00026576" w14:paraId="118700EB"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top w:val="single" w:sz="12" w:space="0" w:color="auto"/>
              <w:left w:val="nil"/>
            </w:tcBorders>
            <w:noWrap/>
            <w:hideMark/>
          </w:tcPr>
          <w:p w14:paraId="2F7DD97C"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2</w:t>
            </w:r>
          </w:p>
        </w:tc>
        <w:tc>
          <w:tcPr>
            <w:tcW w:w="1278" w:type="pct"/>
            <w:tcBorders>
              <w:top w:val="single" w:sz="12" w:space="0" w:color="auto"/>
            </w:tcBorders>
            <w:noWrap/>
          </w:tcPr>
          <w:p w14:paraId="0A0D35CE" w14:textId="76B1EDAC"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84991.33</w:t>
            </w:r>
          </w:p>
        </w:tc>
        <w:tc>
          <w:tcPr>
            <w:tcW w:w="1278" w:type="pct"/>
            <w:tcBorders>
              <w:top w:val="single" w:sz="12" w:space="0" w:color="auto"/>
            </w:tcBorders>
            <w:noWrap/>
          </w:tcPr>
          <w:p w14:paraId="37D5C573" w14:textId="22F7CDDB"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86169.00</w:t>
            </w:r>
          </w:p>
        </w:tc>
        <w:tc>
          <w:tcPr>
            <w:tcW w:w="1279" w:type="pct"/>
            <w:tcBorders>
              <w:top w:val="single" w:sz="12" w:space="0" w:color="auto"/>
              <w:right w:val="nil"/>
            </w:tcBorders>
            <w:noWrap/>
          </w:tcPr>
          <w:p w14:paraId="1F04ADA9" w14:textId="17A11377"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86634.51</w:t>
            </w:r>
          </w:p>
        </w:tc>
      </w:tr>
      <w:tr w:rsidR="00101B26" w:rsidRPr="00026576" w14:paraId="27CE5885"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tcBorders>
            <w:noWrap/>
            <w:hideMark/>
          </w:tcPr>
          <w:p w14:paraId="033AE6A8"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3</w:t>
            </w:r>
          </w:p>
        </w:tc>
        <w:tc>
          <w:tcPr>
            <w:tcW w:w="1278" w:type="pct"/>
            <w:noWrap/>
          </w:tcPr>
          <w:p w14:paraId="05AF5FC0" w14:textId="19748BF5"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81914.15</w:t>
            </w:r>
          </w:p>
        </w:tc>
        <w:tc>
          <w:tcPr>
            <w:tcW w:w="1278" w:type="pct"/>
            <w:noWrap/>
          </w:tcPr>
          <w:p w14:paraId="33F8FC61" w14:textId="2729F3AC"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84245.99</w:t>
            </w:r>
          </w:p>
        </w:tc>
        <w:tc>
          <w:tcPr>
            <w:tcW w:w="1279" w:type="pct"/>
            <w:tcBorders>
              <w:right w:val="nil"/>
            </w:tcBorders>
            <w:noWrap/>
          </w:tcPr>
          <w:p w14:paraId="71F6E579" w14:textId="0F75D3C5"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85567.48</w:t>
            </w:r>
          </w:p>
        </w:tc>
      </w:tr>
      <w:tr w:rsidR="00101B26" w:rsidRPr="00026576" w14:paraId="6DD000D3"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tcBorders>
            <w:noWrap/>
            <w:hideMark/>
          </w:tcPr>
          <w:p w14:paraId="3226A46F"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4</w:t>
            </w:r>
          </w:p>
        </w:tc>
        <w:tc>
          <w:tcPr>
            <w:tcW w:w="1278" w:type="pct"/>
            <w:noWrap/>
          </w:tcPr>
          <w:p w14:paraId="0F7F000F" w14:textId="3649EE94"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80785.99</w:t>
            </w:r>
          </w:p>
        </w:tc>
        <w:tc>
          <w:tcPr>
            <w:tcW w:w="1278" w:type="pct"/>
            <w:noWrap/>
          </w:tcPr>
          <w:p w14:paraId="1631E8BD" w14:textId="4D527E94"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82995.52</w:t>
            </w:r>
          </w:p>
        </w:tc>
        <w:tc>
          <w:tcPr>
            <w:tcW w:w="1279" w:type="pct"/>
            <w:tcBorders>
              <w:right w:val="nil"/>
            </w:tcBorders>
            <w:noWrap/>
          </w:tcPr>
          <w:p w14:paraId="13BA515C" w14:textId="70CED34C"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84420.96</w:t>
            </w:r>
          </w:p>
        </w:tc>
      </w:tr>
      <w:tr w:rsidR="00101B26" w:rsidRPr="00026576" w14:paraId="212C6062"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tcBorders>
            <w:noWrap/>
            <w:hideMark/>
          </w:tcPr>
          <w:p w14:paraId="5FBC86A7"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5</w:t>
            </w:r>
          </w:p>
        </w:tc>
        <w:tc>
          <w:tcPr>
            <w:tcW w:w="1278" w:type="pct"/>
            <w:noWrap/>
          </w:tcPr>
          <w:p w14:paraId="5E869300" w14:textId="498CFB27"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79188.19</w:t>
            </w:r>
          </w:p>
        </w:tc>
        <w:tc>
          <w:tcPr>
            <w:tcW w:w="1278" w:type="pct"/>
            <w:noWrap/>
          </w:tcPr>
          <w:p w14:paraId="6BC25B23" w14:textId="408BDA6A"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81639.91</w:t>
            </w:r>
          </w:p>
        </w:tc>
        <w:tc>
          <w:tcPr>
            <w:tcW w:w="1279" w:type="pct"/>
            <w:tcBorders>
              <w:right w:val="nil"/>
            </w:tcBorders>
            <w:noWrap/>
          </w:tcPr>
          <w:p w14:paraId="1A2F3C63" w14:textId="5046E6C7"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83804.62</w:t>
            </w:r>
          </w:p>
        </w:tc>
      </w:tr>
      <w:tr w:rsidR="00101B26" w:rsidRPr="00026576" w14:paraId="304BF2B3"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tcBorders>
            <w:noWrap/>
            <w:hideMark/>
          </w:tcPr>
          <w:p w14:paraId="3E7A4ED7"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6</w:t>
            </w:r>
          </w:p>
        </w:tc>
        <w:tc>
          <w:tcPr>
            <w:tcW w:w="1278" w:type="pct"/>
            <w:noWrap/>
          </w:tcPr>
          <w:p w14:paraId="752F73A1" w14:textId="4B104B11"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78400.88</w:t>
            </w:r>
          </w:p>
        </w:tc>
        <w:tc>
          <w:tcPr>
            <w:tcW w:w="1278" w:type="pct"/>
            <w:noWrap/>
          </w:tcPr>
          <w:p w14:paraId="3873EC69" w14:textId="4B1C9ECC"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80418.48</w:t>
            </w:r>
          </w:p>
        </w:tc>
        <w:tc>
          <w:tcPr>
            <w:tcW w:w="1279" w:type="pct"/>
            <w:tcBorders>
              <w:right w:val="nil"/>
            </w:tcBorders>
            <w:noWrap/>
          </w:tcPr>
          <w:p w14:paraId="52415AF9" w14:textId="2404C6DC"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83409.12</w:t>
            </w:r>
          </w:p>
        </w:tc>
      </w:tr>
      <w:tr w:rsidR="00101B26" w:rsidRPr="00026576" w14:paraId="6076DC63" w14:textId="77777777" w:rsidTr="00B30A99">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bottom w:val="single" w:sz="4" w:space="0" w:color="999999" w:themeColor="text1" w:themeTint="66"/>
            </w:tcBorders>
            <w:noWrap/>
            <w:hideMark/>
          </w:tcPr>
          <w:p w14:paraId="6CAA9A9C"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7</w:t>
            </w:r>
          </w:p>
        </w:tc>
        <w:tc>
          <w:tcPr>
            <w:tcW w:w="1278" w:type="pct"/>
            <w:tcBorders>
              <w:bottom w:val="single" w:sz="4" w:space="0" w:color="999999" w:themeColor="text1" w:themeTint="66"/>
            </w:tcBorders>
            <w:shd w:val="clear" w:color="auto" w:fill="A5A5A5" w:themeFill="accent3"/>
            <w:noWrap/>
          </w:tcPr>
          <w:p w14:paraId="67FA4DDA" w14:textId="664DBC16"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9C0006"/>
              </w:rPr>
            </w:pPr>
            <w:r w:rsidRPr="00026576">
              <w:rPr>
                <w:rFonts w:ascii="Calibri" w:hAnsi="Calibri" w:cs="Calibri"/>
                <w:b/>
                <w:bCs/>
              </w:rPr>
              <w:t>77459.85</w:t>
            </w:r>
          </w:p>
        </w:tc>
        <w:tc>
          <w:tcPr>
            <w:tcW w:w="1278" w:type="pct"/>
            <w:tcBorders>
              <w:bottom w:val="single" w:sz="4" w:space="0" w:color="999999" w:themeColor="text1" w:themeTint="66"/>
            </w:tcBorders>
            <w:noWrap/>
          </w:tcPr>
          <w:p w14:paraId="088995B7" w14:textId="4F3593D9"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80019.75</w:t>
            </w:r>
          </w:p>
        </w:tc>
        <w:tc>
          <w:tcPr>
            <w:tcW w:w="1279" w:type="pct"/>
            <w:tcBorders>
              <w:bottom w:val="single" w:sz="4" w:space="0" w:color="999999" w:themeColor="text1" w:themeTint="66"/>
              <w:right w:val="nil"/>
            </w:tcBorders>
            <w:noWrap/>
          </w:tcPr>
          <w:p w14:paraId="21414814" w14:textId="5575CF56"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83114.52</w:t>
            </w:r>
          </w:p>
        </w:tc>
      </w:tr>
      <w:tr w:rsidR="00101B26" w:rsidRPr="00026576" w14:paraId="17F5BED9" w14:textId="77777777" w:rsidTr="00B4681D">
        <w:trPr>
          <w:trHeight w:val="300"/>
        </w:trPr>
        <w:tc>
          <w:tcPr>
            <w:cnfStyle w:val="001000000000" w:firstRow="0" w:lastRow="0" w:firstColumn="1" w:lastColumn="0" w:oddVBand="0" w:evenVBand="0" w:oddHBand="0" w:evenHBand="0" w:firstRowFirstColumn="0" w:firstRowLastColumn="0" w:lastRowFirstColumn="0" w:lastRowLastColumn="0"/>
            <w:tcW w:w="1165" w:type="pct"/>
            <w:tcBorders>
              <w:left w:val="nil"/>
              <w:bottom w:val="single" w:sz="12" w:space="0" w:color="auto"/>
            </w:tcBorders>
            <w:noWrap/>
            <w:hideMark/>
          </w:tcPr>
          <w:p w14:paraId="4AF1B9DA" w14:textId="77777777" w:rsidR="00101B26" w:rsidRPr="00026576" w:rsidRDefault="00101B26" w:rsidP="00961B7F">
            <w:pPr>
              <w:widowControl/>
              <w:wordWrap/>
              <w:autoSpaceDE/>
              <w:autoSpaceDN/>
              <w:spacing w:line="276" w:lineRule="auto"/>
              <w:jc w:val="right"/>
              <w:rPr>
                <w:rFonts w:ascii="Calibri" w:eastAsia="Times New Roman" w:hAnsi="Calibri" w:cs="Calibri"/>
                <w:b w:val="0"/>
                <w:bCs w:val="0"/>
                <w:color w:val="000000"/>
              </w:rPr>
            </w:pPr>
            <w:r w:rsidRPr="00026576">
              <w:rPr>
                <w:rFonts w:ascii="Calibri" w:eastAsia="Times New Roman" w:hAnsi="Calibri" w:cs="Calibri"/>
                <w:b w:val="0"/>
                <w:bCs w:val="0"/>
                <w:color w:val="000000"/>
              </w:rPr>
              <w:t>8</w:t>
            </w:r>
          </w:p>
        </w:tc>
        <w:tc>
          <w:tcPr>
            <w:tcW w:w="1278" w:type="pct"/>
            <w:tcBorders>
              <w:bottom w:val="single" w:sz="12" w:space="0" w:color="auto"/>
            </w:tcBorders>
            <w:noWrap/>
          </w:tcPr>
          <w:p w14:paraId="3673ABA6" w14:textId="239FF87A"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77969.50</w:t>
            </w:r>
          </w:p>
        </w:tc>
        <w:tc>
          <w:tcPr>
            <w:tcW w:w="1278" w:type="pct"/>
            <w:tcBorders>
              <w:bottom w:val="single" w:sz="12" w:space="0" w:color="auto"/>
            </w:tcBorders>
            <w:noWrap/>
          </w:tcPr>
          <w:p w14:paraId="0E8CD5C6" w14:textId="4B0C18D1"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80634.55</w:t>
            </w:r>
          </w:p>
        </w:tc>
        <w:tc>
          <w:tcPr>
            <w:tcW w:w="1279" w:type="pct"/>
            <w:tcBorders>
              <w:bottom w:val="single" w:sz="12" w:space="0" w:color="auto"/>
              <w:right w:val="nil"/>
            </w:tcBorders>
            <w:noWrap/>
          </w:tcPr>
          <w:p w14:paraId="4BF1D7EF" w14:textId="2A20E21E" w:rsidR="00101B26" w:rsidRPr="00026576" w:rsidRDefault="00101B26"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83188.14</w:t>
            </w:r>
          </w:p>
        </w:tc>
      </w:tr>
    </w:tbl>
    <w:p w14:paraId="5E1ED6D1" w14:textId="77777777" w:rsidR="00BE6BDF" w:rsidRPr="00026576" w:rsidRDefault="00BE6BDF" w:rsidP="00961B7F">
      <w:pPr>
        <w:pStyle w:val="Caption"/>
      </w:pPr>
      <w:bookmarkStart w:id="9" w:name="_Ref89261718"/>
      <w:bookmarkStart w:id="10" w:name="_Ref89894575"/>
    </w:p>
    <w:p w14:paraId="1FF7493A" w14:textId="6883A2CB" w:rsidR="00BE6BDF" w:rsidRPr="00026576" w:rsidRDefault="00BE6BDF" w:rsidP="00961B7F">
      <w:pPr>
        <w:pStyle w:val="Caption"/>
      </w:pPr>
      <w:r w:rsidRPr="00026576">
        <w:t xml:space="preserve">Table </w:t>
      </w:r>
      <w:r w:rsidRPr="00026576">
        <w:fldChar w:fldCharType="begin"/>
      </w:r>
      <w:r w:rsidRPr="00026576">
        <w:instrText xml:space="preserve"> SEQ Table \* ARABIC </w:instrText>
      </w:r>
      <w:r w:rsidRPr="00026576">
        <w:fldChar w:fldCharType="separate"/>
      </w:r>
      <w:r w:rsidRPr="00026576">
        <w:rPr>
          <w:noProof/>
        </w:rPr>
        <w:t>2</w:t>
      </w:r>
      <w:r w:rsidRPr="00026576">
        <w:rPr>
          <w:noProof/>
        </w:rPr>
        <w:fldChar w:fldCharType="end"/>
      </w:r>
      <w:bookmarkEnd w:id="10"/>
      <w:r w:rsidRPr="00026576">
        <w:t>. IRRs (incident rate ratios) and model fit for the negative binomial regression models.</w:t>
      </w:r>
    </w:p>
    <w:tbl>
      <w:tblPr>
        <w:tblStyle w:val="GridTable1Light"/>
        <w:tblW w:w="0" w:type="auto"/>
        <w:tblLayout w:type="fixed"/>
        <w:tblLook w:val="04A0" w:firstRow="1" w:lastRow="0" w:firstColumn="1" w:lastColumn="0" w:noHBand="0" w:noVBand="1"/>
      </w:tblPr>
      <w:tblGrid>
        <w:gridCol w:w="2127"/>
        <w:gridCol w:w="4110"/>
        <w:gridCol w:w="1862"/>
        <w:gridCol w:w="1863"/>
        <w:gridCol w:w="1862"/>
        <w:gridCol w:w="1863"/>
      </w:tblGrid>
      <w:tr w:rsidR="00BE6BDF" w:rsidRPr="00026576" w14:paraId="5D7E9C4B" w14:textId="77777777" w:rsidTr="00CD50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7" w:type="dxa"/>
            <w:vMerge w:val="restart"/>
            <w:tcBorders>
              <w:top w:val="single" w:sz="12" w:space="0" w:color="auto"/>
              <w:left w:val="nil"/>
            </w:tcBorders>
            <w:shd w:val="clear" w:color="auto" w:fill="A5A5A5" w:themeFill="accent3"/>
            <w:noWrap/>
          </w:tcPr>
          <w:p w14:paraId="6CC10198" w14:textId="77777777" w:rsidR="00BE6BDF" w:rsidRPr="00026576" w:rsidRDefault="00BE6BDF" w:rsidP="00961B7F">
            <w:pPr>
              <w:spacing w:line="276" w:lineRule="auto"/>
              <w:jc w:val="center"/>
              <w:rPr>
                <w:rFonts w:ascii="Calibri" w:eastAsia="Times New Roman" w:hAnsi="Calibri" w:cs="Calibri"/>
                <w:color w:val="000000"/>
              </w:rPr>
            </w:pPr>
            <w:r w:rsidRPr="00026576">
              <w:rPr>
                <w:rFonts w:ascii="Calibri" w:eastAsia="Times New Roman" w:hAnsi="Calibri" w:cs="Calibri"/>
                <w:color w:val="000000"/>
              </w:rPr>
              <w:t>Domains</w:t>
            </w:r>
          </w:p>
        </w:tc>
        <w:tc>
          <w:tcPr>
            <w:tcW w:w="4110" w:type="dxa"/>
            <w:vMerge w:val="restart"/>
            <w:tcBorders>
              <w:top w:val="single" w:sz="12" w:space="0" w:color="auto"/>
            </w:tcBorders>
            <w:shd w:val="clear" w:color="auto" w:fill="A5A5A5" w:themeFill="accent3"/>
            <w:noWrap/>
          </w:tcPr>
          <w:p w14:paraId="43672805" w14:textId="77777777" w:rsidR="00BE6BDF" w:rsidRPr="00026576" w:rsidRDefault="00BE6BDF" w:rsidP="00961B7F">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Variables</w:t>
            </w:r>
          </w:p>
        </w:tc>
        <w:tc>
          <w:tcPr>
            <w:tcW w:w="7450" w:type="dxa"/>
            <w:gridSpan w:val="4"/>
            <w:tcBorders>
              <w:top w:val="single" w:sz="12" w:space="0" w:color="auto"/>
              <w:right w:val="nil"/>
            </w:tcBorders>
            <w:shd w:val="clear" w:color="auto" w:fill="A5A5A5" w:themeFill="accent3"/>
            <w:noWrap/>
          </w:tcPr>
          <w:p w14:paraId="67770EC5" w14:textId="77777777" w:rsidR="00BE6BDF" w:rsidRPr="00026576" w:rsidRDefault="00BE6BDF"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IRR (SE)</w:t>
            </w:r>
          </w:p>
        </w:tc>
      </w:tr>
      <w:tr w:rsidR="00BE6BDF" w:rsidRPr="00026576" w14:paraId="3B203BFB"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bottom w:val="single" w:sz="12" w:space="0" w:color="auto"/>
            </w:tcBorders>
            <w:shd w:val="clear" w:color="auto" w:fill="A5A5A5" w:themeFill="accent3"/>
            <w:noWrap/>
            <w:hideMark/>
          </w:tcPr>
          <w:p w14:paraId="5D3EC555" w14:textId="77777777" w:rsidR="00BE6BDF" w:rsidRPr="00026576" w:rsidRDefault="00BE6BDF" w:rsidP="00961B7F">
            <w:pPr>
              <w:widowControl/>
              <w:wordWrap/>
              <w:autoSpaceDE/>
              <w:autoSpaceDN/>
              <w:spacing w:line="276" w:lineRule="auto"/>
              <w:jc w:val="center"/>
              <w:rPr>
                <w:rFonts w:ascii="Calibri" w:eastAsia="Times New Roman" w:hAnsi="Calibri" w:cs="Calibri"/>
                <w:color w:val="000000"/>
              </w:rPr>
            </w:pPr>
          </w:p>
        </w:tc>
        <w:tc>
          <w:tcPr>
            <w:tcW w:w="4110" w:type="dxa"/>
            <w:vMerge/>
            <w:tcBorders>
              <w:bottom w:val="single" w:sz="12" w:space="0" w:color="auto"/>
            </w:tcBorders>
            <w:shd w:val="clear" w:color="auto" w:fill="A5A5A5" w:themeFill="accent3"/>
            <w:noWrap/>
            <w:hideMark/>
          </w:tcPr>
          <w:p w14:paraId="4C2530C9"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1862" w:type="dxa"/>
            <w:tcBorders>
              <w:bottom w:val="single" w:sz="12" w:space="0" w:color="auto"/>
            </w:tcBorders>
            <w:shd w:val="clear" w:color="auto" w:fill="A5A5A5" w:themeFill="accent3"/>
            <w:noWrap/>
            <w:hideMark/>
          </w:tcPr>
          <w:p w14:paraId="49CD5FDE"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026576">
              <w:rPr>
                <w:rFonts w:ascii="Calibri" w:eastAsia="Times New Roman" w:hAnsi="Calibri" w:cs="Calibri"/>
                <w:b/>
                <w:bCs/>
                <w:color w:val="000000"/>
              </w:rPr>
              <w:t>NB</w:t>
            </w:r>
          </w:p>
        </w:tc>
        <w:tc>
          <w:tcPr>
            <w:tcW w:w="1863" w:type="dxa"/>
            <w:tcBorders>
              <w:bottom w:val="single" w:sz="12" w:space="0" w:color="auto"/>
            </w:tcBorders>
            <w:shd w:val="clear" w:color="auto" w:fill="A5A5A5" w:themeFill="accent3"/>
            <w:noWrap/>
            <w:hideMark/>
          </w:tcPr>
          <w:p w14:paraId="66E3A11C"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026576">
              <w:rPr>
                <w:rFonts w:ascii="Calibri" w:eastAsia="Times New Roman" w:hAnsi="Calibri" w:cs="Calibri"/>
                <w:b/>
                <w:bCs/>
                <w:color w:val="000000"/>
              </w:rPr>
              <w:t>NB with accessibility</w:t>
            </w:r>
          </w:p>
        </w:tc>
        <w:tc>
          <w:tcPr>
            <w:tcW w:w="1862" w:type="dxa"/>
            <w:tcBorders>
              <w:bottom w:val="single" w:sz="12" w:space="0" w:color="auto"/>
            </w:tcBorders>
            <w:shd w:val="clear" w:color="auto" w:fill="A5A5A5" w:themeFill="accent3"/>
            <w:noWrap/>
            <w:hideMark/>
          </w:tcPr>
          <w:p w14:paraId="45A8AABB"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026576">
              <w:rPr>
                <w:rFonts w:ascii="Calibri" w:eastAsia="Times New Roman" w:hAnsi="Calibri" w:cs="Calibri"/>
                <w:b/>
                <w:bCs/>
                <w:color w:val="000000"/>
              </w:rPr>
              <w:t>NB with</w:t>
            </w:r>
          </w:p>
          <w:p w14:paraId="72AA8F90"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026576">
              <w:rPr>
                <w:rFonts w:ascii="Calibri" w:eastAsia="Times New Roman" w:hAnsi="Calibri" w:cs="Calibri"/>
                <w:b/>
                <w:bCs/>
                <w:color w:val="000000"/>
              </w:rPr>
              <w:t>spatial lag</w:t>
            </w:r>
          </w:p>
        </w:tc>
        <w:tc>
          <w:tcPr>
            <w:tcW w:w="1863" w:type="dxa"/>
            <w:tcBorders>
              <w:bottom w:val="single" w:sz="12" w:space="0" w:color="auto"/>
              <w:right w:val="nil"/>
            </w:tcBorders>
            <w:shd w:val="clear" w:color="auto" w:fill="A5A5A5" w:themeFill="accent3"/>
            <w:noWrap/>
            <w:hideMark/>
          </w:tcPr>
          <w:p w14:paraId="14527A08"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026576">
              <w:rPr>
                <w:rFonts w:ascii="Calibri" w:eastAsia="Times New Roman" w:hAnsi="Calibri" w:cs="Calibri"/>
                <w:b/>
                <w:bCs/>
                <w:color w:val="000000"/>
              </w:rPr>
              <w:t>NB with both</w:t>
            </w:r>
          </w:p>
        </w:tc>
      </w:tr>
      <w:tr w:rsidR="00BE6BDF" w:rsidRPr="00026576" w14:paraId="1AEB77C2"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tcBorders>
            <w:noWrap/>
            <w:hideMark/>
          </w:tcPr>
          <w:p w14:paraId="5EA9D310"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Income</w:t>
            </w:r>
          </w:p>
        </w:tc>
        <w:tc>
          <w:tcPr>
            <w:tcW w:w="4110" w:type="dxa"/>
            <w:tcBorders>
              <w:top w:val="single" w:sz="12" w:space="0" w:color="auto"/>
            </w:tcBorders>
            <w:noWrap/>
            <w:hideMark/>
          </w:tcPr>
          <w:p w14:paraId="34130692"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households in lowest household income quintile at national level</w:t>
            </w:r>
          </w:p>
        </w:tc>
        <w:tc>
          <w:tcPr>
            <w:tcW w:w="1862" w:type="dxa"/>
            <w:tcBorders>
              <w:top w:val="single" w:sz="12" w:space="0" w:color="auto"/>
            </w:tcBorders>
            <w:noWrap/>
            <w:hideMark/>
          </w:tcPr>
          <w:p w14:paraId="58EFEF3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0.959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top w:val="single" w:sz="12" w:space="0" w:color="auto"/>
            </w:tcBorders>
            <w:noWrap/>
            <w:hideMark/>
          </w:tcPr>
          <w:p w14:paraId="07BA266C"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0.957</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2" w:type="dxa"/>
            <w:tcBorders>
              <w:top w:val="single" w:sz="12" w:space="0" w:color="auto"/>
            </w:tcBorders>
            <w:noWrap/>
            <w:hideMark/>
          </w:tcPr>
          <w:p w14:paraId="0B60AB3E"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0.964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top w:val="single" w:sz="12" w:space="0" w:color="auto"/>
              <w:right w:val="nil"/>
            </w:tcBorders>
            <w:noWrap/>
            <w:hideMark/>
          </w:tcPr>
          <w:p w14:paraId="1696313C"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0.964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1531AF0B"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noWrap/>
            <w:hideMark/>
          </w:tcPr>
          <w:p w14:paraId="565E005A"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Qualification</w:t>
            </w:r>
          </w:p>
        </w:tc>
        <w:tc>
          <w:tcPr>
            <w:tcW w:w="4110" w:type="dxa"/>
            <w:shd w:val="clear" w:color="auto" w:fill="auto"/>
            <w:noWrap/>
            <w:hideMark/>
          </w:tcPr>
          <w:p w14:paraId="6F406358"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3 &amp; 4 or above</w:t>
            </w:r>
          </w:p>
        </w:tc>
        <w:tc>
          <w:tcPr>
            <w:tcW w:w="1862" w:type="dxa"/>
            <w:shd w:val="clear" w:color="auto" w:fill="auto"/>
            <w:noWrap/>
            <w:hideMark/>
          </w:tcPr>
          <w:p w14:paraId="14302154"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shd w:val="clear" w:color="auto" w:fill="auto"/>
            <w:noWrap/>
            <w:hideMark/>
          </w:tcPr>
          <w:p w14:paraId="157B5ED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shd w:val="clear" w:color="auto" w:fill="auto"/>
            <w:noWrap/>
            <w:hideMark/>
          </w:tcPr>
          <w:p w14:paraId="38F166D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1.027</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right w:val="nil"/>
            </w:tcBorders>
            <w:shd w:val="clear" w:color="auto" w:fill="auto"/>
            <w:noWrap/>
            <w:hideMark/>
          </w:tcPr>
          <w:p w14:paraId="20025989"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1.025</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1E7B632D"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noWrap/>
            <w:hideMark/>
          </w:tcPr>
          <w:p w14:paraId="2E14FD68"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Occupation</w:t>
            </w:r>
          </w:p>
        </w:tc>
        <w:tc>
          <w:tcPr>
            <w:tcW w:w="4110" w:type="dxa"/>
            <w:shd w:val="clear" w:color="auto" w:fill="auto"/>
            <w:noWrap/>
            <w:hideMark/>
          </w:tcPr>
          <w:p w14:paraId="764A5266"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Social Grade C1 (lower middle class)</w:t>
            </w:r>
          </w:p>
        </w:tc>
        <w:tc>
          <w:tcPr>
            <w:tcW w:w="1862" w:type="dxa"/>
            <w:shd w:val="clear" w:color="auto" w:fill="auto"/>
            <w:noWrap/>
            <w:hideMark/>
          </w:tcPr>
          <w:p w14:paraId="1C48082C"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1.006</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shd w:val="clear" w:color="auto" w:fill="auto"/>
            <w:noWrap/>
            <w:hideMark/>
          </w:tcPr>
          <w:p w14:paraId="126E2FDE"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shd w:val="clear" w:color="auto" w:fill="auto"/>
            <w:noWrap/>
            <w:hideMark/>
          </w:tcPr>
          <w:p w14:paraId="282F0DC0"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tcBorders>
              <w:right w:val="nil"/>
            </w:tcBorders>
            <w:shd w:val="clear" w:color="auto" w:fill="auto"/>
            <w:noWrap/>
            <w:hideMark/>
          </w:tcPr>
          <w:p w14:paraId="302F37C6"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226346A0"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val="restart"/>
            <w:tcBorders>
              <w:left w:val="nil"/>
            </w:tcBorders>
            <w:noWrap/>
            <w:hideMark/>
          </w:tcPr>
          <w:p w14:paraId="7E986A52"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Accessibility</w:t>
            </w:r>
          </w:p>
        </w:tc>
        <w:tc>
          <w:tcPr>
            <w:tcW w:w="4110" w:type="dxa"/>
            <w:shd w:val="clear" w:color="auto" w:fill="auto"/>
            <w:noWrap/>
            <w:hideMark/>
          </w:tcPr>
          <w:p w14:paraId="3833B5BD"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Number of accessible vaccination centres within 45 min on a weekday by car</w:t>
            </w:r>
          </w:p>
        </w:tc>
        <w:tc>
          <w:tcPr>
            <w:tcW w:w="1862" w:type="dxa"/>
            <w:shd w:val="clear" w:color="auto" w:fill="auto"/>
            <w:noWrap/>
            <w:hideMark/>
          </w:tcPr>
          <w:p w14:paraId="32CFE782"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w:t>
            </w:r>
          </w:p>
        </w:tc>
        <w:tc>
          <w:tcPr>
            <w:tcW w:w="1863" w:type="dxa"/>
            <w:shd w:val="clear" w:color="auto" w:fill="auto"/>
            <w:noWrap/>
            <w:hideMark/>
          </w:tcPr>
          <w:p w14:paraId="6CF12384"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shd w:val="clear" w:color="auto" w:fill="auto"/>
            <w:noWrap/>
            <w:hideMark/>
          </w:tcPr>
          <w:p w14:paraId="79EC6F1E"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w:t>
            </w:r>
          </w:p>
        </w:tc>
        <w:tc>
          <w:tcPr>
            <w:tcW w:w="1863" w:type="dxa"/>
            <w:tcBorders>
              <w:right w:val="nil"/>
            </w:tcBorders>
            <w:shd w:val="clear" w:color="auto" w:fill="auto"/>
            <w:noWrap/>
            <w:hideMark/>
          </w:tcPr>
          <w:p w14:paraId="7E6FCEF3"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35274A70"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559935D3"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shd w:val="clear" w:color="auto" w:fill="auto"/>
            <w:noWrap/>
            <w:hideMark/>
          </w:tcPr>
          <w:p w14:paraId="71B2C75A"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Number of accessible vaccination centres within 60 min on a weekday at 12 pm by public transportation</w:t>
            </w:r>
          </w:p>
        </w:tc>
        <w:tc>
          <w:tcPr>
            <w:tcW w:w="1862" w:type="dxa"/>
            <w:shd w:val="clear" w:color="auto" w:fill="auto"/>
            <w:noWrap/>
            <w:hideMark/>
          </w:tcPr>
          <w:p w14:paraId="7296B084"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w:t>
            </w:r>
          </w:p>
        </w:tc>
        <w:tc>
          <w:tcPr>
            <w:tcW w:w="1863" w:type="dxa"/>
            <w:shd w:val="clear" w:color="auto" w:fill="auto"/>
            <w:noWrap/>
            <w:hideMark/>
          </w:tcPr>
          <w:p w14:paraId="19FEBCA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1.002 (0.002)</w:t>
            </w:r>
          </w:p>
        </w:tc>
        <w:tc>
          <w:tcPr>
            <w:tcW w:w="1862" w:type="dxa"/>
            <w:shd w:val="clear" w:color="auto" w:fill="auto"/>
            <w:noWrap/>
            <w:hideMark/>
          </w:tcPr>
          <w:p w14:paraId="5C982084" w14:textId="77777777" w:rsidR="00BE6BDF" w:rsidRPr="00026576" w:rsidRDefault="00BE6BDF"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w:t>
            </w:r>
          </w:p>
        </w:tc>
        <w:tc>
          <w:tcPr>
            <w:tcW w:w="1863" w:type="dxa"/>
            <w:tcBorders>
              <w:right w:val="nil"/>
            </w:tcBorders>
            <w:shd w:val="clear" w:color="auto" w:fill="auto"/>
            <w:noWrap/>
            <w:hideMark/>
          </w:tcPr>
          <w:p w14:paraId="53245D9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1.008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128F7417"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3F5F89B2"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shd w:val="clear" w:color="auto" w:fill="auto"/>
            <w:noWrap/>
            <w:hideMark/>
          </w:tcPr>
          <w:p w14:paraId="4F3257CA"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households with no car</w:t>
            </w:r>
          </w:p>
        </w:tc>
        <w:tc>
          <w:tcPr>
            <w:tcW w:w="1862" w:type="dxa"/>
            <w:shd w:val="clear" w:color="auto" w:fill="auto"/>
            <w:noWrap/>
            <w:hideMark/>
          </w:tcPr>
          <w:p w14:paraId="595ED053"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0.96</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shd w:val="clear" w:color="auto" w:fill="auto"/>
            <w:noWrap/>
            <w:hideMark/>
          </w:tcPr>
          <w:p w14:paraId="256AE83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0.961</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shd w:val="clear" w:color="auto" w:fill="auto"/>
            <w:noWrap/>
            <w:hideMark/>
          </w:tcPr>
          <w:p w14:paraId="115BDE60"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0.975</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tcBorders>
              <w:right w:val="nil"/>
            </w:tcBorders>
            <w:shd w:val="clear" w:color="auto" w:fill="auto"/>
            <w:noWrap/>
            <w:hideMark/>
          </w:tcPr>
          <w:p w14:paraId="0C6ED288"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0.972</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3B4EDD2F"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noWrap/>
            <w:hideMark/>
          </w:tcPr>
          <w:p w14:paraId="2465512D"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Activity commitment</w:t>
            </w:r>
          </w:p>
        </w:tc>
        <w:tc>
          <w:tcPr>
            <w:tcW w:w="4110" w:type="dxa"/>
            <w:shd w:val="clear" w:color="auto" w:fill="auto"/>
            <w:noWrap/>
            <w:hideMark/>
          </w:tcPr>
          <w:p w14:paraId="5DE7F560"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part-time workers in the resident</w:t>
            </w:r>
            <w:r w:rsidRPr="00026576">
              <w:rPr>
                <w:rFonts w:ascii="Calibri" w:eastAsia="Times New Roman" w:hAnsi="Calibri" w:cs="Calibri"/>
                <w:color w:val="000000"/>
              </w:rPr>
              <w:br/>
              <w:t>population aged 16-74</w:t>
            </w:r>
          </w:p>
        </w:tc>
        <w:tc>
          <w:tcPr>
            <w:tcW w:w="1862" w:type="dxa"/>
            <w:shd w:val="clear" w:color="auto" w:fill="auto"/>
            <w:noWrap/>
            <w:hideMark/>
          </w:tcPr>
          <w:p w14:paraId="26BD4F66"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shd w:val="clear" w:color="auto" w:fill="auto"/>
            <w:noWrap/>
            <w:hideMark/>
          </w:tcPr>
          <w:p w14:paraId="479BC8A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1.036</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shd w:val="clear" w:color="auto" w:fill="auto"/>
            <w:noWrap/>
            <w:hideMark/>
          </w:tcPr>
          <w:p w14:paraId="3E6CBAC1"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tcBorders>
              <w:right w:val="nil"/>
            </w:tcBorders>
            <w:shd w:val="clear" w:color="auto" w:fill="auto"/>
            <w:noWrap/>
            <w:hideMark/>
          </w:tcPr>
          <w:p w14:paraId="6C455806"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3B229AD5"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noWrap/>
            <w:hideMark/>
          </w:tcPr>
          <w:p w14:paraId="5B88296B"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Population Health</w:t>
            </w:r>
          </w:p>
        </w:tc>
        <w:tc>
          <w:tcPr>
            <w:tcW w:w="4110" w:type="dxa"/>
            <w:noWrap/>
            <w:hideMark/>
          </w:tcPr>
          <w:p w14:paraId="11A9C371"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Median ages of the resident population</w:t>
            </w:r>
          </w:p>
        </w:tc>
        <w:tc>
          <w:tcPr>
            <w:tcW w:w="1862" w:type="dxa"/>
            <w:noWrap/>
            <w:hideMark/>
          </w:tcPr>
          <w:p w14:paraId="38BB8A29"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noWrap/>
            <w:hideMark/>
          </w:tcPr>
          <w:p w14:paraId="0DB0250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1.037</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noWrap/>
            <w:hideMark/>
          </w:tcPr>
          <w:p w14:paraId="39887699"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1.026</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tcBorders>
              <w:right w:val="nil"/>
            </w:tcBorders>
            <w:noWrap/>
            <w:hideMark/>
          </w:tcPr>
          <w:p w14:paraId="433AA040"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1.025</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3D9A9DB4"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val="restart"/>
            <w:tcBorders>
              <w:left w:val="nil"/>
            </w:tcBorders>
            <w:noWrap/>
            <w:hideMark/>
          </w:tcPr>
          <w:p w14:paraId="399AA037"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Ethnicity</w:t>
            </w:r>
          </w:p>
        </w:tc>
        <w:tc>
          <w:tcPr>
            <w:tcW w:w="4110" w:type="dxa"/>
            <w:noWrap/>
            <w:hideMark/>
          </w:tcPr>
          <w:p w14:paraId="7C0138B7"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Chinese resident population</w:t>
            </w:r>
          </w:p>
        </w:tc>
        <w:tc>
          <w:tcPr>
            <w:tcW w:w="1862" w:type="dxa"/>
            <w:noWrap/>
            <w:hideMark/>
          </w:tcPr>
          <w:p w14:paraId="55E9C368"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0.975</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noWrap/>
            <w:hideMark/>
          </w:tcPr>
          <w:p w14:paraId="03FA6199"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2" w:type="dxa"/>
            <w:noWrap/>
            <w:hideMark/>
          </w:tcPr>
          <w:p w14:paraId="377EE4E1"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right w:val="nil"/>
            </w:tcBorders>
            <w:noWrap/>
            <w:hideMark/>
          </w:tcPr>
          <w:p w14:paraId="1A1F4B5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54320800"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6FA0CC58"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noWrap/>
            <w:hideMark/>
          </w:tcPr>
          <w:p w14:paraId="06CC3087"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Other Asian resident population</w:t>
            </w:r>
          </w:p>
        </w:tc>
        <w:tc>
          <w:tcPr>
            <w:tcW w:w="1862" w:type="dxa"/>
            <w:noWrap/>
            <w:hideMark/>
          </w:tcPr>
          <w:p w14:paraId="626E558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0.983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noWrap/>
            <w:hideMark/>
          </w:tcPr>
          <w:p w14:paraId="3DD3F58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0.984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2" w:type="dxa"/>
            <w:noWrap/>
            <w:hideMark/>
          </w:tcPr>
          <w:p w14:paraId="077E516C"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right w:val="nil"/>
            </w:tcBorders>
            <w:noWrap/>
            <w:hideMark/>
          </w:tcPr>
          <w:p w14:paraId="140663DE"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0.991</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3327F901"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1E69C55D"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noWrap/>
            <w:hideMark/>
          </w:tcPr>
          <w:p w14:paraId="5AC540B3"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African resident population</w:t>
            </w:r>
          </w:p>
        </w:tc>
        <w:tc>
          <w:tcPr>
            <w:tcW w:w="1862" w:type="dxa"/>
            <w:noWrap/>
            <w:hideMark/>
          </w:tcPr>
          <w:p w14:paraId="5C4FEA8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0.991</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noWrap/>
            <w:hideMark/>
          </w:tcPr>
          <w:p w14:paraId="00E5B655"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0.992</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noWrap/>
            <w:hideMark/>
          </w:tcPr>
          <w:p w14:paraId="07909A92"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0.994</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right w:val="nil"/>
            </w:tcBorders>
            <w:noWrap/>
            <w:hideMark/>
          </w:tcPr>
          <w:p w14:paraId="518695A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0.995</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20FB29FC"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1F88688B"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noWrap/>
            <w:hideMark/>
          </w:tcPr>
          <w:p w14:paraId="4F1F536B"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Caribbean resident population</w:t>
            </w:r>
          </w:p>
        </w:tc>
        <w:tc>
          <w:tcPr>
            <w:tcW w:w="1862" w:type="dxa"/>
            <w:noWrap/>
            <w:hideMark/>
          </w:tcPr>
          <w:p w14:paraId="7FD00F2D"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3" w:type="dxa"/>
            <w:noWrap/>
            <w:hideMark/>
          </w:tcPr>
          <w:p w14:paraId="6BE33359"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0.978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c>
          <w:tcPr>
            <w:tcW w:w="1862" w:type="dxa"/>
            <w:noWrap/>
            <w:hideMark/>
          </w:tcPr>
          <w:p w14:paraId="0635BCD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0.988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right w:val="nil"/>
            </w:tcBorders>
            <w:noWrap/>
            <w:hideMark/>
          </w:tcPr>
          <w:p w14:paraId="569B5AE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0.988</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r>
      <w:tr w:rsidR="00BE6BDF" w:rsidRPr="00026576" w14:paraId="649F5EF5" w14:textId="77777777" w:rsidTr="00CD506A">
        <w:trPr>
          <w:trHeight w:val="285"/>
        </w:trPr>
        <w:tc>
          <w:tcPr>
            <w:cnfStyle w:val="001000000000" w:firstRow="0" w:lastRow="0" w:firstColumn="1" w:lastColumn="0" w:oddVBand="0" w:evenVBand="0" w:oddHBand="0" w:evenHBand="0" w:firstRowFirstColumn="0" w:firstRowLastColumn="0" w:lastRowFirstColumn="0" w:lastRowLastColumn="0"/>
            <w:tcW w:w="2127" w:type="dxa"/>
            <w:tcBorders>
              <w:left w:val="nil"/>
              <w:bottom w:val="double" w:sz="4" w:space="0" w:color="auto"/>
            </w:tcBorders>
            <w:noWrap/>
            <w:hideMark/>
          </w:tcPr>
          <w:p w14:paraId="5E8668C2"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Spatial lag effects</w:t>
            </w:r>
          </w:p>
        </w:tc>
        <w:tc>
          <w:tcPr>
            <w:tcW w:w="4110" w:type="dxa"/>
            <w:tcBorders>
              <w:bottom w:val="double" w:sz="4" w:space="0" w:color="auto"/>
            </w:tcBorders>
            <w:noWrap/>
            <w:hideMark/>
          </w:tcPr>
          <w:p w14:paraId="656DCDDD"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Average vaccine uptake in adjacent areas</w:t>
            </w:r>
          </w:p>
        </w:tc>
        <w:tc>
          <w:tcPr>
            <w:tcW w:w="1862" w:type="dxa"/>
            <w:tcBorders>
              <w:bottom w:val="double" w:sz="4" w:space="0" w:color="auto"/>
            </w:tcBorders>
            <w:noWrap/>
            <w:hideMark/>
          </w:tcPr>
          <w:p w14:paraId="407F8CFF"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863" w:type="dxa"/>
            <w:tcBorders>
              <w:bottom w:val="double" w:sz="4" w:space="0" w:color="auto"/>
            </w:tcBorders>
            <w:noWrap/>
            <w:hideMark/>
          </w:tcPr>
          <w:p w14:paraId="7850FA2F"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1862" w:type="dxa"/>
            <w:tcBorders>
              <w:bottom w:val="double" w:sz="4" w:space="0" w:color="auto"/>
            </w:tcBorders>
            <w:noWrap/>
            <w:hideMark/>
          </w:tcPr>
          <w:p w14:paraId="559ADE53"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1.063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(0.001)</w:t>
            </w:r>
          </w:p>
        </w:tc>
        <w:tc>
          <w:tcPr>
            <w:tcW w:w="1863" w:type="dxa"/>
            <w:tcBorders>
              <w:bottom w:val="double" w:sz="4" w:space="0" w:color="auto"/>
              <w:right w:val="nil"/>
            </w:tcBorders>
            <w:noWrap/>
            <w:hideMark/>
          </w:tcPr>
          <w:p w14:paraId="314FFCB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1.063</w:t>
            </w:r>
            <w:r w:rsidRPr="00026576">
              <w:rPr>
                <w:rFonts w:ascii="Calibri" w:eastAsia="Times New Roman" w:hAnsi="Calibri" w:cs="Calibri"/>
                <w:color w:val="000000"/>
                <w:vertAlign w:val="superscript"/>
              </w:rPr>
              <w:t>***</w:t>
            </w:r>
            <w:r w:rsidRPr="00026576">
              <w:rPr>
                <w:rFonts w:ascii="Calibri" w:eastAsia="Times New Roman" w:hAnsi="Calibri" w:cs="Calibri"/>
                <w:color w:val="000000"/>
              </w:rPr>
              <w:t xml:space="preserve"> (0.002)</w:t>
            </w:r>
          </w:p>
        </w:tc>
      </w:tr>
      <w:tr w:rsidR="00BE6BDF" w:rsidRPr="00026576" w14:paraId="42CD9CCC"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val="restart"/>
            <w:tcBorders>
              <w:top w:val="double" w:sz="4" w:space="0" w:color="auto"/>
              <w:left w:val="nil"/>
            </w:tcBorders>
            <w:noWrap/>
            <w:hideMark/>
          </w:tcPr>
          <w:p w14:paraId="510AD2B7"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Model criteria information</w:t>
            </w:r>
          </w:p>
        </w:tc>
        <w:tc>
          <w:tcPr>
            <w:tcW w:w="4110" w:type="dxa"/>
            <w:tcBorders>
              <w:top w:val="double" w:sz="4" w:space="0" w:color="auto"/>
            </w:tcBorders>
            <w:noWrap/>
            <w:hideMark/>
          </w:tcPr>
          <w:p w14:paraId="27429E08"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Log-likelihood</w:t>
            </w:r>
          </w:p>
        </w:tc>
        <w:tc>
          <w:tcPr>
            <w:tcW w:w="1862" w:type="dxa"/>
            <w:tcBorders>
              <w:top w:val="double" w:sz="4" w:space="0" w:color="auto"/>
            </w:tcBorders>
            <w:noWrap/>
            <w:hideMark/>
          </w:tcPr>
          <w:p w14:paraId="41B573C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-44006.57</w:t>
            </w:r>
          </w:p>
        </w:tc>
        <w:tc>
          <w:tcPr>
            <w:tcW w:w="1863" w:type="dxa"/>
            <w:tcBorders>
              <w:top w:val="double" w:sz="4" w:space="0" w:color="auto"/>
            </w:tcBorders>
            <w:noWrap/>
            <w:hideMark/>
          </w:tcPr>
          <w:p w14:paraId="6928193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-44000.81</w:t>
            </w:r>
          </w:p>
        </w:tc>
        <w:tc>
          <w:tcPr>
            <w:tcW w:w="1862" w:type="dxa"/>
            <w:tcBorders>
              <w:top w:val="double" w:sz="4" w:space="0" w:color="auto"/>
            </w:tcBorders>
            <w:noWrap/>
            <w:hideMark/>
          </w:tcPr>
          <w:p w14:paraId="425D724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-43183.36</w:t>
            </w:r>
          </w:p>
        </w:tc>
        <w:tc>
          <w:tcPr>
            <w:tcW w:w="1863" w:type="dxa"/>
            <w:tcBorders>
              <w:top w:val="double" w:sz="4" w:space="0" w:color="auto"/>
              <w:right w:val="nil"/>
            </w:tcBorders>
            <w:noWrap/>
            <w:hideMark/>
          </w:tcPr>
          <w:p w14:paraId="15F7142C"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-43171.96</w:t>
            </w:r>
          </w:p>
        </w:tc>
      </w:tr>
      <w:tr w:rsidR="00BE6BDF" w:rsidRPr="00026576" w14:paraId="15F8987A"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hideMark/>
          </w:tcPr>
          <w:p w14:paraId="65051C84"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noWrap/>
            <w:hideMark/>
          </w:tcPr>
          <w:p w14:paraId="1023EF10"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AIC</w:t>
            </w:r>
          </w:p>
        </w:tc>
        <w:tc>
          <w:tcPr>
            <w:tcW w:w="1862" w:type="dxa"/>
            <w:noWrap/>
            <w:hideMark/>
          </w:tcPr>
          <w:p w14:paraId="4D96FCF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88037.000</w:t>
            </w:r>
          </w:p>
        </w:tc>
        <w:tc>
          <w:tcPr>
            <w:tcW w:w="1863" w:type="dxa"/>
            <w:noWrap/>
            <w:hideMark/>
          </w:tcPr>
          <w:p w14:paraId="3474A7B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88030.000</w:t>
            </w:r>
          </w:p>
        </w:tc>
        <w:tc>
          <w:tcPr>
            <w:tcW w:w="1862" w:type="dxa"/>
            <w:noWrap/>
            <w:hideMark/>
          </w:tcPr>
          <w:p w14:paraId="7A52F297"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86393.000</w:t>
            </w:r>
          </w:p>
        </w:tc>
        <w:tc>
          <w:tcPr>
            <w:tcW w:w="1863" w:type="dxa"/>
            <w:tcBorders>
              <w:right w:val="nil"/>
            </w:tcBorders>
            <w:noWrap/>
            <w:hideMark/>
          </w:tcPr>
          <w:p w14:paraId="5B318643"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86374.000</w:t>
            </w:r>
          </w:p>
        </w:tc>
      </w:tr>
      <w:tr w:rsidR="00BE6BDF" w:rsidRPr="00026576" w14:paraId="7938D208"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tcBorders>
            <w:noWrap/>
          </w:tcPr>
          <w:p w14:paraId="7CFE3584"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noWrap/>
          </w:tcPr>
          <w:p w14:paraId="3F5807CF"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BIC</w:t>
            </w:r>
          </w:p>
        </w:tc>
        <w:tc>
          <w:tcPr>
            <w:tcW w:w="1862" w:type="dxa"/>
            <w:noWrap/>
          </w:tcPr>
          <w:p w14:paraId="2F30579B"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88062.955</w:t>
            </w:r>
          </w:p>
        </w:tc>
        <w:tc>
          <w:tcPr>
            <w:tcW w:w="1863" w:type="dxa"/>
            <w:noWrap/>
          </w:tcPr>
          <w:p w14:paraId="6C9DB31E"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88051.425</w:t>
            </w:r>
          </w:p>
        </w:tc>
        <w:tc>
          <w:tcPr>
            <w:tcW w:w="1862" w:type="dxa"/>
            <w:noWrap/>
          </w:tcPr>
          <w:p w14:paraId="78ED6F9E"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86416.525</w:t>
            </w:r>
          </w:p>
        </w:tc>
        <w:tc>
          <w:tcPr>
            <w:tcW w:w="1863" w:type="dxa"/>
            <w:tcBorders>
              <w:right w:val="nil"/>
            </w:tcBorders>
            <w:noWrap/>
          </w:tcPr>
          <w:p w14:paraId="47E00BFD"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86393.735</w:t>
            </w:r>
          </w:p>
        </w:tc>
      </w:tr>
      <w:tr w:rsidR="00BE6BDF" w:rsidRPr="00026576" w14:paraId="50FBB948"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2127" w:type="dxa"/>
            <w:vMerge/>
            <w:tcBorders>
              <w:left w:val="nil"/>
              <w:bottom w:val="single" w:sz="4" w:space="0" w:color="999999" w:themeColor="text1" w:themeTint="66"/>
            </w:tcBorders>
            <w:noWrap/>
            <w:hideMark/>
          </w:tcPr>
          <w:p w14:paraId="13DE770B" w14:textId="77777777" w:rsidR="00BE6BDF" w:rsidRPr="00026576" w:rsidRDefault="00BE6BDF" w:rsidP="00961B7F">
            <w:pPr>
              <w:widowControl/>
              <w:wordWrap/>
              <w:autoSpaceDE/>
              <w:autoSpaceDN/>
              <w:spacing w:line="276" w:lineRule="auto"/>
              <w:jc w:val="right"/>
              <w:rPr>
                <w:rFonts w:ascii="Calibri" w:eastAsia="Times New Roman" w:hAnsi="Calibri" w:cs="Calibri"/>
                <w:b w:val="0"/>
                <w:bCs w:val="0"/>
                <w:color w:val="000000"/>
              </w:rPr>
            </w:pPr>
          </w:p>
        </w:tc>
        <w:tc>
          <w:tcPr>
            <w:tcW w:w="4110" w:type="dxa"/>
            <w:tcBorders>
              <w:bottom w:val="single" w:sz="4" w:space="0" w:color="999999" w:themeColor="text1" w:themeTint="66"/>
            </w:tcBorders>
            <w:noWrap/>
            <w:hideMark/>
          </w:tcPr>
          <w:p w14:paraId="58899778" w14:textId="77777777" w:rsidR="00BE6BDF" w:rsidRPr="00026576" w:rsidRDefault="00BE6BDF"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Theta</w:t>
            </w:r>
          </w:p>
        </w:tc>
        <w:tc>
          <w:tcPr>
            <w:tcW w:w="1862" w:type="dxa"/>
            <w:tcBorders>
              <w:bottom w:val="single" w:sz="4" w:space="0" w:color="999999" w:themeColor="text1" w:themeTint="66"/>
            </w:tcBorders>
            <w:noWrap/>
            <w:hideMark/>
          </w:tcPr>
          <w:p w14:paraId="3184B275"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162.770</w:t>
            </w:r>
          </w:p>
        </w:tc>
        <w:tc>
          <w:tcPr>
            <w:tcW w:w="1863" w:type="dxa"/>
            <w:tcBorders>
              <w:bottom w:val="single" w:sz="4" w:space="0" w:color="999999" w:themeColor="text1" w:themeTint="66"/>
            </w:tcBorders>
            <w:noWrap/>
            <w:hideMark/>
          </w:tcPr>
          <w:p w14:paraId="4ABF0081"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163.060</w:t>
            </w:r>
          </w:p>
        </w:tc>
        <w:tc>
          <w:tcPr>
            <w:tcW w:w="1862" w:type="dxa"/>
            <w:tcBorders>
              <w:bottom w:val="single" w:sz="4" w:space="0" w:color="999999" w:themeColor="text1" w:themeTint="66"/>
            </w:tcBorders>
            <w:noWrap/>
            <w:hideMark/>
          </w:tcPr>
          <w:p w14:paraId="1C833214"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212.060</w:t>
            </w:r>
          </w:p>
        </w:tc>
        <w:tc>
          <w:tcPr>
            <w:tcW w:w="1863" w:type="dxa"/>
            <w:tcBorders>
              <w:bottom w:val="single" w:sz="4" w:space="0" w:color="999999" w:themeColor="text1" w:themeTint="66"/>
              <w:right w:val="nil"/>
            </w:tcBorders>
            <w:noWrap/>
            <w:hideMark/>
          </w:tcPr>
          <w:p w14:paraId="7024DB3D"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212.830</w:t>
            </w:r>
          </w:p>
        </w:tc>
      </w:tr>
      <w:tr w:rsidR="00BE6BDF" w:rsidRPr="00026576" w14:paraId="6DA7EE57" w14:textId="77777777" w:rsidTr="00CD506A">
        <w:trPr>
          <w:trHeight w:val="300"/>
        </w:trPr>
        <w:tc>
          <w:tcPr>
            <w:cnfStyle w:val="001000000000" w:firstRow="0" w:lastRow="0" w:firstColumn="1" w:lastColumn="0" w:oddVBand="0" w:evenVBand="0" w:oddHBand="0" w:evenHBand="0" w:firstRowFirstColumn="0" w:firstRowLastColumn="0" w:lastRowFirstColumn="0" w:lastRowLastColumn="0"/>
            <w:tcW w:w="6237" w:type="dxa"/>
            <w:gridSpan w:val="2"/>
            <w:tcBorders>
              <w:left w:val="nil"/>
              <w:bottom w:val="single" w:sz="12" w:space="0" w:color="auto"/>
            </w:tcBorders>
            <w:noWrap/>
            <w:hideMark/>
          </w:tcPr>
          <w:p w14:paraId="63FFDE63" w14:textId="77777777" w:rsidR="00BE6BDF" w:rsidRPr="00026576" w:rsidRDefault="00BE6BDF"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Moran's I of residuals</w:t>
            </w:r>
          </w:p>
        </w:tc>
        <w:tc>
          <w:tcPr>
            <w:tcW w:w="1862" w:type="dxa"/>
            <w:tcBorders>
              <w:bottom w:val="single" w:sz="12" w:space="0" w:color="auto"/>
            </w:tcBorders>
            <w:noWrap/>
            <w:hideMark/>
          </w:tcPr>
          <w:p w14:paraId="6A0376FF"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0.520</w:t>
            </w:r>
          </w:p>
        </w:tc>
        <w:tc>
          <w:tcPr>
            <w:tcW w:w="1863" w:type="dxa"/>
            <w:tcBorders>
              <w:bottom w:val="single" w:sz="12" w:space="0" w:color="auto"/>
            </w:tcBorders>
            <w:noWrap/>
            <w:hideMark/>
          </w:tcPr>
          <w:p w14:paraId="21F8F838"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0.521</w:t>
            </w:r>
          </w:p>
        </w:tc>
        <w:tc>
          <w:tcPr>
            <w:tcW w:w="1862" w:type="dxa"/>
            <w:tcBorders>
              <w:bottom w:val="single" w:sz="12" w:space="0" w:color="auto"/>
            </w:tcBorders>
            <w:noWrap/>
            <w:hideMark/>
          </w:tcPr>
          <w:p w14:paraId="67573F2D"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0.221</w:t>
            </w:r>
          </w:p>
        </w:tc>
        <w:tc>
          <w:tcPr>
            <w:tcW w:w="1863" w:type="dxa"/>
            <w:tcBorders>
              <w:bottom w:val="single" w:sz="12" w:space="0" w:color="auto"/>
              <w:right w:val="nil"/>
            </w:tcBorders>
            <w:noWrap/>
            <w:hideMark/>
          </w:tcPr>
          <w:p w14:paraId="191FA274" w14:textId="77777777" w:rsidR="00BE6BDF" w:rsidRPr="00026576" w:rsidRDefault="00BE6BDF"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0.221</w:t>
            </w:r>
          </w:p>
        </w:tc>
      </w:tr>
    </w:tbl>
    <w:p w14:paraId="5E6F7444" w14:textId="77777777" w:rsidR="00BE6BDF" w:rsidRPr="00026576" w:rsidRDefault="00BE6BDF" w:rsidP="00961B7F">
      <w:pPr>
        <w:spacing w:after="0" w:line="276" w:lineRule="auto"/>
        <w:rPr>
          <w:rFonts w:ascii="Calibri" w:hAnsi="Calibri" w:cs="Calibri"/>
          <w:b/>
          <w:bCs/>
        </w:rPr>
      </w:pPr>
      <w:r w:rsidRPr="00026576">
        <w:rPr>
          <w:rFonts w:ascii="Calibri" w:hAnsi="Calibri" w:cs="Calibri"/>
          <w:b/>
          <w:bCs/>
        </w:rPr>
        <w:t xml:space="preserve">Note: </w:t>
      </w:r>
      <w:r w:rsidRPr="00026576">
        <w:rPr>
          <w:rFonts w:ascii="Calibri" w:hAnsi="Calibri" w:cs="Calibri"/>
          <w:b/>
          <w:bCs/>
          <w:vertAlign w:val="superscript"/>
        </w:rPr>
        <w:t>*</w:t>
      </w:r>
      <w:r w:rsidRPr="00026576">
        <w:rPr>
          <w:rFonts w:ascii="Calibri" w:hAnsi="Calibri" w:cs="Calibri"/>
          <w:b/>
          <w:bCs/>
        </w:rPr>
        <w:t xml:space="preserve">p&lt;0.5; </w:t>
      </w:r>
      <w:r w:rsidRPr="00026576">
        <w:rPr>
          <w:rFonts w:ascii="Calibri" w:hAnsi="Calibri" w:cs="Calibri"/>
          <w:b/>
          <w:bCs/>
          <w:vertAlign w:val="superscript"/>
        </w:rPr>
        <w:t>**</w:t>
      </w:r>
      <w:r w:rsidRPr="00026576">
        <w:rPr>
          <w:rFonts w:ascii="Calibri" w:hAnsi="Calibri" w:cs="Calibri"/>
          <w:b/>
          <w:bCs/>
        </w:rPr>
        <w:t xml:space="preserve">p&lt;0.01; </w:t>
      </w:r>
      <w:r w:rsidRPr="00026576">
        <w:rPr>
          <w:rFonts w:ascii="Calibri" w:hAnsi="Calibri" w:cs="Calibri"/>
          <w:b/>
          <w:bCs/>
          <w:vertAlign w:val="superscript"/>
        </w:rPr>
        <w:t>***</w:t>
      </w:r>
      <w:r w:rsidRPr="00026576">
        <w:rPr>
          <w:rFonts w:ascii="Calibri" w:hAnsi="Calibri" w:cs="Calibri"/>
          <w:b/>
          <w:bCs/>
        </w:rPr>
        <w:t>p&lt;0.001.</w:t>
      </w:r>
    </w:p>
    <w:p w14:paraId="518C82F2" w14:textId="5CD3E61C" w:rsidR="00101B26" w:rsidRPr="00026576" w:rsidRDefault="00101B26" w:rsidP="00F810C0">
      <w:pPr>
        <w:widowControl/>
        <w:wordWrap/>
        <w:autoSpaceDE/>
        <w:autoSpaceDN/>
        <w:spacing w:after="0" w:line="276" w:lineRule="auto"/>
        <w:rPr>
          <w:rFonts w:ascii="Calibri" w:hAnsi="Calibri" w:cs="Calibri"/>
          <w:b/>
          <w:bCs/>
        </w:rPr>
      </w:pPr>
    </w:p>
    <w:p w14:paraId="669FDD53" w14:textId="3C728679" w:rsidR="006057DD" w:rsidRPr="00026576" w:rsidRDefault="006057DD" w:rsidP="00961B7F">
      <w:pPr>
        <w:pStyle w:val="Caption"/>
      </w:pPr>
      <w:bookmarkStart w:id="11" w:name="_Ref90857090"/>
      <w:r w:rsidRPr="00026576">
        <w:t xml:space="preserve">Table </w:t>
      </w:r>
      <w:r w:rsidR="00E30D01" w:rsidRPr="00026576">
        <w:fldChar w:fldCharType="begin"/>
      </w:r>
      <w:r w:rsidR="00E30D01" w:rsidRPr="00026576">
        <w:instrText xml:space="preserve"> SEQ Table \* ARABIC </w:instrText>
      </w:r>
      <w:r w:rsidR="00E30D01" w:rsidRPr="00026576">
        <w:fldChar w:fldCharType="separate"/>
      </w:r>
      <w:r w:rsidRPr="00026576">
        <w:rPr>
          <w:noProof/>
        </w:rPr>
        <w:t>3</w:t>
      </w:r>
      <w:r w:rsidR="00E30D01" w:rsidRPr="00026576">
        <w:rPr>
          <w:noProof/>
        </w:rPr>
        <w:fldChar w:fldCharType="end"/>
      </w:r>
      <w:bookmarkEnd w:id="9"/>
      <w:bookmarkEnd w:id="11"/>
      <w:r w:rsidRPr="00026576">
        <w:t xml:space="preserve">. IRRs (incident rate ratios) and model fit (at </w:t>
      </w:r>
      <w:r w:rsidRPr="00026576">
        <w:rPr>
          <w:i/>
          <w:iCs/>
        </w:rPr>
        <w:t>K</w:t>
      </w:r>
      <w:r w:rsidRPr="00026576">
        <w:t>=7 over 200 maximum iterations) for the spatially fuzzy clustered regression model.</w:t>
      </w:r>
    </w:p>
    <w:tbl>
      <w:tblPr>
        <w:tblStyle w:val="GridTable1Light"/>
        <w:tblW w:w="0" w:type="auto"/>
        <w:tblLayout w:type="fixed"/>
        <w:tblLook w:val="04A0" w:firstRow="1" w:lastRow="0" w:firstColumn="1" w:lastColumn="0" w:noHBand="0" w:noVBand="1"/>
      </w:tblPr>
      <w:tblGrid>
        <w:gridCol w:w="2247"/>
        <w:gridCol w:w="4841"/>
        <w:gridCol w:w="944"/>
        <w:gridCol w:w="944"/>
        <w:gridCol w:w="944"/>
        <w:gridCol w:w="944"/>
        <w:gridCol w:w="944"/>
        <w:gridCol w:w="944"/>
        <w:gridCol w:w="945"/>
      </w:tblGrid>
      <w:tr w:rsidR="00B4681D" w:rsidRPr="00026576" w14:paraId="18B975A4" w14:textId="50E2376B" w:rsidTr="00B4681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47" w:type="dxa"/>
            <w:tcBorders>
              <w:top w:val="single" w:sz="12" w:space="0" w:color="auto"/>
              <w:left w:val="nil"/>
            </w:tcBorders>
            <w:shd w:val="clear" w:color="auto" w:fill="A5A5A5" w:themeFill="accent3"/>
            <w:noWrap/>
          </w:tcPr>
          <w:p w14:paraId="2297B135" w14:textId="77777777" w:rsidR="00B4681D" w:rsidRPr="00026576" w:rsidRDefault="00B4681D" w:rsidP="00961B7F">
            <w:pPr>
              <w:spacing w:line="276" w:lineRule="auto"/>
              <w:jc w:val="center"/>
              <w:rPr>
                <w:rFonts w:ascii="Calibri" w:eastAsia="Times New Roman" w:hAnsi="Calibri" w:cs="Calibri"/>
                <w:color w:val="000000"/>
              </w:rPr>
            </w:pPr>
            <w:r w:rsidRPr="00026576">
              <w:rPr>
                <w:rFonts w:ascii="Calibri" w:eastAsia="Times New Roman" w:hAnsi="Calibri" w:cs="Calibri"/>
                <w:color w:val="000000"/>
              </w:rPr>
              <w:t>Domains</w:t>
            </w:r>
          </w:p>
        </w:tc>
        <w:tc>
          <w:tcPr>
            <w:tcW w:w="4841" w:type="dxa"/>
            <w:tcBorders>
              <w:top w:val="single" w:sz="12" w:space="0" w:color="auto"/>
            </w:tcBorders>
            <w:shd w:val="clear" w:color="auto" w:fill="A5A5A5" w:themeFill="accent3"/>
            <w:noWrap/>
          </w:tcPr>
          <w:p w14:paraId="3075F8A0" w14:textId="77777777" w:rsidR="00B4681D" w:rsidRPr="00026576" w:rsidRDefault="00B4681D" w:rsidP="00961B7F">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Variables</w:t>
            </w:r>
          </w:p>
        </w:tc>
        <w:tc>
          <w:tcPr>
            <w:tcW w:w="944" w:type="dxa"/>
            <w:tcBorders>
              <w:top w:val="single" w:sz="12" w:space="0" w:color="auto"/>
              <w:right w:val="nil"/>
            </w:tcBorders>
            <w:shd w:val="clear" w:color="auto" w:fill="A5A5A5" w:themeFill="accent3"/>
            <w:noWrap/>
          </w:tcPr>
          <w:p w14:paraId="7A1A7935" w14:textId="02A2EA34"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026576">
              <w:rPr>
                <w:rFonts w:ascii="Calibri" w:eastAsia="Times New Roman" w:hAnsi="Calibri" w:cs="Calibri"/>
                <w:color w:val="000000"/>
              </w:rPr>
              <w:t>G1</w:t>
            </w:r>
          </w:p>
        </w:tc>
        <w:tc>
          <w:tcPr>
            <w:tcW w:w="944" w:type="dxa"/>
            <w:tcBorders>
              <w:top w:val="single" w:sz="12" w:space="0" w:color="auto"/>
              <w:right w:val="nil"/>
            </w:tcBorders>
            <w:shd w:val="clear" w:color="auto" w:fill="A5A5A5" w:themeFill="accent3"/>
          </w:tcPr>
          <w:p w14:paraId="64A8E04F" w14:textId="0742EF68"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2</w:t>
            </w:r>
          </w:p>
        </w:tc>
        <w:tc>
          <w:tcPr>
            <w:tcW w:w="944" w:type="dxa"/>
            <w:tcBorders>
              <w:top w:val="single" w:sz="12" w:space="0" w:color="auto"/>
              <w:right w:val="nil"/>
            </w:tcBorders>
            <w:shd w:val="clear" w:color="auto" w:fill="A5A5A5" w:themeFill="accent3"/>
          </w:tcPr>
          <w:p w14:paraId="3DB232DB" w14:textId="1830AAC3"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3</w:t>
            </w:r>
          </w:p>
        </w:tc>
        <w:tc>
          <w:tcPr>
            <w:tcW w:w="944" w:type="dxa"/>
            <w:tcBorders>
              <w:top w:val="single" w:sz="12" w:space="0" w:color="auto"/>
              <w:right w:val="nil"/>
            </w:tcBorders>
            <w:shd w:val="clear" w:color="auto" w:fill="A5A5A5" w:themeFill="accent3"/>
          </w:tcPr>
          <w:p w14:paraId="38CFD8B5" w14:textId="73EDCCC7"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4</w:t>
            </w:r>
          </w:p>
        </w:tc>
        <w:tc>
          <w:tcPr>
            <w:tcW w:w="944" w:type="dxa"/>
            <w:tcBorders>
              <w:top w:val="single" w:sz="12" w:space="0" w:color="auto"/>
            </w:tcBorders>
            <w:shd w:val="clear" w:color="auto" w:fill="A5A5A5" w:themeFill="accent3"/>
          </w:tcPr>
          <w:p w14:paraId="03634AA9" w14:textId="1AA1D88C"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5</w:t>
            </w:r>
          </w:p>
        </w:tc>
        <w:tc>
          <w:tcPr>
            <w:tcW w:w="944" w:type="dxa"/>
            <w:tcBorders>
              <w:top w:val="single" w:sz="12" w:space="0" w:color="auto"/>
            </w:tcBorders>
            <w:shd w:val="clear" w:color="auto" w:fill="A5A5A5" w:themeFill="accent3"/>
          </w:tcPr>
          <w:p w14:paraId="134ED81E" w14:textId="08746C37"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6</w:t>
            </w:r>
          </w:p>
        </w:tc>
        <w:tc>
          <w:tcPr>
            <w:tcW w:w="945" w:type="dxa"/>
            <w:tcBorders>
              <w:top w:val="single" w:sz="12" w:space="0" w:color="auto"/>
              <w:right w:val="nil"/>
            </w:tcBorders>
            <w:shd w:val="clear" w:color="auto" w:fill="A5A5A5" w:themeFill="accent3"/>
          </w:tcPr>
          <w:p w14:paraId="1174EFC5" w14:textId="360CB10D" w:rsidR="00B4681D" w:rsidRPr="00026576" w:rsidRDefault="00B4681D"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G</w:t>
            </w:r>
            <w:r w:rsidRPr="00026576">
              <w:rPr>
                <w:rFonts w:ascii="Calibri" w:eastAsia="Times New Roman" w:hAnsi="Calibri" w:cs="Calibri"/>
                <w:color w:val="000000"/>
              </w:rPr>
              <w:t>7</w:t>
            </w:r>
          </w:p>
        </w:tc>
      </w:tr>
      <w:tr w:rsidR="00FA305D" w:rsidRPr="00026576" w14:paraId="64E93C77" w14:textId="5A854105" w:rsidTr="00B4681D">
        <w:trPr>
          <w:trHeight w:val="20"/>
        </w:trPr>
        <w:tc>
          <w:tcPr>
            <w:cnfStyle w:val="001000000000" w:firstRow="0" w:lastRow="0" w:firstColumn="1" w:lastColumn="0" w:oddVBand="0" w:evenVBand="0" w:oddHBand="0" w:evenHBand="0" w:firstRowFirstColumn="0" w:firstRowLastColumn="0" w:lastRowFirstColumn="0" w:lastRowLastColumn="0"/>
            <w:tcW w:w="2247" w:type="dxa"/>
            <w:tcBorders>
              <w:top w:val="single" w:sz="12" w:space="0" w:color="auto"/>
              <w:left w:val="nil"/>
            </w:tcBorders>
            <w:shd w:val="clear" w:color="auto" w:fill="auto"/>
            <w:noWrap/>
            <w:hideMark/>
          </w:tcPr>
          <w:p w14:paraId="58022D91"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Income</w:t>
            </w:r>
          </w:p>
        </w:tc>
        <w:tc>
          <w:tcPr>
            <w:tcW w:w="4841" w:type="dxa"/>
            <w:tcBorders>
              <w:top w:val="single" w:sz="12" w:space="0" w:color="auto"/>
            </w:tcBorders>
            <w:shd w:val="clear" w:color="auto" w:fill="auto"/>
            <w:noWrap/>
            <w:hideMark/>
          </w:tcPr>
          <w:p w14:paraId="669AF083"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households in lowest household income quintile at national level</w:t>
            </w:r>
          </w:p>
        </w:tc>
        <w:tc>
          <w:tcPr>
            <w:tcW w:w="944" w:type="dxa"/>
            <w:tcBorders>
              <w:top w:val="single" w:sz="12" w:space="0" w:color="auto"/>
            </w:tcBorders>
            <w:shd w:val="clear" w:color="auto" w:fill="auto"/>
            <w:noWrap/>
          </w:tcPr>
          <w:p w14:paraId="6109AD73" w14:textId="1C4763AB"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0.980</w:t>
            </w:r>
          </w:p>
        </w:tc>
        <w:tc>
          <w:tcPr>
            <w:tcW w:w="944" w:type="dxa"/>
            <w:tcBorders>
              <w:top w:val="single" w:sz="12" w:space="0" w:color="auto"/>
            </w:tcBorders>
            <w:shd w:val="clear" w:color="auto" w:fill="auto"/>
            <w:noWrap/>
          </w:tcPr>
          <w:p w14:paraId="4B500924" w14:textId="6EBC1349"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0.971</w:t>
            </w:r>
          </w:p>
        </w:tc>
        <w:tc>
          <w:tcPr>
            <w:tcW w:w="944" w:type="dxa"/>
            <w:tcBorders>
              <w:top w:val="single" w:sz="12" w:space="0" w:color="auto"/>
            </w:tcBorders>
            <w:shd w:val="clear" w:color="auto" w:fill="auto"/>
            <w:noWrap/>
          </w:tcPr>
          <w:p w14:paraId="587B874A" w14:textId="75ABCE4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0.896</w:t>
            </w:r>
          </w:p>
        </w:tc>
        <w:tc>
          <w:tcPr>
            <w:tcW w:w="944" w:type="dxa"/>
            <w:tcBorders>
              <w:top w:val="single" w:sz="12" w:space="0" w:color="auto"/>
              <w:right w:val="nil"/>
            </w:tcBorders>
            <w:shd w:val="clear" w:color="auto" w:fill="auto"/>
            <w:noWrap/>
          </w:tcPr>
          <w:p w14:paraId="1601FA3A" w14:textId="02A5A4FF"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0.965</w:t>
            </w:r>
          </w:p>
        </w:tc>
        <w:tc>
          <w:tcPr>
            <w:tcW w:w="944" w:type="dxa"/>
            <w:tcBorders>
              <w:top w:val="single" w:sz="12" w:space="0" w:color="auto"/>
            </w:tcBorders>
            <w:shd w:val="clear" w:color="auto" w:fill="auto"/>
          </w:tcPr>
          <w:p w14:paraId="77B3BCBA" w14:textId="4365A79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0.978</w:t>
            </w:r>
          </w:p>
        </w:tc>
        <w:tc>
          <w:tcPr>
            <w:tcW w:w="944" w:type="dxa"/>
            <w:tcBorders>
              <w:top w:val="single" w:sz="12" w:space="0" w:color="auto"/>
            </w:tcBorders>
            <w:shd w:val="clear" w:color="auto" w:fill="auto"/>
          </w:tcPr>
          <w:p w14:paraId="041EC9E0" w14:textId="73AE1DC3"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0.937</w:t>
            </w:r>
          </w:p>
        </w:tc>
        <w:tc>
          <w:tcPr>
            <w:tcW w:w="945" w:type="dxa"/>
            <w:tcBorders>
              <w:top w:val="single" w:sz="12" w:space="0" w:color="auto"/>
              <w:right w:val="nil"/>
            </w:tcBorders>
            <w:shd w:val="clear" w:color="auto" w:fill="auto"/>
          </w:tcPr>
          <w:p w14:paraId="451C4A36" w14:textId="3BC5E21C"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0.964</w:t>
            </w:r>
          </w:p>
        </w:tc>
      </w:tr>
      <w:tr w:rsidR="00FA305D" w:rsidRPr="00026576" w14:paraId="74BD37D0" w14:textId="6957DAF2" w:rsidTr="00B4681D">
        <w:trPr>
          <w:trHeight w:val="20"/>
        </w:trPr>
        <w:tc>
          <w:tcPr>
            <w:cnfStyle w:val="001000000000" w:firstRow="0" w:lastRow="0" w:firstColumn="1" w:lastColumn="0" w:oddVBand="0" w:evenVBand="0" w:oddHBand="0" w:evenHBand="0" w:firstRowFirstColumn="0" w:firstRowLastColumn="0" w:lastRowFirstColumn="0" w:lastRowLastColumn="0"/>
            <w:tcW w:w="2247" w:type="dxa"/>
            <w:tcBorders>
              <w:left w:val="nil"/>
            </w:tcBorders>
            <w:shd w:val="clear" w:color="auto" w:fill="auto"/>
            <w:noWrap/>
            <w:hideMark/>
          </w:tcPr>
          <w:p w14:paraId="62C18050"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Qualification</w:t>
            </w:r>
          </w:p>
        </w:tc>
        <w:tc>
          <w:tcPr>
            <w:tcW w:w="4841" w:type="dxa"/>
            <w:shd w:val="clear" w:color="auto" w:fill="auto"/>
            <w:noWrap/>
            <w:hideMark/>
          </w:tcPr>
          <w:p w14:paraId="34646A29"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3 &amp; 4 or above</w:t>
            </w:r>
          </w:p>
        </w:tc>
        <w:tc>
          <w:tcPr>
            <w:tcW w:w="944" w:type="dxa"/>
            <w:shd w:val="clear" w:color="auto" w:fill="auto"/>
            <w:noWrap/>
          </w:tcPr>
          <w:p w14:paraId="0B496C5B" w14:textId="1E3EBBB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1.016</w:t>
            </w:r>
          </w:p>
        </w:tc>
        <w:tc>
          <w:tcPr>
            <w:tcW w:w="944" w:type="dxa"/>
            <w:shd w:val="clear" w:color="auto" w:fill="auto"/>
            <w:noWrap/>
          </w:tcPr>
          <w:p w14:paraId="1ACEA126" w14:textId="2EE915C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1.031</w:t>
            </w:r>
          </w:p>
        </w:tc>
        <w:tc>
          <w:tcPr>
            <w:tcW w:w="944" w:type="dxa"/>
            <w:shd w:val="clear" w:color="auto" w:fill="auto"/>
            <w:noWrap/>
          </w:tcPr>
          <w:p w14:paraId="0408EA3A" w14:textId="3D0DDF2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1.091</w:t>
            </w:r>
          </w:p>
        </w:tc>
        <w:tc>
          <w:tcPr>
            <w:tcW w:w="944" w:type="dxa"/>
            <w:tcBorders>
              <w:right w:val="nil"/>
            </w:tcBorders>
            <w:shd w:val="clear" w:color="auto" w:fill="auto"/>
            <w:noWrap/>
          </w:tcPr>
          <w:p w14:paraId="650E681E" w14:textId="229474F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1.034</w:t>
            </w:r>
          </w:p>
        </w:tc>
        <w:tc>
          <w:tcPr>
            <w:tcW w:w="944" w:type="dxa"/>
            <w:shd w:val="clear" w:color="auto" w:fill="auto"/>
          </w:tcPr>
          <w:p w14:paraId="7B2DA680" w14:textId="2E77D8C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1.028</w:t>
            </w:r>
          </w:p>
        </w:tc>
        <w:tc>
          <w:tcPr>
            <w:tcW w:w="944" w:type="dxa"/>
            <w:shd w:val="clear" w:color="auto" w:fill="auto"/>
          </w:tcPr>
          <w:p w14:paraId="47C474EF" w14:textId="5997654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1.014</w:t>
            </w:r>
          </w:p>
        </w:tc>
        <w:tc>
          <w:tcPr>
            <w:tcW w:w="945" w:type="dxa"/>
            <w:tcBorders>
              <w:right w:val="nil"/>
            </w:tcBorders>
            <w:shd w:val="clear" w:color="auto" w:fill="auto"/>
          </w:tcPr>
          <w:p w14:paraId="6A77743E" w14:textId="4B4255B8"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1.013</w:t>
            </w:r>
          </w:p>
        </w:tc>
      </w:tr>
      <w:tr w:rsidR="00FA305D" w:rsidRPr="00026576" w14:paraId="4DB6C20A" w14:textId="03B351CF" w:rsidTr="00C95E95">
        <w:trPr>
          <w:trHeight w:val="20"/>
        </w:trPr>
        <w:tc>
          <w:tcPr>
            <w:cnfStyle w:val="001000000000" w:firstRow="0" w:lastRow="0" w:firstColumn="1" w:lastColumn="0" w:oddVBand="0" w:evenVBand="0" w:oddHBand="0" w:evenHBand="0" w:firstRowFirstColumn="0" w:firstRowLastColumn="0" w:lastRowFirstColumn="0" w:lastRowLastColumn="0"/>
            <w:tcW w:w="2247" w:type="dxa"/>
            <w:tcBorders>
              <w:left w:val="nil"/>
            </w:tcBorders>
            <w:shd w:val="clear" w:color="auto" w:fill="auto"/>
            <w:noWrap/>
            <w:hideMark/>
          </w:tcPr>
          <w:p w14:paraId="1A131C81"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Occupation</w:t>
            </w:r>
          </w:p>
        </w:tc>
        <w:tc>
          <w:tcPr>
            <w:tcW w:w="4841" w:type="dxa"/>
            <w:shd w:val="clear" w:color="auto" w:fill="auto"/>
            <w:noWrap/>
            <w:hideMark/>
          </w:tcPr>
          <w:p w14:paraId="6A3930BD"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Social Grade C1 (lower middle class)</w:t>
            </w:r>
          </w:p>
        </w:tc>
        <w:tc>
          <w:tcPr>
            <w:tcW w:w="944" w:type="dxa"/>
            <w:shd w:val="clear" w:color="auto" w:fill="A5A5A5" w:themeFill="accent3"/>
            <w:noWrap/>
          </w:tcPr>
          <w:p w14:paraId="2F0FC57C" w14:textId="725B13C3"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0.985</w:t>
            </w:r>
          </w:p>
        </w:tc>
        <w:tc>
          <w:tcPr>
            <w:tcW w:w="944" w:type="dxa"/>
            <w:shd w:val="clear" w:color="auto" w:fill="auto"/>
            <w:noWrap/>
          </w:tcPr>
          <w:p w14:paraId="0B18056F" w14:textId="70B1DFC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1.007</w:t>
            </w:r>
          </w:p>
        </w:tc>
        <w:tc>
          <w:tcPr>
            <w:tcW w:w="944" w:type="dxa"/>
            <w:shd w:val="clear" w:color="auto" w:fill="auto"/>
            <w:noWrap/>
          </w:tcPr>
          <w:p w14:paraId="33952F91" w14:textId="656C712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1.061</w:t>
            </w:r>
          </w:p>
        </w:tc>
        <w:tc>
          <w:tcPr>
            <w:tcW w:w="944" w:type="dxa"/>
            <w:tcBorders>
              <w:right w:val="nil"/>
            </w:tcBorders>
            <w:shd w:val="clear" w:color="auto" w:fill="auto"/>
            <w:noWrap/>
          </w:tcPr>
          <w:p w14:paraId="7D4EA903" w14:textId="1D05363B"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1.044</w:t>
            </w:r>
          </w:p>
        </w:tc>
        <w:tc>
          <w:tcPr>
            <w:tcW w:w="944" w:type="dxa"/>
            <w:shd w:val="clear" w:color="auto" w:fill="auto"/>
          </w:tcPr>
          <w:p w14:paraId="02FD611A" w14:textId="1365627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1.001</w:t>
            </w:r>
          </w:p>
        </w:tc>
        <w:tc>
          <w:tcPr>
            <w:tcW w:w="944" w:type="dxa"/>
            <w:shd w:val="clear" w:color="auto" w:fill="A5A5A5" w:themeFill="accent3"/>
          </w:tcPr>
          <w:p w14:paraId="255D5123" w14:textId="063F2548"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1.000</w:t>
            </w:r>
          </w:p>
        </w:tc>
        <w:tc>
          <w:tcPr>
            <w:tcW w:w="945" w:type="dxa"/>
            <w:tcBorders>
              <w:right w:val="nil"/>
            </w:tcBorders>
            <w:shd w:val="clear" w:color="auto" w:fill="A5A5A5" w:themeFill="accent3"/>
          </w:tcPr>
          <w:p w14:paraId="1156192A" w14:textId="0DB96A3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0.994</w:t>
            </w:r>
          </w:p>
        </w:tc>
      </w:tr>
      <w:tr w:rsidR="00FA305D" w:rsidRPr="00026576" w14:paraId="3D6AA172" w14:textId="2F10251E" w:rsidTr="00123878">
        <w:trPr>
          <w:trHeight w:val="20"/>
        </w:trPr>
        <w:tc>
          <w:tcPr>
            <w:cnfStyle w:val="001000000000" w:firstRow="0" w:lastRow="0" w:firstColumn="1" w:lastColumn="0" w:oddVBand="0" w:evenVBand="0" w:oddHBand="0" w:evenHBand="0" w:firstRowFirstColumn="0" w:firstRowLastColumn="0" w:lastRowFirstColumn="0" w:lastRowLastColumn="0"/>
            <w:tcW w:w="2247" w:type="dxa"/>
            <w:vMerge w:val="restart"/>
            <w:tcBorders>
              <w:left w:val="nil"/>
            </w:tcBorders>
            <w:shd w:val="clear" w:color="auto" w:fill="auto"/>
            <w:noWrap/>
            <w:hideMark/>
          </w:tcPr>
          <w:p w14:paraId="773ECD79"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Accessibility</w:t>
            </w:r>
          </w:p>
        </w:tc>
        <w:tc>
          <w:tcPr>
            <w:tcW w:w="4841" w:type="dxa"/>
            <w:shd w:val="clear" w:color="auto" w:fill="auto"/>
            <w:noWrap/>
            <w:hideMark/>
          </w:tcPr>
          <w:p w14:paraId="3F5DA4FA"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Number of accessible vaccination centres within 45 min on a weekday by car</w:t>
            </w:r>
          </w:p>
        </w:tc>
        <w:tc>
          <w:tcPr>
            <w:tcW w:w="944" w:type="dxa"/>
            <w:shd w:val="clear" w:color="auto" w:fill="auto"/>
            <w:noWrap/>
          </w:tcPr>
          <w:p w14:paraId="068ED4C7" w14:textId="3BF4695F"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0.984</w:t>
            </w:r>
          </w:p>
        </w:tc>
        <w:tc>
          <w:tcPr>
            <w:tcW w:w="944" w:type="dxa"/>
            <w:shd w:val="clear" w:color="auto" w:fill="A5A5A5" w:themeFill="accent3"/>
            <w:noWrap/>
          </w:tcPr>
          <w:p w14:paraId="3085947C" w14:textId="5638EB0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1.018</w:t>
            </w:r>
          </w:p>
        </w:tc>
        <w:tc>
          <w:tcPr>
            <w:tcW w:w="944" w:type="dxa"/>
            <w:shd w:val="clear" w:color="auto" w:fill="A5A5A5" w:themeFill="accent3"/>
            <w:noWrap/>
          </w:tcPr>
          <w:p w14:paraId="0F9E29BF" w14:textId="68763126"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1.000</w:t>
            </w:r>
          </w:p>
        </w:tc>
        <w:tc>
          <w:tcPr>
            <w:tcW w:w="944" w:type="dxa"/>
            <w:tcBorders>
              <w:right w:val="nil"/>
            </w:tcBorders>
            <w:shd w:val="clear" w:color="auto" w:fill="A5A5A5" w:themeFill="accent3"/>
            <w:noWrap/>
          </w:tcPr>
          <w:p w14:paraId="41B44FEA" w14:textId="0AED1C0B"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1.060</w:t>
            </w:r>
          </w:p>
        </w:tc>
        <w:tc>
          <w:tcPr>
            <w:tcW w:w="944" w:type="dxa"/>
            <w:shd w:val="clear" w:color="auto" w:fill="auto"/>
          </w:tcPr>
          <w:p w14:paraId="2F3BB193" w14:textId="170EBCDF"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0.977</w:t>
            </w:r>
          </w:p>
        </w:tc>
        <w:tc>
          <w:tcPr>
            <w:tcW w:w="944" w:type="dxa"/>
            <w:shd w:val="clear" w:color="auto" w:fill="auto"/>
          </w:tcPr>
          <w:p w14:paraId="47318E78" w14:textId="15D12B2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0.959</w:t>
            </w:r>
          </w:p>
        </w:tc>
        <w:tc>
          <w:tcPr>
            <w:tcW w:w="945" w:type="dxa"/>
            <w:tcBorders>
              <w:right w:val="nil"/>
            </w:tcBorders>
            <w:shd w:val="clear" w:color="auto" w:fill="auto"/>
          </w:tcPr>
          <w:p w14:paraId="196CC6F8" w14:textId="38771069"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0.991</w:t>
            </w:r>
          </w:p>
        </w:tc>
      </w:tr>
      <w:tr w:rsidR="00FA305D" w:rsidRPr="00026576" w14:paraId="0AD58398" w14:textId="7D19CE1D" w:rsidTr="00FA305D">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hideMark/>
          </w:tcPr>
          <w:p w14:paraId="3EC0594C"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hideMark/>
          </w:tcPr>
          <w:p w14:paraId="742E8C00"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Number of accessible vaccination centres within 60 min on a weekday at 12 pm by public transportation</w:t>
            </w:r>
          </w:p>
        </w:tc>
        <w:tc>
          <w:tcPr>
            <w:tcW w:w="944" w:type="dxa"/>
            <w:shd w:val="clear" w:color="auto" w:fill="auto"/>
            <w:noWrap/>
          </w:tcPr>
          <w:p w14:paraId="38BDE292" w14:textId="5FA4FEB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1.019</w:t>
            </w:r>
          </w:p>
        </w:tc>
        <w:tc>
          <w:tcPr>
            <w:tcW w:w="944" w:type="dxa"/>
            <w:shd w:val="clear" w:color="auto" w:fill="A5A5A5" w:themeFill="accent3"/>
            <w:noWrap/>
          </w:tcPr>
          <w:p w14:paraId="67A9DD91" w14:textId="618B4548"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0.992</w:t>
            </w:r>
          </w:p>
        </w:tc>
        <w:tc>
          <w:tcPr>
            <w:tcW w:w="944" w:type="dxa"/>
            <w:shd w:val="clear" w:color="auto" w:fill="A5A5A5" w:themeFill="accent3"/>
            <w:noWrap/>
          </w:tcPr>
          <w:p w14:paraId="7AA5FE68" w14:textId="5A0B97E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0.966</w:t>
            </w:r>
          </w:p>
        </w:tc>
        <w:tc>
          <w:tcPr>
            <w:tcW w:w="944" w:type="dxa"/>
            <w:tcBorders>
              <w:right w:val="nil"/>
            </w:tcBorders>
            <w:shd w:val="clear" w:color="auto" w:fill="A5A5A5" w:themeFill="accent3"/>
            <w:noWrap/>
          </w:tcPr>
          <w:p w14:paraId="4D1DC9DA" w14:textId="497F7C9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0.980</w:t>
            </w:r>
          </w:p>
        </w:tc>
        <w:tc>
          <w:tcPr>
            <w:tcW w:w="944" w:type="dxa"/>
            <w:shd w:val="clear" w:color="auto" w:fill="auto"/>
          </w:tcPr>
          <w:p w14:paraId="58236FAE" w14:textId="3BC7144C"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1.020</w:t>
            </w:r>
          </w:p>
        </w:tc>
        <w:tc>
          <w:tcPr>
            <w:tcW w:w="944" w:type="dxa"/>
            <w:shd w:val="clear" w:color="auto" w:fill="A5A5A5" w:themeFill="accent3"/>
          </w:tcPr>
          <w:p w14:paraId="770F0E99" w14:textId="6077712C"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0.988</w:t>
            </w:r>
          </w:p>
        </w:tc>
        <w:tc>
          <w:tcPr>
            <w:tcW w:w="945" w:type="dxa"/>
            <w:tcBorders>
              <w:right w:val="nil"/>
            </w:tcBorders>
            <w:shd w:val="clear" w:color="auto" w:fill="auto"/>
          </w:tcPr>
          <w:p w14:paraId="62052D50" w14:textId="1284504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1.018</w:t>
            </w:r>
          </w:p>
        </w:tc>
      </w:tr>
      <w:tr w:rsidR="00FA305D" w:rsidRPr="00026576" w14:paraId="4F8F99A6" w14:textId="7BA83CC9" w:rsidTr="00B4681D">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hideMark/>
          </w:tcPr>
          <w:p w14:paraId="3C261810"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hideMark/>
          </w:tcPr>
          <w:p w14:paraId="1C760058"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households owning no car</w:t>
            </w:r>
          </w:p>
        </w:tc>
        <w:tc>
          <w:tcPr>
            <w:tcW w:w="944" w:type="dxa"/>
            <w:shd w:val="clear" w:color="auto" w:fill="auto"/>
            <w:noWrap/>
          </w:tcPr>
          <w:p w14:paraId="75F80456" w14:textId="7D02A955"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0.949</w:t>
            </w:r>
          </w:p>
        </w:tc>
        <w:tc>
          <w:tcPr>
            <w:tcW w:w="944" w:type="dxa"/>
            <w:shd w:val="clear" w:color="auto" w:fill="auto"/>
            <w:noWrap/>
          </w:tcPr>
          <w:p w14:paraId="46CB4550" w14:textId="784DE8A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0.958</w:t>
            </w:r>
          </w:p>
        </w:tc>
        <w:tc>
          <w:tcPr>
            <w:tcW w:w="944" w:type="dxa"/>
            <w:shd w:val="clear" w:color="auto" w:fill="auto"/>
            <w:noWrap/>
          </w:tcPr>
          <w:p w14:paraId="7F2EE174" w14:textId="2B7E538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0.991</w:t>
            </w:r>
          </w:p>
        </w:tc>
        <w:tc>
          <w:tcPr>
            <w:tcW w:w="944" w:type="dxa"/>
            <w:tcBorders>
              <w:right w:val="nil"/>
            </w:tcBorders>
            <w:shd w:val="clear" w:color="auto" w:fill="auto"/>
            <w:noWrap/>
          </w:tcPr>
          <w:p w14:paraId="448C25B6" w14:textId="5B2A8E7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0.983</w:t>
            </w:r>
          </w:p>
        </w:tc>
        <w:tc>
          <w:tcPr>
            <w:tcW w:w="944" w:type="dxa"/>
            <w:shd w:val="clear" w:color="auto" w:fill="auto"/>
          </w:tcPr>
          <w:p w14:paraId="6FE92494" w14:textId="4B7B4CD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0.930</w:t>
            </w:r>
          </w:p>
        </w:tc>
        <w:tc>
          <w:tcPr>
            <w:tcW w:w="944" w:type="dxa"/>
            <w:shd w:val="clear" w:color="auto" w:fill="auto"/>
          </w:tcPr>
          <w:p w14:paraId="52BCB3BC" w14:textId="4B181176"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0.974</w:t>
            </w:r>
          </w:p>
        </w:tc>
        <w:tc>
          <w:tcPr>
            <w:tcW w:w="945" w:type="dxa"/>
            <w:tcBorders>
              <w:right w:val="nil"/>
            </w:tcBorders>
            <w:shd w:val="clear" w:color="auto" w:fill="auto"/>
          </w:tcPr>
          <w:p w14:paraId="0030EC5A" w14:textId="6945F6E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0.923</w:t>
            </w:r>
          </w:p>
        </w:tc>
      </w:tr>
      <w:tr w:rsidR="00FA305D" w:rsidRPr="00026576" w14:paraId="6C7F7FE1" w14:textId="6FE7D996" w:rsidTr="00B30A99">
        <w:trPr>
          <w:trHeight w:val="20"/>
        </w:trPr>
        <w:tc>
          <w:tcPr>
            <w:cnfStyle w:val="001000000000" w:firstRow="0" w:lastRow="0" w:firstColumn="1" w:lastColumn="0" w:oddVBand="0" w:evenVBand="0" w:oddHBand="0" w:evenHBand="0" w:firstRowFirstColumn="0" w:firstRowLastColumn="0" w:lastRowFirstColumn="0" w:lastRowLastColumn="0"/>
            <w:tcW w:w="2247" w:type="dxa"/>
            <w:tcBorders>
              <w:left w:val="nil"/>
            </w:tcBorders>
            <w:shd w:val="clear" w:color="auto" w:fill="auto"/>
            <w:noWrap/>
            <w:hideMark/>
          </w:tcPr>
          <w:p w14:paraId="530649AC"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Activity commitment</w:t>
            </w:r>
          </w:p>
        </w:tc>
        <w:tc>
          <w:tcPr>
            <w:tcW w:w="4841" w:type="dxa"/>
            <w:shd w:val="clear" w:color="auto" w:fill="auto"/>
            <w:noWrap/>
            <w:hideMark/>
          </w:tcPr>
          <w:p w14:paraId="3345398E"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part-time workers in the resident</w:t>
            </w:r>
            <w:r w:rsidRPr="00026576">
              <w:rPr>
                <w:rFonts w:ascii="Calibri" w:eastAsia="Times New Roman" w:hAnsi="Calibri" w:cs="Calibri"/>
                <w:color w:val="000000"/>
              </w:rPr>
              <w:br/>
              <w:t>population aged 16-74</w:t>
            </w:r>
          </w:p>
        </w:tc>
        <w:tc>
          <w:tcPr>
            <w:tcW w:w="944" w:type="dxa"/>
            <w:shd w:val="clear" w:color="auto" w:fill="auto"/>
            <w:noWrap/>
          </w:tcPr>
          <w:p w14:paraId="01BDCFE9" w14:textId="3DC0CB3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1.039</w:t>
            </w:r>
          </w:p>
        </w:tc>
        <w:tc>
          <w:tcPr>
            <w:tcW w:w="944" w:type="dxa"/>
            <w:shd w:val="clear" w:color="auto" w:fill="auto"/>
            <w:noWrap/>
          </w:tcPr>
          <w:p w14:paraId="69DDD085" w14:textId="3D9714D9"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1.038</w:t>
            </w:r>
          </w:p>
        </w:tc>
        <w:tc>
          <w:tcPr>
            <w:tcW w:w="944" w:type="dxa"/>
            <w:shd w:val="clear" w:color="auto" w:fill="auto"/>
            <w:noWrap/>
          </w:tcPr>
          <w:p w14:paraId="7D9564F8" w14:textId="050D13C9"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1.046</w:t>
            </w:r>
          </w:p>
        </w:tc>
        <w:tc>
          <w:tcPr>
            <w:tcW w:w="944" w:type="dxa"/>
            <w:tcBorders>
              <w:right w:val="nil"/>
            </w:tcBorders>
            <w:shd w:val="clear" w:color="auto" w:fill="auto"/>
            <w:noWrap/>
          </w:tcPr>
          <w:p w14:paraId="674F6917" w14:textId="1FAC543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1.069</w:t>
            </w:r>
          </w:p>
        </w:tc>
        <w:tc>
          <w:tcPr>
            <w:tcW w:w="944" w:type="dxa"/>
            <w:shd w:val="clear" w:color="auto" w:fill="auto"/>
          </w:tcPr>
          <w:p w14:paraId="06C4B5D0" w14:textId="7CEFEA9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1.021</w:t>
            </w:r>
          </w:p>
        </w:tc>
        <w:tc>
          <w:tcPr>
            <w:tcW w:w="944" w:type="dxa"/>
            <w:shd w:val="clear" w:color="auto" w:fill="A5A5A5" w:themeFill="accent3"/>
          </w:tcPr>
          <w:p w14:paraId="67293B79" w14:textId="63D7F995"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0.995</w:t>
            </w:r>
          </w:p>
        </w:tc>
        <w:tc>
          <w:tcPr>
            <w:tcW w:w="945" w:type="dxa"/>
            <w:tcBorders>
              <w:right w:val="nil"/>
            </w:tcBorders>
            <w:shd w:val="clear" w:color="auto" w:fill="auto"/>
          </w:tcPr>
          <w:p w14:paraId="2C9345BB" w14:textId="4FDDA0F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1.023</w:t>
            </w:r>
          </w:p>
        </w:tc>
      </w:tr>
      <w:tr w:rsidR="00FA305D" w:rsidRPr="00026576" w14:paraId="420CF6E5" w14:textId="28E6F0ED" w:rsidTr="00101B26">
        <w:trPr>
          <w:trHeight w:val="20"/>
        </w:trPr>
        <w:tc>
          <w:tcPr>
            <w:cnfStyle w:val="001000000000" w:firstRow="0" w:lastRow="0" w:firstColumn="1" w:lastColumn="0" w:oddVBand="0" w:evenVBand="0" w:oddHBand="0" w:evenHBand="0" w:firstRowFirstColumn="0" w:firstRowLastColumn="0" w:lastRowFirstColumn="0" w:lastRowLastColumn="0"/>
            <w:tcW w:w="2247" w:type="dxa"/>
            <w:tcBorders>
              <w:left w:val="nil"/>
              <w:bottom w:val="single" w:sz="4" w:space="0" w:color="999999" w:themeColor="text1" w:themeTint="66"/>
            </w:tcBorders>
            <w:shd w:val="clear" w:color="auto" w:fill="auto"/>
            <w:noWrap/>
            <w:hideMark/>
          </w:tcPr>
          <w:p w14:paraId="7259C37C"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Population Health</w:t>
            </w:r>
          </w:p>
        </w:tc>
        <w:tc>
          <w:tcPr>
            <w:tcW w:w="4841" w:type="dxa"/>
            <w:tcBorders>
              <w:bottom w:val="single" w:sz="4" w:space="0" w:color="999999" w:themeColor="text1" w:themeTint="66"/>
            </w:tcBorders>
            <w:shd w:val="clear" w:color="auto" w:fill="auto"/>
            <w:noWrap/>
            <w:hideMark/>
          </w:tcPr>
          <w:p w14:paraId="78AD69D9"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Median ages of the resident population</w:t>
            </w:r>
          </w:p>
        </w:tc>
        <w:tc>
          <w:tcPr>
            <w:tcW w:w="944" w:type="dxa"/>
            <w:tcBorders>
              <w:bottom w:val="single" w:sz="4" w:space="0" w:color="999999" w:themeColor="text1" w:themeTint="66"/>
            </w:tcBorders>
            <w:shd w:val="clear" w:color="auto" w:fill="auto"/>
            <w:noWrap/>
          </w:tcPr>
          <w:p w14:paraId="2FC2A923" w14:textId="78B17AF5"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1.032</w:t>
            </w:r>
          </w:p>
        </w:tc>
        <w:tc>
          <w:tcPr>
            <w:tcW w:w="944" w:type="dxa"/>
            <w:tcBorders>
              <w:bottom w:val="single" w:sz="4" w:space="0" w:color="999999" w:themeColor="text1" w:themeTint="66"/>
            </w:tcBorders>
            <w:shd w:val="clear" w:color="auto" w:fill="auto"/>
            <w:noWrap/>
          </w:tcPr>
          <w:p w14:paraId="59DF6E91" w14:textId="2C4358D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1.036</w:t>
            </w:r>
          </w:p>
        </w:tc>
        <w:tc>
          <w:tcPr>
            <w:tcW w:w="944" w:type="dxa"/>
            <w:tcBorders>
              <w:bottom w:val="single" w:sz="4" w:space="0" w:color="999999" w:themeColor="text1" w:themeTint="66"/>
            </w:tcBorders>
            <w:shd w:val="clear" w:color="auto" w:fill="auto"/>
            <w:noWrap/>
          </w:tcPr>
          <w:p w14:paraId="6BA19C1F" w14:textId="2476812B"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1.003</w:t>
            </w:r>
          </w:p>
        </w:tc>
        <w:tc>
          <w:tcPr>
            <w:tcW w:w="944" w:type="dxa"/>
            <w:tcBorders>
              <w:bottom w:val="single" w:sz="4" w:space="0" w:color="999999" w:themeColor="text1" w:themeTint="66"/>
              <w:right w:val="nil"/>
            </w:tcBorders>
            <w:shd w:val="clear" w:color="auto" w:fill="auto"/>
            <w:noWrap/>
          </w:tcPr>
          <w:p w14:paraId="31EF3D3C" w14:textId="291B449B"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1.066</w:t>
            </w:r>
          </w:p>
        </w:tc>
        <w:tc>
          <w:tcPr>
            <w:tcW w:w="944" w:type="dxa"/>
            <w:tcBorders>
              <w:bottom w:val="single" w:sz="4" w:space="0" w:color="999999" w:themeColor="text1" w:themeTint="66"/>
            </w:tcBorders>
            <w:shd w:val="clear" w:color="auto" w:fill="auto"/>
          </w:tcPr>
          <w:p w14:paraId="138181EB" w14:textId="71BD19C6"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1.006</w:t>
            </w:r>
          </w:p>
        </w:tc>
        <w:tc>
          <w:tcPr>
            <w:tcW w:w="944" w:type="dxa"/>
            <w:tcBorders>
              <w:bottom w:val="single" w:sz="4" w:space="0" w:color="999999" w:themeColor="text1" w:themeTint="66"/>
            </w:tcBorders>
            <w:shd w:val="clear" w:color="auto" w:fill="auto"/>
          </w:tcPr>
          <w:p w14:paraId="08850D45" w14:textId="5BD7ABD3"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1.035</w:t>
            </w:r>
          </w:p>
        </w:tc>
        <w:tc>
          <w:tcPr>
            <w:tcW w:w="945" w:type="dxa"/>
            <w:tcBorders>
              <w:bottom w:val="single" w:sz="4" w:space="0" w:color="999999" w:themeColor="text1" w:themeTint="66"/>
              <w:right w:val="nil"/>
            </w:tcBorders>
            <w:shd w:val="clear" w:color="auto" w:fill="auto"/>
          </w:tcPr>
          <w:p w14:paraId="3EB56D58" w14:textId="0293E17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1.018</w:t>
            </w:r>
          </w:p>
        </w:tc>
      </w:tr>
      <w:tr w:rsidR="00FA305D" w:rsidRPr="00026576" w14:paraId="1D56582E" w14:textId="51309A1E" w:rsidTr="00B4681D">
        <w:trPr>
          <w:trHeight w:val="20"/>
        </w:trPr>
        <w:tc>
          <w:tcPr>
            <w:cnfStyle w:val="001000000000" w:firstRow="0" w:lastRow="0" w:firstColumn="1" w:lastColumn="0" w:oddVBand="0" w:evenVBand="0" w:oddHBand="0" w:evenHBand="0" w:firstRowFirstColumn="0" w:firstRowLastColumn="0" w:lastRowFirstColumn="0" w:lastRowLastColumn="0"/>
            <w:tcW w:w="2247" w:type="dxa"/>
            <w:vMerge w:val="restart"/>
            <w:tcBorders>
              <w:left w:val="nil"/>
            </w:tcBorders>
            <w:shd w:val="clear" w:color="auto" w:fill="auto"/>
            <w:noWrap/>
            <w:hideMark/>
          </w:tcPr>
          <w:p w14:paraId="06688FB4"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Ethnicity</w:t>
            </w:r>
          </w:p>
        </w:tc>
        <w:tc>
          <w:tcPr>
            <w:tcW w:w="4841" w:type="dxa"/>
            <w:shd w:val="clear" w:color="auto" w:fill="auto"/>
            <w:noWrap/>
            <w:hideMark/>
          </w:tcPr>
          <w:p w14:paraId="745D9E11"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Chinese resident population</w:t>
            </w:r>
          </w:p>
        </w:tc>
        <w:tc>
          <w:tcPr>
            <w:tcW w:w="944" w:type="dxa"/>
            <w:shd w:val="clear" w:color="auto" w:fill="auto"/>
            <w:noWrap/>
          </w:tcPr>
          <w:p w14:paraId="4685DC6D" w14:textId="70AA675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0.976</w:t>
            </w:r>
          </w:p>
        </w:tc>
        <w:tc>
          <w:tcPr>
            <w:tcW w:w="944" w:type="dxa"/>
            <w:shd w:val="clear" w:color="auto" w:fill="auto"/>
            <w:noWrap/>
          </w:tcPr>
          <w:p w14:paraId="18660AF5" w14:textId="10B8A8BF"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0.956</w:t>
            </w:r>
          </w:p>
        </w:tc>
        <w:tc>
          <w:tcPr>
            <w:tcW w:w="944" w:type="dxa"/>
            <w:shd w:val="clear" w:color="auto" w:fill="auto"/>
            <w:noWrap/>
          </w:tcPr>
          <w:p w14:paraId="1DBF05D0" w14:textId="68E1FC23"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0.989</w:t>
            </w:r>
          </w:p>
        </w:tc>
        <w:tc>
          <w:tcPr>
            <w:tcW w:w="944" w:type="dxa"/>
            <w:tcBorders>
              <w:right w:val="nil"/>
            </w:tcBorders>
            <w:shd w:val="clear" w:color="auto" w:fill="auto"/>
            <w:noWrap/>
          </w:tcPr>
          <w:p w14:paraId="444EC7DE" w14:textId="55A2C30A"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0.962</w:t>
            </w:r>
          </w:p>
        </w:tc>
        <w:tc>
          <w:tcPr>
            <w:tcW w:w="944" w:type="dxa"/>
            <w:shd w:val="clear" w:color="auto" w:fill="auto"/>
          </w:tcPr>
          <w:p w14:paraId="456A73ED" w14:textId="7730226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0.981</w:t>
            </w:r>
          </w:p>
        </w:tc>
        <w:tc>
          <w:tcPr>
            <w:tcW w:w="944" w:type="dxa"/>
            <w:shd w:val="clear" w:color="auto" w:fill="auto"/>
          </w:tcPr>
          <w:p w14:paraId="7C4E9A31" w14:textId="14093A3A"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0.928</w:t>
            </w:r>
          </w:p>
        </w:tc>
        <w:tc>
          <w:tcPr>
            <w:tcW w:w="945" w:type="dxa"/>
            <w:tcBorders>
              <w:right w:val="nil"/>
            </w:tcBorders>
            <w:shd w:val="clear" w:color="auto" w:fill="auto"/>
          </w:tcPr>
          <w:p w14:paraId="50953FDF" w14:textId="7222AFC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0.970</w:t>
            </w:r>
          </w:p>
        </w:tc>
      </w:tr>
      <w:tr w:rsidR="00FA305D" w:rsidRPr="00026576" w14:paraId="74EF756C" w14:textId="08C03917" w:rsidTr="00FA305D">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hideMark/>
          </w:tcPr>
          <w:p w14:paraId="1481AFF6"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hideMark/>
          </w:tcPr>
          <w:p w14:paraId="4E481C46"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Other Asian resident population</w:t>
            </w:r>
          </w:p>
        </w:tc>
        <w:tc>
          <w:tcPr>
            <w:tcW w:w="944" w:type="dxa"/>
            <w:shd w:val="clear" w:color="auto" w:fill="auto"/>
            <w:noWrap/>
          </w:tcPr>
          <w:p w14:paraId="3F719434" w14:textId="001CC65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0.995</w:t>
            </w:r>
          </w:p>
        </w:tc>
        <w:tc>
          <w:tcPr>
            <w:tcW w:w="944" w:type="dxa"/>
            <w:shd w:val="clear" w:color="auto" w:fill="auto"/>
            <w:noWrap/>
          </w:tcPr>
          <w:p w14:paraId="034F6284" w14:textId="29DF9E4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0.960</w:t>
            </w:r>
          </w:p>
        </w:tc>
        <w:tc>
          <w:tcPr>
            <w:tcW w:w="944" w:type="dxa"/>
            <w:shd w:val="clear" w:color="auto" w:fill="A5A5A5" w:themeFill="accent3"/>
            <w:noWrap/>
          </w:tcPr>
          <w:p w14:paraId="17830A58" w14:textId="1F4DB50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1.009</w:t>
            </w:r>
          </w:p>
        </w:tc>
        <w:tc>
          <w:tcPr>
            <w:tcW w:w="944" w:type="dxa"/>
            <w:tcBorders>
              <w:right w:val="nil"/>
            </w:tcBorders>
            <w:shd w:val="clear" w:color="auto" w:fill="auto"/>
            <w:noWrap/>
          </w:tcPr>
          <w:p w14:paraId="193081C7" w14:textId="67613B9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0.988</w:t>
            </w:r>
          </w:p>
        </w:tc>
        <w:tc>
          <w:tcPr>
            <w:tcW w:w="944" w:type="dxa"/>
            <w:shd w:val="clear" w:color="auto" w:fill="auto"/>
          </w:tcPr>
          <w:p w14:paraId="0C5F9022" w14:textId="28909EA4"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0.989</w:t>
            </w:r>
          </w:p>
        </w:tc>
        <w:tc>
          <w:tcPr>
            <w:tcW w:w="944" w:type="dxa"/>
            <w:shd w:val="clear" w:color="auto" w:fill="A5A5A5" w:themeFill="accent3"/>
          </w:tcPr>
          <w:p w14:paraId="7B26B9EC" w14:textId="040A5916"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1.006</w:t>
            </w:r>
          </w:p>
        </w:tc>
        <w:tc>
          <w:tcPr>
            <w:tcW w:w="945" w:type="dxa"/>
            <w:tcBorders>
              <w:right w:val="nil"/>
            </w:tcBorders>
            <w:shd w:val="clear" w:color="auto" w:fill="auto"/>
          </w:tcPr>
          <w:p w14:paraId="515ACA1F" w14:textId="03F6EFCA"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0.964</w:t>
            </w:r>
          </w:p>
        </w:tc>
      </w:tr>
      <w:tr w:rsidR="00FA305D" w:rsidRPr="00026576" w14:paraId="797CD116" w14:textId="2308EBE4" w:rsidTr="00FA305D">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hideMark/>
          </w:tcPr>
          <w:p w14:paraId="2178B10A"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hideMark/>
          </w:tcPr>
          <w:p w14:paraId="2E2C8967"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African resident population</w:t>
            </w:r>
          </w:p>
        </w:tc>
        <w:tc>
          <w:tcPr>
            <w:tcW w:w="944" w:type="dxa"/>
            <w:shd w:val="clear" w:color="auto" w:fill="auto"/>
            <w:noWrap/>
          </w:tcPr>
          <w:p w14:paraId="7D9FF3CE" w14:textId="18E2B218"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0.973</w:t>
            </w:r>
          </w:p>
        </w:tc>
        <w:tc>
          <w:tcPr>
            <w:tcW w:w="944" w:type="dxa"/>
            <w:shd w:val="clear" w:color="auto" w:fill="auto"/>
            <w:noWrap/>
          </w:tcPr>
          <w:p w14:paraId="7C59194C" w14:textId="12649A2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0.993</w:t>
            </w:r>
          </w:p>
        </w:tc>
        <w:tc>
          <w:tcPr>
            <w:tcW w:w="944" w:type="dxa"/>
            <w:shd w:val="clear" w:color="auto" w:fill="A5A5A5" w:themeFill="accent3"/>
            <w:noWrap/>
          </w:tcPr>
          <w:p w14:paraId="012C755F" w14:textId="7A3CB965"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1.007</w:t>
            </w:r>
          </w:p>
        </w:tc>
        <w:tc>
          <w:tcPr>
            <w:tcW w:w="944" w:type="dxa"/>
            <w:tcBorders>
              <w:right w:val="nil"/>
            </w:tcBorders>
            <w:shd w:val="clear" w:color="auto" w:fill="auto"/>
            <w:noWrap/>
          </w:tcPr>
          <w:p w14:paraId="219F5B43" w14:textId="74DE5325"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0.984</w:t>
            </w:r>
          </w:p>
        </w:tc>
        <w:tc>
          <w:tcPr>
            <w:tcW w:w="944" w:type="dxa"/>
            <w:shd w:val="clear" w:color="auto" w:fill="A5A5A5" w:themeFill="accent3"/>
          </w:tcPr>
          <w:p w14:paraId="4914C613" w14:textId="0320E3D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1.006</w:t>
            </w:r>
          </w:p>
        </w:tc>
        <w:tc>
          <w:tcPr>
            <w:tcW w:w="944" w:type="dxa"/>
            <w:shd w:val="clear" w:color="auto" w:fill="auto"/>
          </w:tcPr>
          <w:p w14:paraId="763CAD93" w14:textId="61974E8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0.897</w:t>
            </w:r>
          </w:p>
        </w:tc>
        <w:tc>
          <w:tcPr>
            <w:tcW w:w="945" w:type="dxa"/>
            <w:tcBorders>
              <w:right w:val="nil"/>
            </w:tcBorders>
            <w:shd w:val="clear" w:color="auto" w:fill="auto"/>
          </w:tcPr>
          <w:p w14:paraId="284E617F" w14:textId="448A2DF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1.000</w:t>
            </w:r>
          </w:p>
        </w:tc>
      </w:tr>
      <w:tr w:rsidR="00FA305D" w:rsidRPr="00026576" w14:paraId="25E9963D" w14:textId="61FF0C8B" w:rsidTr="00101B26">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bottom w:val="double" w:sz="4" w:space="0" w:color="auto"/>
            </w:tcBorders>
            <w:shd w:val="clear" w:color="auto" w:fill="auto"/>
            <w:noWrap/>
            <w:hideMark/>
          </w:tcPr>
          <w:p w14:paraId="446E23BA"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tcBorders>
              <w:bottom w:val="double" w:sz="4" w:space="0" w:color="auto"/>
            </w:tcBorders>
            <w:shd w:val="clear" w:color="auto" w:fill="auto"/>
            <w:noWrap/>
            <w:hideMark/>
          </w:tcPr>
          <w:p w14:paraId="505D7A00"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Share of Caribbean resident population</w:t>
            </w:r>
          </w:p>
        </w:tc>
        <w:tc>
          <w:tcPr>
            <w:tcW w:w="944" w:type="dxa"/>
            <w:tcBorders>
              <w:bottom w:val="double" w:sz="4" w:space="0" w:color="auto"/>
            </w:tcBorders>
            <w:shd w:val="clear" w:color="auto" w:fill="auto"/>
            <w:noWrap/>
          </w:tcPr>
          <w:p w14:paraId="2D1E2D44" w14:textId="70E8CDE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0.927</w:t>
            </w:r>
          </w:p>
        </w:tc>
        <w:tc>
          <w:tcPr>
            <w:tcW w:w="944" w:type="dxa"/>
            <w:tcBorders>
              <w:bottom w:val="double" w:sz="4" w:space="0" w:color="auto"/>
            </w:tcBorders>
            <w:shd w:val="clear" w:color="auto" w:fill="auto"/>
            <w:noWrap/>
          </w:tcPr>
          <w:p w14:paraId="79BB4651" w14:textId="60AC7F5E"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0.965</w:t>
            </w:r>
          </w:p>
        </w:tc>
        <w:tc>
          <w:tcPr>
            <w:tcW w:w="944" w:type="dxa"/>
            <w:tcBorders>
              <w:bottom w:val="double" w:sz="4" w:space="0" w:color="auto"/>
            </w:tcBorders>
            <w:shd w:val="clear" w:color="auto" w:fill="auto"/>
            <w:noWrap/>
          </w:tcPr>
          <w:p w14:paraId="20858F9B" w14:textId="7A512FE9"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0.994</w:t>
            </w:r>
          </w:p>
        </w:tc>
        <w:tc>
          <w:tcPr>
            <w:tcW w:w="944" w:type="dxa"/>
            <w:tcBorders>
              <w:bottom w:val="double" w:sz="4" w:space="0" w:color="auto"/>
              <w:right w:val="nil"/>
            </w:tcBorders>
            <w:shd w:val="clear" w:color="auto" w:fill="auto"/>
            <w:noWrap/>
          </w:tcPr>
          <w:p w14:paraId="3EE302A7" w14:textId="1F5B46B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0.985</w:t>
            </w:r>
          </w:p>
        </w:tc>
        <w:tc>
          <w:tcPr>
            <w:tcW w:w="944" w:type="dxa"/>
            <w:tcBorders>
              <w:bottom w:val="double" w:sz="4" w:space="0" w:color="auto"/>
            </w:tcBorders>
            <w:shd w:val="clear" w:color="auto" w:fill="auto"/>
          </w:tcPr>
          <w:p w14:paraId="378F7622" w14:textId="094ECB6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0.974</w:t>
            </w:r>
          </w:p>
        </w:tc>
        <w:tc>
          <w:tcPr>
            <w:tcW w:w="944" w:type="dxa"/>
            <w:tcBorders>
              <w:bottom w:val="double" w:sz="4" w:space="0" w:color="auto"/>
            </w:tcBorders>
            <w:shd w:val="clear" w:color="auto" w:fill="auto"/>
          </w:tcPr>
          <w:p w14:paraId="5A3C7A68" w14:textId="13C22240"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0.999</w:t>
            </w:r>
          </w:p>
        </w:tc>
        <w:tc>
          <w:tcPr>
            <w:tcW w:w="945" w:type="dxa"/>
            <w:tcBorders>
              <w:bottom w:val="double" w:sz="4" w:space="0" w:color="auto"/>
              <w:right w:val="nil"/>
            </w:tcBorders>
            <w:shd w:val="clear" w:color="auto" w:fill="auto"/>
          </w:tcPr>
          <w:p w14:paraId="10910E4F" w14:textId="78004B81"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0.973</w:t>
            </w:r>
          </w:p>
        </w:tc>
      </w:tr>
      <w:tr w:rsidR="00FA305D" w:rsidRPr="00026576" w14:paraId="015DD423" w14:textId="27DEB010" w:rsidTr="00CB6ACF">
        <w:trPr>
          <w:trHeight w:val="20"/>
        </w:trPr>
        <w:tc>
          <w:tcPr>
            <w:cnfStyle w:val="001000000000" w:firstRow="0" w:lastRow="0" w:firstColumn="1" w:lastColumn="0" w:oddVBand="0" w:evenVBand="0" w:oddHBand="0" w:evenHBand="0" w:firstRowFirstColumn="0" w:firstRowLastColumn="0" w:lastRowFirstColumn="0" w:lastRowLastColumn="0"/>
            <w:tcW w:w="2247" w:type="dxa"/>
            <w:vMerge w:val="restart"/>
            <w:tcBorders>
              <w:top w:val="double" w:sz="4" w:space="0" w:color="auto"/>
              <w:left w:val="nil"/>
            </w:tcBorders>
            <w:shd w:val="clear" w:color="auto" w:fill="auto"/>
            <w:noWrap/>
            <w:hideMark/>
          </w:tcPr>
          <w:p w14:paraId="68D575B4" w14:textId="77777777" w:rsidR="00FA305D" w:rsidRPr="00026576" w:rsidRDefault="00FA305D" w:rsidP="00961B7F">
            <w:pPr>
              <w:widowControl/>
              <w:wordWrap/>
              <w:autoSpaceDE/>
              <w:autoSpaceDN/>
              <w:spacing w:line="276" w:lineRule="auto"/>
              <w:rPr>
                <w:rFonts w:ascii="Calibri" w:eastAsia="Times New Roman" w:hAnsi="Calibri" w:cs="Calibri"/>
                <w:b w:val="0"/>
                <w:bCs w:val="0"/>
                <w:color w:val="000000"/>
              </w:rPr>
            </w:pPr>
            <w:r w:rsidRPr="00026576">
              <w:rPr>
                <w:rFonts w:ascii="Calibri" w:eastAsia="Times New Roman" w:hAnsi="Calibri" w:cs="Calibri"/>
                <w:b w:val="0"/>
                <w:bCs w:val="0"/>
                <w:color w:val="000000"/>
              </w:rPr>
              <w:t>Model criteria information</w:t>
            </w:r>
          </w:p>
        </w:tc>
        <w:tc>
          <w:tcPr>
            <w:tcW w:w="4841" w:type="dxa"/>
            <w:tcBorders>
              <w:top w:val="double" w:sz="4" w:space="0" w:color="auto"/>
            </w:tcBorders>
            <w:shd w:val="clear" w:color="auto" w:fill="auto"/>
            <w:noWrap/>
            <w:hideMark/>
          </w:tcPr>
          <w:p w14:paraId="60116F0D"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Log-likelihood</w:t>
            </w:r>
          </w:p>
        </w:tc>
        <w:tc>
          <w:tcPr>
            <w:tcW w:w="6609" w:type="dxa"/>
            <w:gridSpan w:val="7"/>
            <w:tcBorders>
              <w:top w:val="double" w:sz="4" w:space="0" w:color="auto"/>
              <w:right w:val="nil"/>
            </w:tcBorders>
            <w:shd w:val="clear" w:color="auto" w:fill="auto"/>
            <w:noWrap/>
          </w:tcPr>
          <w:p w14:paraId="2515149B" w14:textId="023BD10A"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-38653.160</w:t>
            </w:r>
          </w:p>
        </w:tc>
      </w:tr>
      <w:tr w:rsidR="00FA305D" w:rsidRPr="00026576" w14:paraId="5495006C" w14:textId="34C43A07" w:rsidTr="00CB6ACF">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hideMark/>
          </w:tcPr>
          <w:p w14:paraId="079FE94F"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hideMark/>
          </w:tcPr>
          <w:p w14:paraId="1CC61DB8"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AIC</w:t>
            </w:r>
          </w:p>
        </w:tc>
        <w:tc>
          <w:tcPr>
            <w:tcW w:w="6609" w:type="dxa"/>
            <w:gridSpan w:val="7"/>
            <w:tcBorders>
              <w:right w:val="nil"/>
            </w:tcBorders>
            <w:shd w:val="clear" w:color="auto" w:fill="auto"/>
            <w:noWrap/>
          </w:tcPr>
          <w:p w14:paraId="66F2EF77" w14:textId="6194606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77330.320</w:t>
            </w:r>
          </w:p>
        </w:tc>
      </w:tr>
      <w:tr w:rsidR="006A30BE" w:rsidRPr="00026576" w14:paraId="266788D0" w14:textId="77777777" w:rsidTr="00CB6ACF">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tcBorders>
            <w:shd w:val="clear" w:color="auto" w:fill="auto"/>
            <w:noWrap/>
          </w:tcPr>
          <w:p w14:paraId="518E4B08" w14:textId="77777777" w:rsidR="006A30BE" w:rsidRPr="00026576" w:rsidRDefault="006A30BE"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shd w:val="clear" w:color="auto" w:fill="auto"/>
            <w:noWrap/>
          </w:tcPr>
          <w:p w14:paraId="5AE153FC" w14:textId="0A52189E" w:rsidR="006A30BE" w:rsidRPr="00026576" w:rsidRDefault="006A30BE"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BIC</w:t>
            </w:r>
          </w:p>
        </w:tc>
        <w:tc>
          <w:tcPr>
            <w:tcW w:w="6609" w:type="dxa"/>
            <w:gridSpan w:val="7"/>
            <w:tcBorders>
              <w:right w:val="nil"/>
            </w:tcBorders>
            <w:shd w:val="clear" w:color="auto" w:fill="auto"/>
            <w:noWrap/>
          </w:tcPr>
          <w:p w14:paraId="115FE1D6" w14:textId="164D4369" w:rsidR="006A30BE" w:rsidRPr="00026576" w:rsidRDefault="00A732FC"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6576">
              <w:rPr>
                <w:rFonts w:ascii="Calibri" w:hAnsi="Calibri" w:cs="Calibri"/>
              </w:rPr>
              <w:t>77356.135</w:t>
            </w:r>
          </w:p>
        </w:tc>
      </w:tr>
      <w:tr w:rsidR="00FA305D" w:rsidRPr="00026576" w14:paraId="1E54F6B0" w14:textId="10D988AB" w:rsidTr="006C79E5">
        <w:trPr>
          <w:trHeight w:val="20"/>
        </w:trPr>
        <w:tc>
          <w:tcPr>
            <w:cnfStyle w:val="001000000000" w:firstRow="0" w:lastRow="0" w:firstColumn="1" w:lastColumn="0" w:oddVBand="0" w:evenVBand="0" w:oddHBand="0" w:evenHBand="0" w:firstRowFirstColumn="0" w:firstRowLastColumn="0" w:lastRowFirstColumn="0" w:lastRowLastColumn="0"/>
            <w:tcW w:w="2247" w:type="dxa"/>
            <w:vMerge/>
            <w:tcBorders>
              <w:left w:val="nil"/>
              <w:bottom w:val="single" w:sz="12" w:space="0" w:color="auto"/>
            </w:tcBorders>
            <w:shd w:val="clear" w:color="auto" w:fill="auto"/>
            <w:noWrap/>
            <w:hideMark/>
          </w:tcPr>
          <w:p w14:paraId="733DFFC8" w14:textId="77777777" w:rsidR="00FA305D" w:rsidRPr="00026576" w:rsidRDefault="00FA305D" w:rsidP="00961B7F">
            <w:pPr>
              <w:widowControl/>
              <w:wordWrap/>
              <w:autoSpaceDE/>
              <w:autoSpaceDN/>
              <w:spacing w:line="276" w:lineRule="auto"/>
              <w:jc w:val="right"/>
              <w:rPr>
                <w:rFonts w:ascii="Calibri" w:eastAsia="Times New Roman" w:hAnsi="Calibri" w:cs="Calibri"/>
                <w:b w:val="0"/>
                <w:bCs w:val="0"/>
                <w:color w:val="000000"/>
              </w:rPr>
            </w:pPr>
          </w:p>
        </w:tc>
        <w:tc>
          <w:tcPr>
            <w:tcW w:w="4841" w:type="dxa"/>
            <w:tcBorders>
              <w:bottom w:val="single" w:sz="12" w:space="0" w:color="auto"/>
            </w:tcBorders>
            <w:shd w:val="clear" w:color="auto" w:fill="auto"/>
            <w:noWrap/>
            <w:hideMark/>
          </w:tcPr>
          <w:p w14:paraId="2C8A7F9D" w14:textId="77777777" w:rsidR="00FA305D" w:rsidRPr="00026576" w:rsidRDefault="00FA305D" w:rsidP="00961B7F">
            <w:pPr>
              <w:widowControl/>
              <w:wordWrap/>
              <w:autoSpaceDE/>
              <w:autoSpaceDN/>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eastAsia="Times New Roman" w:hAnsi="Calibri" w:cs="Calibri"/>
                <w:color w:val="000000"/>
              </w:rPr>
              <w:t>Theta</w:t>
            </w:r>
          </w:p>
        </w:tc>
        <w:tc>
          <w:tcPr>
            <w:tcW w:w="944" w:type="dxa"/>
            <w:tcBorders>
              <w:bottom w:val="single" w:sz="12" w:space="0" w:color="auto"/>
            </w:tcBorders>
            <w:shd w:val="clear" w:color="auto" w:fill="auto"/>
            <w:noWrap/>
          </w:tcPr>
          <w:p w14:paraId="584E6980" w14:textId="350A2C8D"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913.129</w:t>
            </w:r>
          </w:p>
        </w:tc>
        <w:tc>
          <w:tcPr>
            <w:tcW w:w="944" w:type="dxa"/>
            <w:tcBorders>
              <w:bottom w:val="single" w:sz="12" w:space="0" w:color="auto"/>
            </w:tcBorders>
            <w:shd w:val="clear" w:color="auto" w:fill="auto"/>
            <w:noWrap/>
          </w:tcPr>
          <w:p w14:paraId="53322792" w14:textId="7D73504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587.355</w:t>
            </w:r>
          </w:p>
        </w:tc>
        <w:tc>
          <w:tcPr>
            <w:tcW w:w="944" w:type="dxa"/>
            <w:tcBorders>
              <w:bottom w:val="single" w:sz="12" w:space="0" w:color="auto"/>
            </w:tcBorders>
            <w:shd w:val="clear" w:color="auto" w:fill="auto"/>
            <w:noWrap/>
          </w:tcPr>
          <w:p w14:paraId="4624DE3C" w14:textId="48BA16C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430.199</w:t>
            </w:r>
          </w:p>
        </w:tc>
        <w:tc>
          <w:tcPr>
            <w:tcW w:w="944" w:type="dxa"/>
            <w:tcBorders>
              <w:bottom w:val="single" w:sz="12" w:space="0" w:color="auto"/>
              <w:right w:val="nil"/>
            </w:tcBorders>
            <w:shd w:val="clear" w:color="auto" w:fill="auto"/>
            <w:noWrap/>
          </w:tcPr>
          <w:p w14:paraId="0F6E879B" w14:textId="17C0A218"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424.243</w:t>
            </w:r>
          </w:p>
        </w:tc>
        <w:tc>
          <w:tcPr>
            <w:tcW w:w="944" w:type="dxa"/>
            <w:tcBorders>
              <w:bottom w:val="single" w:sz="12" w:space="0" w:color="auto"/>
            </w:tcBorders>
            <w:shd w:val="clear" w:color="auto" w:fill="auto"/>
          </w:tcPr>
          <w:p w14:paraId="293F65C4" w14:textId="17D075F3"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831.948</w:t>
            </w:r>
          </w:p>
        </w:tc>
        <w:tc>
          <w:tcPr>
            <w:tcW w:w="944" w:type="dxa"/>
            <w:tcBorders>
              <w:bottom w:val="single" w:sz="12" w:space="0" w:color="auto"/>
            </w:tcBorders>
            <w:shd w:val="clear" w:color="auto" w:fill="auto"/>
          </w:tcPr>
          <w:p w14:paraId="73D0CFAB" w14:textId="2CDD26F2"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819.016</w:t>
            </w:r>
          </w:p>
        </w:tc>
        <w:tc>
          <w:tcPr>
            <w:tcW w:w="945" w:type="dxa"/>
            <w:tcBorders>
              <w:bottom w:val="single" w:sz="12" w:space="0" w:color="auto"/>
              <w:right w:val="nil"/>
            </w:tcBorders>
            <w:shd w:val="clear" w:color="auto" w:fill="auto"/>
          </w:tcPr>
          <w:p w14:paraId="045CB2D6" w14:textId="1F30FA97" w:rsidR="00FA305D" w:rsidRPr="00026576" w:rsidRDefault="00FA305D"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6576">
              <w:rPr>
                <w:rFonts w:ascii="Calibri" w:hAnsi="Calibri" w:cs="Calibri"/>
              </w:rPr>
              <w:t>869.485</w:t>
            </w:r>
          </w:p>
        </w:tc>
      </w:tr>
    </w:tbl>
    <w:p w14:paraId="7AFDFC2B" w14:textId="3DC8A582" w:rsidR="00101B26" w:rsidRPr="00026576" w:rsidRDefault="00101B26" w:rsidP="00961B7F">
      <w:pPr>
        <w:spacing w:after="0" w:line="276" w:lineRule="auto"/>
        <w:rPr>
          <w:rFonts w:ascii="Calibri" w:hAnsi="Calibri" w:cs="Calibri"/>
          <w:b/>
          <w:bCs/>
        </w:rPr>
      </w:pPr>
      <w:r w:rsidRPr="00026576">
        <w:rPr>
          <w:rFonts w:ascii="Calibri" w:hAnsi="Calibri" w:cs="Calibri"/>
          <w:b/>
          <w:bCs/>
        </w:rPr>
        <w:t>Note: heterogeneous responses (compared to NB estimation results) are shaded in darker grey.</w:t>
      </w:r>
    </w:p>
    <w:p w14:paraId="309A4594" w14:textId="1D094773" w:rsidR="00DB4B2C" w:rsidRPr="00026576" w:rsidRDefault="00DB4B2C" w:rsidP="00F810C0">
      <w:pPr>
        <w:widowControl/>
        <w:wordWrap/>
        <w:autoSpaceDE/>
        <w:autoSpaceDN/>
        <w:spacing w:after="0" w:line="276" w:lineRule="auto"/>
        <w:rPr>
          <w:rFonts w:ascii="Calibri" w:hAnsi="Calibri" w:cs="Calibri"/>
          <w:b/>
          <w:bCs/>
        </w:rPr>
      </w:pPr>
    </w:p>
    <w:p w14:paraId="296C1E73" w14:textId="23D5E9A4" w:rsidR="00851397" w:rsidRPr="00026576" w:rsidRDefault="00851397" w:rsidP="00961B7F">
      <w:pPr>
        <w:pStyle w:val="Caption"/>
      </w:pPr>
      <w:bookmarkStart w:id="12" w:name="_Ref90856331"/>
      <w:r w:rsidRPr="00026576">
        <w:t xml:space="preserve">Table </w:t>
      </w:r>
      <w:r w:rsidRPr="00026576">
        <w:fldChar w:fldCharType="begin"/>
      </w:r>
      <w:r w:rsidRPr="00026576">
        <w:instrText xml:space="preserve"> SEQ Table \* ARABIC </w:instrText>
      </w:r>
      <w:r w:rsidRPr="00026576">
        <w:fldChar w:fldCharType="separate"/>
      </w:r>
      <w:r w:rsidRPr="00026576">
        <w:rPr>
          <w:noProof/>
        </w:rPr>
        <w:t>4</w:t>
      </w:r>
      <w:r w:rsidRPr="00026576">
        <w:rPr>
          <w:noProof/>
        </w:rPr>
        <w:fldChar w:fldCharType="end"/>
      </w:r>
      <w:bookmarkEnd w:id="12"/>
      <w:r w:rsidRPr="00026576">
        <w:t>. Inequalities in access to vaccines by clusters.</w:t>
      </w:r>
    </w:p>
    <w:tbl>
      <w:tblPr>
        <w:tblStyle w:val="GridTable1Light"/>
        <w:tblW w:w="0" w:type="auto"/>
        <w:tblLayout w:type="fixed"/>
        <w:tblLook w:val="04A0" w:firstRow="1" w:lastRow="0" w:firstColumn="1" w:lastColumn="0" w:noHBand="0" w:noVBand="1"/>
      </w:tblPr>
      <w:tblGrid>
        <w:gridCol w:w="1712"/>
        <w:gridCol w:w="1508"/>
        <w:gridCol w:w="1508"/>
        <w:gridCol w:w="1509"/>
        <w:gridCol w:w="1748"/>
        <w:gridCol w:w="1748"/>
        <w:gridCol w:w="1749"/>
        <w:gridCol w:w="2215"/>
      </w:tblGrid>
      <w:tr w:rsidR="00A16071" w:rsidRPr="00026576" w14:paraId="6EFA0A22" w14:textId="2D2A848D" w:rsidTr="00C91B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vMerge w:val="restart"/>
            <w:tcBorders>
              <w:top w:val="single" w:sz="12" w:space="0" w:color="auto"/>
              <w:left w:val="nil"/>
            </w:tcBorders>
            <w:shd w:val="clear" w:color="auto" w:fill="A5A5A5" w:themeFill="accent3"/>
            <w:noWrap/>
            <w:hideMark/>
          </w:tcPr>
          <w:p w14:paraId="33D8F9E5" w14:textId="4D334FA8" w:rsidR="00B53093" w:rsidRPr="001D549E" w:rsidRDefault="00B53093" w:rsidP="00961B7F">
            <w:pPr>
              <w:widowControl/>
              <w:wordWrap/>
              <w:autoSpaceDE/>
              <w:autoSpaceDN/>
              <w:spacing w:line="276" w:lineRule="auto"/>
              <w:jc w:val="center"/>
              <w:rPr>
                <w:rFonts w:ascii="Calibri" w:eastAsia="Times New Roman" w:hAnsi="Calibri" w:cs="Calibri"/>
              </w:rPr>
            </w:pPr>
            <w:bookmarkStart w:id="13" w:name="_Ref89896241"/>
            <w:r w:rsidRPr="00026576">
              <w:rPr>
                <w:rFonts w:ascii="Calibri" w:eastAsia="Times New Roman" w:hAnsi="Calibri" w:cs="Calibri"/>
              </w:rPr>
              <w:t>Groups</w:t>
            </w:r>
          </w:p>
        </w:tc>
        <w:tc>
          <w:tcPr>
            <w:tcW w:w="1508" w:type="dxa"/>
            <w:vMerge w:val="restart"/>
            <w:tcBorders>
              <w:top w:val="single" w:sz="12" w:space="0" w:color="auto"/>
            </w:tcBorders>
            <w:shd w:val="clear" w:color="auto" w:fill="A5A5A5" w:themeFill="accent3"/>
            <w:noWrap/>
            <w:hideMark/>
          </w:tcPr>
          <w:p w14:paraId="25F7910C" w14:textId="77777777" w:rsidR="00B53093" w:rsidRPr="001D549E" w:rsidRDefault="00B5309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 xml:space="preserve">Number of </w:t>
            </w:r>
            <w:r w:rsidRPr="00026576">
              <w:rPr>
                <w:rFonts w:ascii="Calibri" w:eastAsia="Times New Roman" w:hAnsi="Calibri" w:cs="Calibri"/>
                <w:color w:val="000000"/>
              </w:rPr>
              <w:t xml:space="preserve">consecutive </w:t>
            </w:r>
            <w:r w:rsidRPr="001D549E">
              <w:rPr>
                <w:rFonts w:ascii="Calibri" w:eastAsia="Times New Roman" w:hAnsi="Calibri" w:cs="Calibri"/>
                <w:color w:val="000000"/>
              </w:rPr>
              <w:t>MSOAs</w:t>
            </w:r>
          </w:p>
        </w:tc>
        <w:tc>
          <w:tcPr>
            <w:tcW w:w="1508" w:type="dxa"/>
            <w:vMerge w:val="restart"/>
            <w:tcBorders>
              <w:top w:val="single" w:sz="12" w:space="0" w:color="auto"/>
            </w:tcBorders>
            <w:shd w:val="clear" w:color="auto" w:fill="A5A5A5" w:themeFill="accent3"/>
            <w:noWrap/>
            <w:hideMark/>
          </w:tcPr>
          <w:p w14:paraId="25843E72" w14:textId="7003579E" w:rsidR="00B53093" w:rsidRPr="001D549E" w:rsidRDefault="00B5309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1D549E">
              <w:rPr>
                <w:rFonts w:ascii="Calibri" w:eastAsia="Times New Roman" w:hAnsi="Calibri" w:cs="Calibri"/>
                <w:color w:val="000000"/>
              </w:rPr>
              <w:t>Number of COVID-19 vaccination centres</w:t>
            </w:r>
          </w:p>
        </w:tc>
        <w:tc>
          <w:tcPr>
            <w:tcW w:w="1509" w:type="dxa"/>
            <w:vMerge w:val="restart"/>
            <w:tcBorders>
              <w:top w:val="single" w:sz="12" w:space="0" w:color="auto"/>
            </w:tcBorders>
            <w:shd w:val="clear" w:color="auto" w:fill="A5A5A5" w:themeFill="accent3"/>
            <w:noWrap/>
            <w:hideMark/>
          </w:tcPr>
          <w:p w14:paraId="5D5C6105" w14:textId="3A6F7F98" w:rsidR="00B53093" w:rsidRPr="001D549E" w:rsidRDefault="00B5309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Vaccination centres per 100,000 inhabitants</w:t>
            </w:r>
          </w:p>
        </w:tc>
        <w:tc>
          <w:tcPr>
            <w:tcW w:w="1748" w:type="dxa"/>
            <w:tcBorders>
              <w:top w:val="single" w:sz="12" w:space="0" w:color="auto"/>
            </w:tcBorders>
            <w:shd w:val="clear" w:color="auto" w:fill="A5A5A5" w:themeFill="accent3"/>
            <w:noWrap/>
            <w:hideMark/>
          </w:tcPr>
          <w:p w14:paraId="3C02F334" w14:textId="77777777" w:rsidR="00B53093" w:rsidRPr="001D549E" w:rsidRDefault="00B5309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People who received 1st dose vaccinations (%)</w:t>
            </w:r>
          </w:p>
        </w:tc>
        <w:tc>
          <w:tcPr>
            <w:tcW w:w="1748" w:type="dxa"/>
            <w:tcBorders>
              <w:top w:val="single" w:sz="12" w:space="0" w:color="auto"/>
            </w:tcBorders>
            <w:shd w:val="clear" w:color="auto" w:fill="A5A5A5" w:themeFill="accent3"/>
            <w:noWrap/>
            <w:hideMark/>
          </w:tcPr>
          <w:p w14:paraId="5838EB6E" w14:textId="0F1E0D9E" w:rsidR="00B53093" w:rsidRPr="001D549E" w:rsidRDefault="00A16071"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a</w:t>
            </w:r>
            <w:r w:rsidR="00B53093" w:rsidRPr="00026576">
              <w:rPr>
                <w:rFonts w:ascii="Calibri" w:eastAsia="Times New Roman" w:hAnsi="Calibri" w:cs="Calibri"/>
                <w:color w:val="000000"/>
              </w:rPr>
              <w:t>ccessible vaccination centres b</w:t>
            </w:r>
            <w:r w:rsidR="00B53093" w:rsidRPr="001D549E">
              <w:rPr>
                <w:rFonts w:ascii="Calibri" w:eastAsia="Times New Roman" w:hAnsi="Calibri" w:cs="Calibri"/>
                <w:color w:val="000000"/>
              </w:rPr>
              <w:t xml:space="preserve">y </w:t>
            </w:r>
            <w:r w:rsidR="00B53093" w:rsidRPr="00026576">
              <w:rPr>
                <w:rFonts w:ascii="Calibri" w:eastAsia="Times New Roman" w:hAnsi="Calibri" w:cs="Calibri"/>
                <w:color w:val="000000"/>
              </w:rPr>
              <w:t>c</w:t>
            </w:r>
            <w:r w:rsidR="00B53093" w:rsidRPr="001D549E">
              <w:rPr>
                <w:rFonts w:ascii="Calibri" w:eastAsia="Times New Roman" w:hAnsi="Calibri" w:cs="Calibri"/>
                <w:color w:val="000000"/>
              </w:rPr>
              <w:t>ar within 45min</w:t>
            </w:r>
          </w:p>
        </w:tc>
        <w:tc>
          <w:tcPr>
            <w:tcW w:w="1749" w:type="dxa"/>
            <w:tcBorders>
              <w:top w:val="single" w:sz="12" w:space="0" w:color="auto"/>
              <w:right w:val="nil"/>
            </w:tcBorders>
            <w:shd w:val="clear" w:color="auto" w:fill="A5A5A5" w:themeFill="accent3"/>
            <w:noWrap/>
            <w:hideMark/>
          </w:tcPr>
          <w:p w14:paraId="1AACB720" w14:textId="69018D7C" w:rsidR="00B53093" w:rsidRPr="001D549E" w:rsidRDefault="00A16071"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Number of a</w:t>
            </w:r>
            <w:r w:rsidR="00B53093" w:rsidRPr="00026576">
              <w:rPr>
                <w:rFonts w:ascii="Calibri" w:eastAsia="Times New Roman" w:hAnsi="Calibri" w:cs="Calibri"/>
                <w:color w:val="000000"/>
              </w:rPr>
              <w:t>ccessible vaccination centres b</w:t>
            </w:r>
            <w:r w:rsidR="00B53093" w:rsidRPr="001D549E">
              <w:rPr>
                <w:rFonts w:ascii="Calibri" w:eastAsia="Times New Roman" w:hAnsi="Calibri" w:cs="Calibri"/>
                <w:color w:val="000000"/>
              </w:rPr>
              <w:t xml:space="preserve">y </w:t>
            </w:r>
            <w:r w:rsidR="00B53093" w:rsidRPr="00026576">
              <w:rPr>
                <w:rFonts w:ascii="Calibri" w:eastAsia="Times New Roman" w:hAnsi="Calibri" w:cs="Calibri"/>
                <w:color w:val="000000"/>
              </w:rPr>
              <w:t xml:space="preserve">public transportation </w:t>
            </w:r>
            <w:r w:rsidR="00B53093" w:rsidRPr="001D549E">
              <w:rPr>
                <w:rFonts w:ascii="Calibri" w:eastAsia="Times New Roman" w:hAnsi="Calibri" w:cs="Calibri"/>
                <w:color w:val="000000"/>
              </w:rPr>
              <w:t>within 60min</w:t>
            </w:r>
          </w:p>
        </w:tc>
        <w:tc>
          <w:tcPr>
            <w:tcW w:w="2215" w:type="dxa"/>
            <w:vMerge w:val="restart"/>
            <w:tcBorders>
              <w:top w:val="single" w:sz="12" w:space="0" w:color="auto"/>
              <w:right w:val="nil"/>
            </w:tcBorders>
            <w:shd w:val="clear" w:color="auto" w:fill="A5A5A5" w:themeFill="accent3"/>
          </w:tcPr>
          <w:p w14:paraId="532BD1EA" w14:textId="54DB09A1" w:rsidR="00B53093" w:rsidRPr="00026576" w:rsidRDefault="00B5309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Categories (accessibility x vaccine uptake)</w:t>
            </w:r>
          </w:p>
        </w:tc>
      </w:tr>
      <w:tr w:rsidR="00A16071" w:rsidRPr="00026576" w14:paraId="1AF91784" w14:textId="5320DCCB"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vMerge/>
            <w:tcBorders>
              <w:top w:val="single" w:sz="12" w:space="0" w:color="666666" w:themeColor="text1" w:themeTint="99"/>
              <w:left w:val="nil"/>
              <w:bottom w:val="single" w:sz="12" w:space="0" w:color="auto"/>
            </w:tcBorders>
            <w:shd w:val="clear" w:color="auto" w:fill="A5A5A5" w:themeFill="accent3"/>
            <w:noWrap/>
            <w:hideMark/>
          </w:tcPr>
          <w:p w14:paraId="0963AD72" w14:textId="77777777" w:rsidR="00B53093" w:rsidRPr="001D549E" w:rsidRDefault="00B53093" w:rsidP="00961B7F">
            <w:pPr>
              <w:widowControl/>
              <w:wordWrap/>
              <w:autoSpaceDE/>
              <w:autoSpaceDN/>
              <w:spacing w:line="276" w:lineRule="auto"/>
              <w:jc w:val="center"/>
              <w:rPr>
                <w:rFonts w:ascii="Calibri" w:eastAsia="Times New Roman" w:hAnsi="Calibri" w:cs="Calibri"/>
                <w:color w:val="000000"/>
              </w:rPr>
            </w:pPr>
          </w:p>
        </w:tc>
        <w:tc>
          <w:tcPr>
            <w:tcW w:w="1508" w:type="dxa"/>
            <w:vMerge/>
            <w:tcBorders>
              <w:top w:val="single" w:sz="12" w:space="0" w:color="666666" w:themeColor="text1" w:themeTint="99"/>
              <w:bottom w:val="single" w:sz="12" w:space="0" w:color="auto"/>
            </w:tcBorders>
            <w:shd w:val="clear" w:color="auto" w:fill="A5A5A5" w:themeFill="accent3"/>
            <w:noWrap/>
            <w:hideMark/>
          </w:tcPr>
          <w:p w14:paraId="5001A1E4"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1508" w:type="dxa"/>
            <w:vMerge/>
            <w:tcBorders>
              <w:top w:val="single" w:sz="12" w:space="0" w:color="666666" w:themeColor="text1" w:themeTint="99"/>
              <w:bottom w:val="single" w:sz="12" w:space="0" w:color="auto"/>
            </w:tcBorders>
            <w:shd w:val="clear" w:color="auto" w:fill="A5A5A5" w:themeFill="accent3"/>
            <w:noWrap/>
            <w:hideMark/>
          </w:tcPr>
          <w:p w14:paraId="69AC797F"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1509" w:type="dxa"/>
            <w:vMerge/>
            <w:tcBorders>
              <w:top w:val="single" w:sz="12" w:space="0" w:color="666666" w:themeColor="text1" w:themeTint="99"/>
              <w:bottom w:val="single" w:sz="12" w:space="0" w:color="auto"/>
            </w:tcBorders>
            <w:shd w:val="clear" w:color="auto" w:fill="A5A5A5" w:themeFill="accent3"/>
            <w:noWrap/>
            <w:hideMark/>
          </w:tcPr>
          <w:p w14:paraId="18BDFCE4"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1748" w:type="dxa"/>
            <w:tcBorders>
              <w:top w:val="single" w:sz="12" w:space="0" w:color="666666" w:themeColor="text1" w:themeTint="99"/>
              <w:bottom w:val="single" w:sz="12" w:space="0" w:color="auto"/>
            </w:tcBorders>
            <w:shd w:val="clear" w:color="auto" w:fill="A5A5A5" w:themeFill="accent3"/>
            <w:noWrap/>
            <w:hideMark/>
          </w:tcPr>
          <w:p w14:paraId="4B9B850E"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Mean (SD)</w:t>
            </w:r>
          </w:p>
        </w:tc>
        <w:tc>
          <w:tcPr>
            <w:tcW w:w="1748" w:type="dxa"/>
            <w:tcBorders>
              <w:top w:val="single" w:sz="12" w:space="0" w:color="666666" w:themeColor="text1" w:themeTint="99"/>
              <w:bottom w:val="single" w:sz="12" w:space="0" w:color="auto"/>
            </w:tcBorders>
            <w:shd w:val="clear" w:color="auto" w:fill="A5A5A5" w:themeFill="accent3"/>
            <w:noWrap/>
            <w:hideMark/>
          </w:tcPr>
          <w:p w14:paraId="284C35D7"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Mean (SD)</w:t>
            </w:r>
          </w:p>
        </w:tc>
        <w:tc>
          <w:tcPr>
            <w:tcW w:w="1749" w:type="dxa"/>
            <w:tcBorders>
              <w:top w:val="single" w:sz="12" w:space="0" w:color="666666" w:themeColor="text1" w:themeTint="99"/>
              <w:bottom w:val="single" w:sz="12" w:space="0" w:color="auto"/>
              <w:right w:val="nil"/>
            </w:tcBorders>
            <w:shd w:val="clear" w:color="auto" w:fill="A5A5A5" w:themeFill="accent3"/>
            <w:noWrap/>
            <w:hideMark/>
          </w:tcPr>
          <w:p w14:paraId="0EBA4516"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Mean (SD)</w:t>
            </w:r>
          </w:p>
        </w:tc>
        <w:tc>
          <w:tcPr>
            <w:tcW w:w="2215" w:type="dxa"/>
            <w:vMerge/>
            <w:tcBorders>
              <w:bottom w:val="single" w:sz="12" w:space="0" w:color="auto"/>
              <w:right w:val="nil"/>
            </w:tcBorders>
            <w:shd w:val="clear" w:color="auto" w:fill="A5A5A5" w:themeFill="accent3"/>
          </w:tcPr>
          <w:p w14:paraId="2EC328F8" w14:textId="777777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A16071" w:rsidRPr="00026576" w14:paraId="3E6AA0C3" w14:textId="1007880A"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top w:val="single" w:sz="12" w:space="0" w:color="auto"/>
              <w:left w:val="nil"/>
            </w:tcBorders>
            <w:noWrap/>
            <w:hideMark/>
          </w:tcPr>
          <w:p w14:paraId="6107D11B"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G1</w:t>
            </w:r>
          </w:p>
        </w:tc>
        <w:tc>
          <w:tcPr>
            <w:tcW w:w="1508" w:type="dxa"/>
            <w:tcBorders>
              <w:top w:val="single" w:sz="12" w:space="0" w:color="auto"/>
            </w:tcBorders>
            <w:noWrap/>
            <w:hideMark/>
          </w:tcPr>
          <w:p w14:paraId="03EDF4D2"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1098</w:t>
            </w:r>
          </w:p>
        </w:tc>
        <w:tc>
          <w:tcPr>
            <w:tcW w:w="1508" w:type="dxa"/>
            <w:tcBorders>
              <w:top w:val="single" w:sz="12" w:space="0" w:color="auto"/>
            </w:tcBorders>
            <w:noWrap/>
            <w:hideMark/>
          </w:tcPr>
          <w:p w14:paraId="5AD5C101"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21</w:t>
            </w:r>
          </w:p>
        </w:tc>
        <w:tc>
          <w:tcPr>
            <w:tcW w:w="1509" w:type="dxa"/>
            <w:tcBorders>
              <w:top w:val="single" w:sz="12" w:space="0" w:color="auto"/>
            </w:tcBorders>
            <w:shd w:val="clear" w:color="auto" w:fill="auto"/>
            <w:noWrap/>
            <w:hideMark/>
          </w:tcPr>
          <w:p w14:paraId="555A1D5A"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0.67</w:t>
            </w:r>
          </w:p>
        </w:tc>
        <w:tc>
          <w:tcPr>
            <w:tcW w:w="1748" w:type="dxa"/>
            <w:tcBorders>
              <w:top w:val="single" w:sz="12" w:space="0" w:color="auto"/>
            </w:tcBorders>
            <w:shd w:val="clear" w:color="auto" w:fill="FF0000"/>
            <w:noWrap/>
            <w:hideMark/>
          </w:tcPr>
          <w:p w14:paraId="7D24E54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0.71 (0.1)</w:t>
            </w:r>
          </w:p>
        </w:tc>
        <w:tc>
          <w:tcPr>
            <w:tcW w:w="1748" w:type="dxa"/>
            <w:tcBorders>
              <w:top w:val="single" w:sz="12" w:space="0" w:color="auto"/>
            </w:tcBorders>
            <w:shd w:val="clear" w:color="auto" w:fill="0070C0"/>
            <w:noWrap/>
            <w:hideMark/>
          </w:tcPr>
          <w:p w14:paraId="0B7DB27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6.35 (8.31)</w:t>
            </w:r>
          </w:p>
        </w:tc>
        <w:tc>
          <w:tcPr>
            <w:tcW w:w="1749" w:type="dxa"/>
            <w:tcBorders>
              <w:top w:val="single" w:sz="12" w:space="0" w:color="auto"/>
              <w:right w:val="nil"/>
            </w:tcBorders>
            <w:shd w:val="clear" w:color="auto" w:fill="0070C0"/>
            <w:noWrap/>
            <w:hideMark/>
          </w:tcPr>
          <w:p w14:paraId="70350E18"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1.52 (2.58)</w:t>
            </w:r>
          </w:p>
        </w:tc>
        <w:tc>
          <w:tcPr>
            <w:tcW w:w="2215" w:type="dxa"/>
            <w:tcBorders>
              <w:top w:val="single" w:sz="12" w:space="0" w:color="auto"/>
              <w:right w:val="nil"/>
            </w:tcBorders>
            <w:shd w:val="clear" w:color="auto" w:fill="auto"/>
          </w:tcPr>
          <w:p w14:paraId="0BFAA839" w14:textId="23E08563"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Poor but good</w:t>
            </w:r>
          </w:p>
        </w:tc>
      </w:tr>
      <w:tr w:rsidR="00A16071" w:rsidRPr="00026576" w14:paraId="304F98E7" w14:textId="2A145C37"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tcBorders>
            <w:noWrap/>
            <w:hideMark/>
          </w:tcPr>
          <w:p w14:paraId="1BA61E00"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G2</w:t>
            </w:r>
          </w:p>
        </w:tc>
        <w:tc>
          <w:tcPr>
            <w:tcW w:w="1508" w:type="dxa"/>
            <w:noWrap/>
            <w:hideMark/>
          </w:tcPr>
          <w:p w14:paraId="4ED9B29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995</w:t>
            </w:r>
          </w:p>
        </w:tc>
        <w:tc>
          <w:tcPr>
            <w:tcW w:w="1508" w:type="dxa"/>
            <w:noWrap/>
            <w:hideMark/>
          </w:tcPr>
          <w:p w14:paraId="10A4A3AC"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25</w:t>
            </w:r>
          </w:p>
        </w:tc>
        <w:tc>
          <w:tcPr>
            <w:tcW w:w="1509" w:type="dxa"/>
            <w:shd w:val="clear" w:color="auto" w:fill="auto"/>
            <w:noWrap/>
            <w:hideMark/>
          </w:tcPr>
          <w:p w14:paraId="1727B10A"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0.78</w:t>
            </w:r>
          </w:p>
        </w:tc>
        <w:tc>
          <w:tcPr>
            <w:tcW w:w="1748" w:type="dxa"/>
            <w:shd w:val="clear" w:color="auto" w:fill="0070C0"/>
            <w:noWrap/>
            <w:hideMark/>
          </w:tcPr>
          <w:p w14:paraId="68BF7EE8"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0.66 (0.11)</w:t>
            </w:r>
          </w:p>
        </w:tc>
        <w:tc>
          <w:tcPr>
            <w:tcW w:w="1748" w:type="dxa"/>
            <w:shd w:val="clear" w:color="auto" w:fill="0070C0"/>
            <w:noWrap/>
            <w:hideMark/>
          </w:tcPr>
          <w:p w14:paraId="157485EA"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5.45 (8.77)</w:t>
            </w:r>
          </w:p>
        </w:tc>
        <w:tc>
          <w:tcPr>
            <w:tcW w:w="1749" w:type="dxa"/>
            <w:tcBorders>
              <w:right w:val="nil"/>
            </w:tcBorders>
            <w:shd w:val="clear" w:color="auto" w:fill="0070C0"/>
            <w:noWrap/>
            <w:hideMark/>
          </w:tcPr>
          <w:p w14:paraId="3242309C"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1.35 (2.94)</w:t>
            </w:r>
          </w:p>
        </w:tc>
        <w:tc>
          <w:tcPr>
            <w:tcW w:w="2215" w:type="dxa"/>
            <w:tcBorders>
              <w:right w:val="nil"/>
            </w:tcBorders>
            <w:shd w:val="clear" w:color="auto" w:fill="auto"/>
          </w:tcPr>
          <w:p w14:paraId="6A2264B9" w14:textId="5DAC0FCF"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Poor and poor</w:t>
            </w:r>
          </w:p>
        </w:tc>
      </w:tr>
      <w:tr w:rsidR="00A16071" w:rsidRPr="00026576" w14:paraId="60141C22" w14:textId="447EF6A2"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tcBorders>
            <w:noWrap/>
            <w:hideMark/>
          </w:tcPr>
          <w:p w14:paraId="78A9B3A6"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G3</w:t>
            </w:r>
          </w:p>
        </w:tc>
        <w:tc>
          <w:tcPr>
            <w:tcW w:w="1508" w:type="dxa"/>
            <w:noWrap/>
            <w:hideMark/>
          </w:tcPr>
          <w:p w14:paraId="215DF06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w:t>
            </w:r>
            <w:r w:rsidRPr="00026576">
              <w:rPr>
                <w:rFonts w:ascii="Calibri" w:eastAsia="Times New Roman" w:hAnsi="Calibri" w:cs="Calibri"/>
                <w:color w:val="000000"/>
              </w:rPr>
              <w:t>,</w:t>
            </w:r>
            <w:r w:rsidRPr="001D549E">
              <w:rPr>
                <w:rFonts w:ascii="Calibri" w:eastAsia="Times New Roman" w:hAnsi="Calibri" w:cs="Calibri"/>
                <w:color w:val="000000"/>
              </w:rPr>
              <w:t>114</w:t>
            </w:r>
          </w:p>
        </w:tc>
        <w:tc>
          <w:tcPr>
            <w:tcW w:w="1508" w:type="dxa"/>
            <w:noWrap/>
            <w:hideMark/>
          </w:tcPr>
          <w:p w14:paraId="2BDD48A9"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47</w:t>
            </w:r>
          </w:p>
        </w:tc>
        <w:tc>
          <w:tcPr>
            <w:tcW w:w="1509" w:type="dxa"/>
            <w:shd w:val="clear" w:color="auto" w:fill="auto"/>
            <w:noWrap/>
            <w:hideMark/>
          </w:tcPr>
          <w:p w14:paraId="633944AC"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1.14</w:t>
            </w:r>
          </w:p>
        </w:tc>
        <w:tc>
          <w:tcPr>
            <w:tcW w:w="1748" w:type="dxa"/>
            <w:shd w:val="clear" w:color="auto" w:fill="0070C0"/>
            <w:noWrap/>
            <w:hideMark/>
          </w:tcPr>
          <w:p w14:paraId="270C6D0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0.62 (0.1)</w:t>
            </w:r>
          </w:p>
        </w:tc>
        <w:tc>
          <w:tcPr>
            <w:tcW w:w="1748" w:type="dxa"/>
            <w:shd w:val="clear" w:color="auto" w:fill="FF0000"/>
            <w:noWrap/>
            <w:hideMark/>
          </w:tcPr>
          <w:p w14:paraId="22C05B26"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18.62 (13.09)</w:t>
            </w:r>
          </w:p>
        </w:tc>
        <w:tc>
          <w:tcPr>
            <w:tcW w:w="1749" w:type="dxa"/>
            <w:tcBorders>
              <w:right w:val="nil"/>
            </w:tcBorders>
            <w:shd w:val="clear" w:color="auto" w:fill="FF0000"/>
            <w:noWrap/>
            <w:hideMark/>
          </w:tcPr>
          <w:p w14:paraId="487588F6"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3.9 (5.04)</w:t>
            </w:r>
          </w:p>
        </w:tc>
        <w:tc>
          <w:tcPr>
            <w:tcW w:w="2215" w:type="dxa"/>
            <w:tcBorders>
              <w:right w:val="nil"/>
            </w:tcBorders>
            <w:shd w:val="clear" w:color="auto" w:fill="auto"/>
          </w:tcPr>
          <w:p w14:paraId="55C86E21" w14:textId="3F136877"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Outstanding but poor</w:t>
            </w:r>
          </w:p>
        </w:tc>
      </w:tr>
      <w:tr w:rsidR="00A16071" w:rsidRPr="00026576" w14:paraId="32934F0C" w14:textId="0535DA8F"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tcBorders>
            <w:noWrap/>
            <w:hideMark/>
          </w:tcPr>
          <w:p w14:paraId="7E882B3A"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G4</w:t>
            </w:r>
          </w:p>
        </w:tc>
        <w:tc>
          <w:tcPr>
            <w:tcW w:w="1508" w:type="dxa"/>
            <w:noWrap/>
            <w:hideMark/>
          </w:tcPr>
          <w:p w14:paraId="48EF38F8"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815</w:t>
            </w:r>
          </w:p>
        </w:tc>
        <w:tc>
          <w:tcPr>
            <w:tcW w:w="1508" w:type="dxa"/>
            <w:noWrap/>
            <w:hideMark/>
          </w:tcPr>
          <w:p w14:paraId="1C69675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29</w:t>
            </w:r>
          </w:p>
        </w:tc>
        <w:tc>
          <w:tcPr>
            <w:tcW w:w="1509" w:type="dxa"/>
            <w:shd w:val="clear" w:color="auto" w:fill="auto"/>
            <w:noWrap/>
            <w:hideMark/>
          </w:tcPr>
          <w:p w14:paraId="12AD9DD7"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1.12</w:t>
            </w:r>
          </w:p>
        </w:tc>
        <w:tc>
          <w:tcPr>
            <w:tcW w:w="1748" w:type="dxa"/>
            <w:shd w:val="clear" w:color="auto" w:fill="0070C0"/>
            <w:noWrap/>
            <w:hideMark/>
          </w:tcPr>
          <w:p w14:paraId="298D0DE9"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0.63 (0.12)</w:t>
            </w:r>
          </w:p>
        </w:tc>
        <w:tc>
          <w:tcPr>
            <w:tcW w:w="1748" w:type="dxa"/>
            <w:shd w:val="clear" w:color="auto" w:fill="0070C0"/>
            <w:noWrap/>
            <w:hideMark/>
          </w:tcPr>
          <w:p w14:paraId="235B5E17"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6.15 (7.76)</w:t>
            </w:r>
          </w:p>
        </w:tc>
        <w:tc>
          <w:tcPr>
            <w:tcW w:w="1749" w:type="dxa"/>
            <w:tcBorders>
              <w:right w:val="nil"/>
            </w:tcBorders>
            <w:shd w:val="clear" w:color="auto" w:fill="0070C0"/>
            <w:noWrap/>
            <w:hideMark/>
          </w:tcPr>
          <w:p w14:paraId="033565E9"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1.27 (2.7)</w:t>
            </w:r>
          </w:p>
        </w:tc>
        <w:tc>
          <w:tcPr>
            <w:tcW w:w="2215" w:type="dxa"/>
            <w:tcBorders>
              <w:right w:val="nil"/>
            </w:tcBorders>
            <w:shd w:val="clear" w:color="auto" w:fill="auto"/>
          </w:tcPr>
          <w:p w14:paraId="7E0E4902" w14:textId="10974B71" w:rsidR="00B53093" w:rsidRPr="001D549E" w:rsidRDefault="00B53093"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Poor and poor</w:t>
            </w:r>
          </w:p>
        </w:tc>
      </w:tr>
      <w:tr w:rsidR="00A16071" w:rsidRPr="00026576" w14:paraId="404266CA" w14:textId="0513C040"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tcBorders>
            <w:noWrap/>
            <w:hideMark/>
          </w:tcPr>
          <w:p w14:paraId="584C4A10"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G5</w:t>
            </w:r>
          </w:p>
        </w:tc>
        <w:tc>
          <w:tcPr>
            <w:tcW w:w="1508" w:type="dxa"/>
            <w:noWrap/>
            <w:hideMark/>
          </w:tcPr>
          <w:p w14:paraId="01C23C55"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w:t>
            </w:r>
            <w:r w:rsidRPr="00026576">
              <w:rPr>
                <w:rFonts w:ascii="Calibri" w:eastAsia="Times New Roman" w:hAnsi="Calibri" w:cs="Calibri"/>
                <w:color w:val="000000"/>
              </w:rPr>
              <w:t>,</w:t>
            </w:r>
            <w:r w:rsidRPr="001D549E">
              <w:rPr>
                <w:rFonts w:ascii="Calibri" w:eastAsia="Times New Roman" w:hAnsi="Calibri" w:cs="Calibri"/>
                <w:color w:val="000000"/>
              </w:rPr>
              <w:t>054</w:t>
            </w:r>
          </w:p>
        </w:tc>
        <w:tc>
          <w:tcPr>
            <w:tcW w:w="1508" w:type="dxa"/>
            <w:noWrap/>
            <w:hideMark/>
          </w:tcPr>
          <w:p w14:paraId="1391274E"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22</w:t>
            </w:r>
          </w:p>
        </w:tc>
        <w:tc>
          <w:tcPr>
            <w:tcW w:w="1509" w:type="dxa"/>
            <w:shd w:val="clear" w:color="auto" w:fill="auto"/>
            <w:noWrap/>
            <w:hideMark/>
          </w:tcPr>
          <w:p w14:paraId="429D851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0.67</w:t>
            </w:r>
          </w:p>
        </w:tc>
        <w:tc>
          <w:tcPr>
            <w:tcW w:w="1748" w:type="dxa"/>
            <w:shd w:val="clear" w:color="auto" w:fill="FF0000"/>
            <w:noWrap/>
            <w:hideMark/>
          </w:tcPr>
          <w:p w14:paraId="3006FB0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0.69 (0.09)</w:t>
            </w:r>
          </w:p>
        </w:tc>
        <w:tc>
          <w:tcPr>
            <w:tcW w:w="1748" w:type="dxa"/>
            <w:shd w:val="clear" w:color="auto" w:fill="0070C0"/>
            <w:noWrap/>
            <w:hideMark/>
          </w:tcPr>
          <w:p w14:paraId="16D9F0B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6.61 (9.51)</w:t>
            </w:r>
          </w:p>
        </w:tc>
        <w:tc>
          <w:tcPr>
            <w:tcW w:w="1749" w:type="dxa"/>
            <w:tcBorders>
              <w:right w:val="nil"/>
            </w:tcBorders>
            <w:shd w:val="clear" w:color="auto" w:fill="0070C0"/>
            <w:noWrap/>
            <w:hideMark/>
          </w:tcPr>
          <w:p w14:paraId="41F3C7B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1.37 (3.06)</w:t>
            </w:r>
          </w:p>
        </w:tc>
        <w:tc>
          <w:tcPr>
            <w:tcW w:w="2215" w:type="dxa"/>
            <w:tcBorders>
              <w:right w:val="nil"/>
            </w:tcBorders>
            <w:shd w:val="clear" w:color="auto" w:fill="auto"/>
          </w:tcPr>
          <w:p w14:paraId="61C307BA" w14:textId="054C147E" w:rsidR="00B53093" w:rsidRPr="001D549E" w:rsidRDefault="00A16071"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Poor but good</w:t>
            </w:r>
          </w:p>
        </w:tc>
      </w:tr>
      <w:tr w:rsidR="00A16071" w:rsidRPr="00026576" w14:paraId="45E09661" w14:textId="120C586B"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tcBorders>
            <w:noWrap/>
            <w:hideMark/>
          </w:tcPr>
          <w:p w14:paraId="4E6E3803"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G6</w:t>
            </w:r>
          </w:p>
        </w:tc>
        <w:tc>
          <w:tcPr>
            <w:tcW w:w="1508" w:type="dxa"/>
            <w:noWrap/>
            <w:hideMark/>
          </w:tcPr>
          <w:p w14:paraId="7567A2C1"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w:t>
            </w:r>
            <w:r w:rsidRPr="00026576">
              <w:rPr>
                <w:rFonts w:ascii="Calibri" w:eastAsia="Times New Roman" w:hAnsi="Calibri" w:cs="Calibri"/>
                <w:color w:val="000000"/>
              </w:rPr>
              <w:t>,</w:t>
            </w:r>
            <w:r w:rsidRPr="001D549E">
              <w:rPr>
                <w:rFonts w:ascii="Calibri" w:eastAsia="Times New Roman" w:hAnsi="Calibri" w:cs="Calibri"/>
                <w:color w:val="000000"/>
              </w:rPr>
              <w:t>175</w:t>
            </w:r>
          </w:p>
        </w:tc>
        <w:tc>
          <w:tcPr>
            <w:tcW w:w="1508" w:type="dxa"/>
            <w:noWrap/>
            <w:hideMark/>
          </w:tcPr>
          <w:p w14:paraId="23DBB3E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31</w:t>
            </w:r>
          </w:p>
        </w:tc>
        <w:tc>
          <w:tcPr>
            <w:tcW w:w="1509" w:type="dxa"/>
            <w:shd w:val="clear" w:color="auto" w:fill="auto"/>
            <w:noWrap/>
            <w:hideMark/>
          </w:tcPr>
          <w:p w14:paraId="3E90C2F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0.90</w:t>
            </w:r>
          </w:p>
        </w:tc>
        <w:tc>
          <w:tcPr>
            <w:tcW w:w="1748" w:type="dxa"/>
            <w:shd w:val="clear" w:color="auto" w:fill="FF0000"/>
            <w:noWrap/>
            <w:hideMark/>
          </w:tcPr>
          <w:p w14:paraId="52952E3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0.7 (0.11)</w:t>
            </w:r>
          </w:p>
        </w:tc>
        <w:tc>
          <w:tcPr>
            <w:tcW w:w="1748" w:type="dxa"/>
            <w:shd w:val="clear" w:color="auto" w:fill="0070C0"/>
            <w:noWrap/>
            <w:hideMark/>
          </w:tcPr>
          <w:p w14:paraId="401BBB31"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6.92 (8.57)</w:t>
            </w:r>
          </w:p>
        </w:tc>
        <w:tc>
          <w:tcPr>
            <w:tcW w:w="1749" w:type="dxa"/>
            <w:tcBorders>
              <w:right w:val="nil"/>
            </w:tcBorders>
            <w:shd w:val="clear" w:color="auto" w:fill="0070C0"/>
            <w:noWrap/>
            <w:hideMark/>
          </w:tcPr>
          <w:p w14:paraId="02E9294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1.45 (2.8)</w:t>
            </w:r>
          </w:p>
        </w:tc>
        <w:tc>
          <w:tcPr>
            <w:tcW w:w="2215" w:type="dxa"/>
            <w:tcBorders>
              <w:right w:val="nil"/>
            </w:tcBorders>
            <w:shd w:val="clear" w:color="auto" w:fill="auto"/>
          </w:tcPr>
          <w:p w14:paraId="7EA8BF48" w14:textId="5E234679" w:rsidR="00B53093" w:rsidRPr="001D549E" w:rsidRDefault="00A16071"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Poor but good</w:t>
            </w:r>
          </w:p>
        </w:tc>
      </w:tr>
      <w:tr w:rsidR="00A16071" w:rsidRPr="00026576" w14:paraId="20FFEED9" w14:textId="2ABF3920"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left w:val="nil"/>
              <w:bottom w:val="double" w:sz="4" w:space="0" w:color="auto"/>
            </w:tcBorders>
            <w:noWrap/>
            <w:hideMark/>
          </w:tcPr>
          <w:p w14:paraId="53F5D311"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G7</w:t>
            </w:r>
          </w:p>
        </w:tc>
        <w:tc>
          <w:tcPr>
            <w:tcW w:w="1508" w:type="dxa"/>
            <w:tcBorders>
              <w:bottom w:val="double" w:sz="4" w:space="0" w:color="auto"/>
            </w:tcBorders>
            <w:noWrap/>
            <w:hideMark/>
          </w:tcPr>
          <w:p w14:paraId="18AF1D21"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540</w:t>
            </w:r>
          </w:p>
        </w:tc>
        <w:tc>
          <w:tcPr>
            <w:tcW w:w="1508" w:type="dxa"/>
            <w:tcBorders>
              <w:bottom w:val="double" w:sz="4" w:space="0" w:color="auto"/>
            </w:tcBorders>
            <w:noWrap/>
            <w:hideMark/>
          </w:tcPr>
          <w:p w14:paraId="10FD2853"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23</w:t>
            </w:r>
          </w:p>
        </w:tc>
        <w:tc>
          <w:tcPr>
            <w:tcW w:w="1509" w:type="dxa"/>
            <w:tcBorders>
              <w:bottom w:val="double" w:sz="4" w:space="0" w:color="auto"/>
            </w:tcBorders>
            <w:shd w:val="clear" w:color="auto" w:fill="auto"/>
            <w:noWrap/>
            <w:hideMark/>
          </w:tcPr>
          <w:p w14:paraId="5B00A781"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1.25</w:t>
            </w:r>
          </w:p>
        </w:tc>
        <w:tc>
          <w:tcPr>
            <w:tcW w:w="1748" w:type="dxa"/>
            <w:tcBorders>
              <w:bottom w:val="double" w:sz="4" w:space="0" w:color="auto"/>
            </w:tcBorders>
            <w:shd w:val="clear" w:color="auto" w:fill="0070C0"/>
            <w:noWrap/>
            <w:hideMark/>
          </w:tcPr>
          <w:p w14:paraId="4326F846"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0.65 (0.12)</w:t>
            </w:r>
          </w:p>
        </w:tc>
        <w:tc>
          <w:tcPr>
            <w:tcW w:w="1748" w:type="dxa"/>
            <w:tcBorders>
              <w:bottom w:val="double" w:sz="4" w:space="0" w:color="auto"/>
            </w:tcBorders>
            <w:shd w:val="clear" w:color="auto" w:fill="FF0000"/>
            <w:noWrap/>
            <w:hideMark/>
          </w:tcPr>
          <w:p w14:paraId="490F6B4C"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9.28 (12.64)</w:t>
            </w:r>
          </w:p>
        </w:tc>
        <w:tc>
          <w:tcPr>
            <w:tcW w:w="1749" w:type="dxa"/>
            <w:tcBorders>
              <w:bottom w:val="double" w:sz="4" w:space="0" w:color="auto"/>
              <w:right w:val="nil"/>
            </w:tcBorders>
            <w:shd w:val="clear" w:color="auto" w:fill="FF0000"/>
            <w:noWrap/>
            <w:hideMark/>
          </w:tcPr>
          <w:p w14:paraId="6F942297"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2.47 (4.31)</w:t>
            </w:r>
          </w:p>
        </w:tc>
        <w:tc>
          <w:tcPr>
            <w:tcW w:w="2215" w:type="dxa"/>
            <w:tcBorders>
              <w:bottom w:val="double" w:sz="4" w:space="0" w:color="auto"/>
              <w:right w:val="nil"/>
            </w:tcBorders>
            <w:shd w:val="clear" w:color="auto" w:fill="auto"/>
          </w:tcPr>
          <w:p w14:paraId="04FF3FCB" w14:textId="3A6E7E6E" w:rsidR="00B53093" w:rsidRPr="001D549E" w:rsidRDefault="00A16071" w:rsidP="00961B7F">
            <w:pPr>
              <w:widowControl/>
              <w:wordWrap/>
              <w:autoSpaceDE/>
              <w:autoSpaceDN/>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Outstanding but poor</w:t>
            </w:r>
          </w:p>
        </w:tc>
      </w:tr>
      <w:tr w:rsidR="00A16071" w:rsidRPr="00026576" w14:paraId="40ECFFD0" w14:textId="4F3F06F1" w:rsidTr="00C91B9D">
        <w:trPr>
          <w:trHeight w:val="300"/>
        </w:trPr>
        <w:tc>
          <w:tcPr>
            <w:cnfStyle w:val="001000000000" w:firstRow="0" w:lastRow="0" w:firstColumn="1" w:lastColumn="0" w:oddVBand="0" w:evenVBand="0" w:oddHBand="0" w:evenHBand="0" w:firstRowFirstColumn="0" w:firstRowLastColumn="0" w:lastRowFirstColumn="0" w:lastRowLastColumn="0"/>
            <w:tcW w:w="1712" w:type="dxa"/>
            <w:tcBorders>
              <w:top w:val="double" w:sz="4" w:space="0" w:color="auto"/>
              <w:left w:val="nil"/>
              <w:bottom w:val="single" w:sz="12" w:space="0" w:color="auto"/>
            </w:tcBorders>
            <w:noWrap/>
            <w:hideMark/>
          </w:tcPr>
          <w:p w14:paraId="157AB534" w14:textId="77777777" w:rsidR="00B53093" w:rsidRPr="001D549E" w:rsidRDefault="00B53093" w:rsidP="00961B7F">
            <w:pPr>
              <w:widowControl/>
              <w:wordWrap/>
              <w:autoSpaceDE/>
              <w:autoSpaceDN/>
              <w:spacing w:line="276" w:lineRule="auto"/>
              <w:rPr>
                <w:rFonts w:ascii="Calibri" w:eastAsia="Times New Roman" w:hAnsi="Calibri" w:cs="Calibri"/>
                <w:color w:val="000000"/>
              </w:rPr>
            </w:pPr>
            <w:r w:rsidRPr="001D549E">
              <w:rPr>
                <w:rFonts w:ascii="Calibri" w:eastAsia="Times New Roman" w:hAnsi="Calibri" w:cs="Calibri"/>
                <w:color w:val="000000"/>
              </w:rPr>
              <w:t>England</w:t>
            </w:r>
          </w:p>
        </w:tc>
        <w:tc>
          <w:tcPr>
            <w:tcW w:w="1508" w:type="dxa"/>
            <w:tcBorders>
              <w:top w:val="double" w:sz="4" w:space="0" w:color="auto"/>
              <w:bottom w:val="single" w:sz="12" w:space="0" w:color="auto"/>
            </w:tcBorders>
            <w:noWrap/>
            <w:hideMark/>
          </w:tcPr>
          <w:p w14:paraId="1F86527A"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6</w:t>
            </w:r>
            <w:r w:rsidRPr="00026576">
              <w:rPr>
                <w:rFonts w:ascii="Calibri" w:eastAsia="Times New Roman" w:hAnsi="Calibri" w:cs="Calibri"/>
                <w:color w:val="000000"/>
              </w:rPr>
              <w:t>,</w:t>
            </w:r>
            <w:r w:rsidRPr="001D549E">
              <w:rPr>
                <w:rFonts w:ascii="Calibri" w:eastAsia="Times New Roman" w:hAnsi="Calibri" w:cs="Calibri"/>
                <w:color w:val="000000"/>
              </w:rPr>
              <w:t>791</w:t>
            </w:r>
          </w:p>
        </w:tc>
        <w:tc>
          <w:tcPr>
            <w:tcW w:w="1508" w:type="dxa"/>
            <w:tcBorders>
              <w:top w:val="double" w:sz="4" w:space="0" w:color="auto"/>
              <w:bottom w:val="single" w:sz="12" w:space="0" w:color="auto"/>
            </w:tcBorders>
            <w:noWrap/>
            <w:hideMark/>
          </w:tcPr>
          <w:p w14:paraId="7F16C9D7"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198</w:t>
            </w:r>
          </w:p>
        </w:tc>
        <w:tc>
          <w:tcPr>
            <w:tcW w:w="1509" w:type="dxa"/>
            <w:tcBorders>
              <w:top w:val="double" w:sz="4" w:space="0" w:color="auto"/>
              <w:bottom w:val="single" w:sz="12" w:space="0" w:color="auto"/>
            </w:tcBorders>
            <w:noWrap/>
            <w:hideMark/>
          </w:tcPr>
          <w:p w14:paraId="284A2DCD"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0.91</w:t>
            </w:r>
          </w:p>
        </w:tc>
        <w:tc>
          <w:tcPr>
            <w:tcW w:w="1748" w:type="dxa"/>
            <w:tcBorders>
              <w:top w:val="double" w:sz="4" w:space="0" w:color="auto"/>
              <w:bottom w:val="single" w:sz="12" w:space="0" w:color="auto"/>
            </w:tcBorders>
            <w:noWrap/>
            <w:hideMark/>
          </w:tcPr>
          <w:p w14:paraId="40CBCC24"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0.67 (0.11)</w:t>
            </w:r>
          </w:p>
        </w:tc>
        <w:tc>
          <w:tcPr>
            <w:tcW w:w="1748" w:type="dxa"/>
            <w:tcBorders>
              <w:top w:val="double" w:sz="4" w:space="0" w:color="auto"/>
              <w:bottom w:val="single" w:sz="12" w:space="0" w:color="auto"/>
            </w:tcBorders>
            <w:noWrap/>
            <w:hideMark/>
          </w:tcPr>
          <w:p w14:paraId="65636388"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8.58 (10.85)</w:t>
            </w:r>
          </w:p>
        </w:tc>
        <w:tc>
          <w:tcPr>
            <w:tcW w:w="1749" w:type="dxa"/>
            <w:tcBorders>
              <w:top w:val="double" w:sz="4" w:space="0" w:color="auto"/>
              <w:bottom w:val="single" w:sz="12" w:space="0" w:color="auto"/>
              <w:right w:val="nil"/>
            </w:tcBorders>
            <w:noWrap/>
            <w:hideMark/>
          </w:tcPr>
          <w:p w14:paraId="30EE4C2C"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D549E">
              <w:rPr>
                <w:rFonts w:ascii="Calibri" w:eastAsia="Times New Roman" w:hAnsi="Calibri" w:cs="Calibri"/>
                <w:color w:val="000000"/>
              </w:rPr>
              <w:t>1.9 (3.54)</w:t>
            </w:r>
          </w:p>
        </w:tc>
        <w:tc>
          <w:tcPr>
            <w:tcW w:w="2215" w:type="dxa"/>
            <w:tcBorders>
              <w:top w:val="double" w:sz="4" w:space="0" w:color="auto"/>
              <w:bottom w:val="single" w:sz="12" w:space="0" w:color="auto"/>
              <w:right w:val="nil"/>
            </w:tcBorders>
          </w:tcPr>
          <w:p w14:paraId="3FFA2E3B" w14:textId="77777777" w:rsidR="00B53093" w:rsidRPr="001D549E" w:rsidRDefault="00B5309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bookmarkEnd w:id="13"/>
    <w:p w14:paraId="71CAD486" w14:textId="7AE7E9D2" w:rsidR="006057DD" w:rsidRPr="00026576" w:rsidRDefault="00DB4B2C" w:rsidP="00961B7F">
      <w:pPr>
        <w:keepNext/>
        <w:spacing w:after="0" w:line="276" w:lineRule="auto"/>
        <w:rPr>
          <w:rFonts w:ascii="Calibri" w:hAnsi="Calibri" w:cs="Calibri"/>
          <w:b/>
          <w:bCs/>
          <w:noProof/>
        </w:rPr>
      </w:pPr>
      <w:r w:rsidRPr="00026576">
        <w:rPr>
          <w:rFonts w:ascii="Calibri" w:hAnsi="Calibri" w:cs="Calibri"/>
          <w:b/>
          <w:bCs/>
          <w:noProof/>
        </w:rPr>
        <w:t>Note: Red shaded presents the above than average, while blue shaded presents the below than average</w:t>
      </w:r>
      <w:r w:rsidRPr="00026576">
        <w:rPr>
          <w:rFonts w:ascii="Calibri" w:hAnsi="Calibri" w:cs="Calibri"/>
          <w:b/>
          <w:bCs/>
          <w:noProof/>
        </w:rPr>
        <w:t>.</w:t>
      </w:r>
      <w:r w:rsidR="00E71CD4" w:rsidRPr="00026576">
        <w:rPr>
          <w:rFonts w:ascii="Calibri" w:hAnsi="Calibri" w:cs="Calibri"/>
          <w:noProof/>
        </w:rPr>
        <w:drawing>
          <wp:inline distT="0" distB="0" distL="0" distR="0" wp14:anchorId="78ACE4C1" wp14:editId="4351EA58">
            <wp:extent cx="4320000" cy="4320000"/>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r w:rsidR="006057DD" w:rsidRPr="00026576">
        <w:rPr>
          <w:rFonts w:ascii="Calibri" w:hAnsi="Calibri" w:cs="Calibri"/>
          <w:noProof/>
        </w:rPr>
        <w:drawing>
          <wp:inline distT="0" distB="0" distL="0" distR="0" wp14:anchorId="7B2B524F" wp14:editId="202C4EE9">
            <wp:extent cx="4320000" cy="4320000"/>
            <wp:effectExtent l="0" t="0" r="4445" b="444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D481909" w14:textId="054AD1EB" w:rsidR="006057DD" w:rsidRPr="00026576" w:rsidRDefault="00E71CD4" w:rsidP="00961B7F">
      <w:pPr>
        <w:keepNext/>
        <w:spacing w:after="0" w:line="276" w:lineRule="auto"/>
        <w:rPr>
          <w:rFonts w:ascii="Calibri" w:hAnsi="Calibri" w:cs="Calibri"/>
          <w:b/>
          <w:bCs/>
        </w:rPr>
      </w:pPr>
      <w:r w:rsidRPr="00026576">
        <w:rPr>
          <w:rFonts w:ascii="Calibri" w:hAnsi="Calibri" w:cs="Calibri"/>
          <w:noProof/>
        </w:rPr>
        <w:drawing>
          <wp:inline distT="0" distB="0" distL="0" distR="0" wp14:anchorId="78749619" wp14:editId="367E8103">
            <wp:extent cx="4320000" cy="4320000"/>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r w:rsidR="006057DD" w:rsidRPr="00026576">
        <w:rPr>
          <w:rFonts w:ascii="Calibri" w:hAnsi="Calibri" w:cs="Calibri"/>
          <w:noProof/>
        </w:rPr>
        <w:drawing>
          <wp:inline distT="0" distB="0" distL="0" distR="0" wp14:anchorId="4148E3E1" wp14:editId="3CB64E1D">
            <wp:extent cx="4320000" cy="4320000"/>
            <wp:effectExtent l="0" t="0" r="4445" b="4445"/>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r w:rsidR="006057DD" w:rsidRPr="00026576">
        <w:rPr>
          <w:rFonts w:ascii="Calibri" w:hAnsi="Calibri" w:cs="Calibri"/>
          <w:b/>
          <w:bCs/>
        </w:rPr>
        <w:t>Note: Grey dots represent the location of 198 COVID-19 (mass) vaccination centres across England.</w:t>
      </w:r>
    </w:p>
    <w:p w14:paraId="6B168E50" w14:textId="77777777" w:rsidR="006057DD" w:rsidRPr="00026576" w:rsidRDefault="006057DD" w:rsidP="00961B7F">
      <w:pPr>
        <w:keepNext/>
        <w:spacing w:after="0" w:line="276" w:lineRule="auto"/>
        <w:rPr>
          <w:rFonts w:ascii="Calibri" w:hAnsi="Calibri" w:cs="Calibri"/>
          <w:noProof/>
        </w:rPr>
      </w:pPr>
    </w:p>
    <w:p w14:paraId="5635BB2D" w14:textId="430682DA" w:rsidR="006057DD" w:rsidRPr="00026576" w:rsidRDefault="006057DD" w:rsidP="00961B7F">
      <w:pPr>
        <w:pStyle w:val="Caption"/>
        <w:rPr>
          <w:b w:val="0"/>
          <w:bCs w:val="0"/>
        </w:rPr>
      </w:pPr>
      <w:bookmarkStart w:id="14" w:name="_Ref89899282"/>
      <w:r w:rsidRPr="00026576">
        <w:t xml:space="preserve">Figure </w:t>
      </w:r>
      <w:r w:rsidR="00E30D01" w:rsidRPr="00026576">
        <w:fldChar w:fldCharType="begin"/>
      </w:r>
      <w:r w:rsidR="00E30D01" w:rsidRPr="00026576">
        <w:instrText xml:space="preserve"> SEQ Figure \* ARABIC </w:instrText>
      </w:r>
      <w:r w:rsidR="00E30D01" w:rsidRPr="00026576">
        <w:fldChar w:fldCharType="separate"/>
      </w:r>
      <w:r w:rsidRPr="00026576">
        <w:rPr>
          <w:noProof/>
        </w:rPr>
        <w:t>1</w:t>
      </w:r>
      <w:r w:rsidR="00E30D01" w:rsidRPr="00026576">
        <w:rPr>
          <w:noProof/>
        </w:rPr>
        <w:fldChar w:fldCharType="end"/>
      </w:r>
      <w:bookmarkEnd w:id="14"/>
      <w:r w:rsidRPr="00026576">
        <w:t xml:space="preserve">. </w:t>
      </w:r>
      <w:r w:rsidR="00376248" w:rsidRPr="00026576">
        <w:t xml:space="preserve">Number of accessible </w:t>
      </w:r>
      <w:r w:rsidRPr="00026576">
        <w:t>COVID-19 vaccination centres within 45 min by car (left) and 60 min by public transportation (right) for England (above) and zoomed to London (below).</w:t>
      </w:r>
    </w:p>
    <w:p w14:paraId="291A520F" w14:textId="77777777" w:rsidR="006057DD" w:rsidRPr="00026576" w:rsidRDefault="006057DD" w:rsidP="00961B7F">
      <w:pPr>
        <w:spacing w:line="276" w:lineRule="auto"/>
        <w:rPr>
          <w:rFonts w:ascii="Calibri" w:hAnsi="Calibri" w:cs="Calibr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7"/>
      </w:tblGrid>
      <w:tr w:rsidR="009C438D" w:rsidRPr="00026576" w14:paraId="2181CAB4" w14:textId="77777777" w:rsidTr="00E03730">
        <w:tc>
          <w:tcPr>
            <w:tcW w:w="13687" w:type="dxa"/>
          </w:tcPr>
          <w:p w14:paraId="45928840" w14:textId="59E6453F" w:rsidR="009C438D" w:rsidRPr="00026576" w:rsidRDefault="00E03730" w:rsidP="00961B7F">
            <w:pPr>
              <w:spacing w:line="276" w:lineRule="auto"/>
              <w:rPr>
                <w:rFonts w:ascii="Calibri" w:hAnsi="Calibri" w:cs="Calibri"/>
                <w:b/>
                <w:bCs/>
              </w:rPr>
            </w:pPr>
            <w:r w:rsidRPr="00026576">
              <w:rPr>
                <w:rFonts w:ascii="Calibri" w:hAnsi="Calibri" w:cs="Calibri"/>
                <w:b/>
                <w:bCs/>
                <w:noProof/>
              </w:rPr>
              <w:drawing>
                <wp:inline distT="0" distB="0" distL="0" distR="0" wp14:anchorId="55241847" wp14:editId="654D19DE">
                  <wp:extent cx="8696325" cy="521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96325" cy="5210175"/>
                          </a:xfrm>
                          <a:prstGeom prst="rect">
                            <a:avLst/>
                          </a:prstGeom>
                          <a:noFill/>
                          <a:ln>
                            <a:noFill/>
                          </a:ln>
                        </pic:spPr>
                      </pic:pic>
                    </a:graphicData>
                  </a:graphic>
                </wp:inline>
              </w:drawing>
            </w:r>
          </w:p>
        </w:tc>
      </w:tr>
      <w:tr w:rsidR="009C438D" w:rsidRPr="00026576" w14:paraId="38678FED" w14:textId="77777777" w:rsidTr="00E03730">
        <w:tc>
          <w:tcPr>
            <w:tcW w:w="13687" w:type="dxa"/>
          </w:tcPr>
          <w:p w14:paraId="0B4A31DD" w14:textId="751E0F34" w:rsidR="009C438D" w:rsidRPr="00026576" w:rsidRDefault="00E03730" w:rsidP="00961B7F">
            <w:pPr>
              <w:spacing w:line="276" w:lineRule="auto"/>
              <w:rPr>
                <w:rFonts w:ascii="Calibri" w:hAnsi="Calibri" w:cs="Calibri"/>
                <w:b/>
                <w:bCs/>
              </w:rPr>
            </w:pPr>
            <w:r w:rsidRPr="00026576">
              <w:rPr>
                <w:rFonts w:ascii="Calibri" w:hAnsi="Calibri" w:cs="Calibri"/>
                <w:b/>
                <w:bCs/>
                <w:noProof/>
              </w:rPr>
              <w:drawing>
                <wp:inline distT="0" distB="0" distL="0" distR="0" wp14:anchorId="2D08C4F2" wp14:editId="0CCED069">
                  <wp:extent cx="8696325" cy="521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96325" cy="5210175"/>
                          </a:xfrm>
                          <a:prstGeom prst="rect">
                            <a:avLst/>
                          </a:prstGeom>
                          <a:noFill/>
                          <a:ln>
                            <a:noFill/>
                          </a:ln>
                        </pic:spPr>
                      </pic:pic>
                    </a:graphicData>
                  </a:graphic>
                </wp:inline>
              </w:drawing>
            </w:r>
          </w:p>
        </w:tc>
      </w:tr>
      <w:tr w:rsidR="009C438D" w:rsidRPr="00026576" w14:paraId="176D44A1" w14:textId="77777777" w:rsidTr="00E03730">
        <w:tc>
          <w:tcPr>
            <w:tcW w:w="13687" w:type="dxa"/>
          </w:tcPr>
          <w:p w14:paraId="78094A1D" w14:textId="191B4D47" w:rsidR="009C438D" w:rsidRPr="00026576" w:rsidRDefault="00E03730" w:rsidP="00961B7F">
            <w:pPr>
              <w:keepNext/>
              <w:spacing w:line="276" w:lineRule="auto"/>
              <w:rPr>
                <w:rFonts w:ascii="Calibri" w:hAnsi="Calibri" w:cs="Calibri"/>
                <w:b/>
                <w:bCs/>
              </w:rPr>
            </w:pPr>
            <w:r w:rsidRPr="00026576">
              <w:rPr>
                <w:rFonts w:ascii="Calibri" w:hAnsi="Calibri" w:cs="Calibri"/>
                <w:b/>
                <w:bCs/>
                <w:noProof/>
              </w:rPr>
              <w:drawing>
                <wp:inline distT="0" distB="0" distL="0" distR="0" wp14:anchorId="3A46C90A" wp14:editId="596F2CEC">
                  <wp:extent cx="8696325" cy="5210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96325" cy="5210175"/>
                          </a:xfrm>
                          <a:prstGeom prst="rect">
                            <a:avLst/>
                          </a:prstGeom>
                          <a:noFill/>
                          <a:ln>
                            <a:noFill/>
                          </a:ln>
                        </pic:spPr>
                      </pic:pic>
                    </a:graphicData>
                  </a:graphic>
                </wp:inline>
              </w:drawing>
            </w:r>
          </w:p>
        </w:tc>
      </w:tr>
    </w:tbl>
    <w:p w14:paraId="25BFDC20" w14:textId="0ADE8C13" w:rsidR="009C438D" w:rsidRPr="00026576" w:rsidRDefault="009C438D" w:rsidP="00961B7F">
      <w:pPr>
        <w:pStyle w:val="Caption"/>
        <w:rPr>
          <w:b w:val="0"/>
          <w:bCs w:val="0"/>
        </w:rPr>
      </w:pPr>
      <w:bookmarkStart w:id="15" w:name="_Ref90856248"/>
      <w:r w:rsidRPr="00026576">
        <w:t xml:space="preserve">Figure </w:t>
      </w:r>
      <w:r w:rsidR="00D4176D" w:rsidRPr="00026576">
        <w:fldChar w:fldCharType="begin"/>
      </w:r>
      <w:r w:rsidR="00D4176D" w:rsidRPr="00026576">
        <w:instrText xml:space="preserve"> SEQ Figure \* ARABIC </w:instrText>
      </w:r>
      <w:r w:rsidR="00D4176D" w:rsidRPr="00026576">
        <w:fldChar w:fldCharType="separate"/>
      </w:r>
      <w:r w:rsidR="000D09B3" w:rsidRPr="00026576">
        <w:rPr>
          <w:noProof/>
        </w:rPr>
        <w:t>2</w:t>
      </w:r>
      <w:r w:rsidR="00D4176D" w:rsidRPr="00026576">
        <w:rPr>
          <w:noProof/>
        </w:rPr>
        <w:fldChar w:fldCharType="end"/>
      </w:r>
      <w:bookmarkEnd w:id="15"/>
      <w:r w:rsidRPr="00026576">
        <w:t>. Changes in BIC criterion by tuning parameter in the range of pre-set numbers [2,8] on the maximum number of iterations.</w:t>
      </w:r>
    </w:p>
    <w:p w14:paraId="4795D811" w14:textId="1DC374BF" w:rsidR="00063412" w:rsidRPr="00026576" w:rsidRDefault="00063412" w:rsidP="00961B7F">
      <w:pPr>
        <w:spacing w:line="276" w:lineRule="auto"/>
        <w:rPr>
          <w:rFonts w:ascii="Calibri" w:hAnsi="Calibri" w:cs="Calibri"/>
          <w:b/>
          <w:bCs/>
        </w:rPr>
      </w:pPr>
    </w:p>
    <w:p w14:paraId="361841E0" w14:textId="656437A8" w:rsidR="00330D69" w:rsidRPr="00026576" w:rsidRDefault="00753490" w:rsidP="00961B7F">
      <w:pPr>
        <w:pStyle w:val="Caption"/>
        <w:rPr>
          <w:noProof/>
        </w:rPr>
      </w:pPr>
      <w:bookmarkStart w:id="16" w:name="_Ref88255206"/>
      <w:bookmarkStart w:id="17" w:name="_Ref88498038"/>
      <w:r w:rsidRPr="00026576">
        <w:rPr>
          <w:noProof/>
        </w:rPr>
        <w:t xml:space="preserve"> </w:t>
      </w:r>
      <w:r w:rsidR="000F3114" w:rsidRPr="00026576">
        <w:rPr>
          <w:noProof/>
        </w:rPr>
        <w:drawing>
          <wp:inline distT="0" distB="0" distL="0" distR="0" wp14:anchorId="3344351C" wp14:editId="1E3B2E06">
            <wp:extent cx="4320000" cy="4320000"/>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r w:rsidR="000F3114" w:rsidRPr="00026576">
        <w:rPr>
          <w:noProof/>
        </w:rPr>
        <w:drawing>
          <wp:inline distT="0" distB="0" distL="0" distR="0" wp14:anchorId="664EEBED" wp14:editId="7ECE0F75">
            <wp:extent cx="4320000" cy="4320000"/>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22E08381" w14:textId="16B06E86" w:rsidR="00753490" w:rsidRPr="00026576" w:rsidRDefault="00753490" w:rsidP="00961B7F">
      <w:pPr>
        <w:pStyle w:val="Caption"/>
      </w:pPr>
      <w:bookmarkStart w:id="18" w:name="_Ref88497998"/>
      <w:r w:rsidRPr="00026576">
        <w:t xml:space="preserve">Figure </w:t>
      </w:r>
      <w:r w:rsidR="00D4176D" w:rsidRPr="00026576">
        <w:fldChar w:fldCharType="begin"/>
      </w:r>
      <w:r w:rsidR="00D4176D" w:rsidRPr="00026576">
        <w:instrText xml:space="preserve"> SEQ Figure \* ARABIC </w:instrText>
      </w:r>
      <w:r w:rsidR="00D4176D" w:rsidRPr="00026576">
        <w:fldChar w:fldCharType="separate"/>
      </w:r>
      <w:r w:rsidR="009C438D" w:rsidRPr="00026576">
        <w:rPr>
          <w:noProof/>
        </w:rPr>
        <w:t>3</w:t>
      </w:r>
      <w:r w:rsidR="00D4176D" w:rsidRPr="00026576">
        <w:rPr>
          <w:noProof/>
        </w:rPr>
        <w:fldChar w:fldCharType="end"/>
      </w:r>
      <w:bookmarkEnd w:id="18"/>
      <w:r w:rsidRPr="00026576">
        <w:t>. Spatial distribution of generated clusters for England (left) and zoomed to London (right) by 1</w:t>
      </w:r>
      <w:r w:rsidRPr="00026576">
        <w:rPr>
          <w:vertAlign w:val="superscript"/>
        </w:rPr>
        <w:t>st</w:t>
      </w:r>
      <w:r w:rsidRPr="00026576">
        <w:t xml:space="preserve"> vaccine uptake over 25.</w:t>
      </w:r>
    </w:p>
    <w:p w14:paraId="13AAA7CA" w14:textId="753CB955" w:rsidR="00753490" w:rsidRPr="00026576" w:rsidRDefault="00A8737E" w:rsidP="00961B7F">
      <w:pPr>
        <w:pStyle w:val="ListParagraph"/>
        <w:numPr>
          <w:ilvl w:val="0"/>
          <w:numId w:val="2"/>
        </w:numPr>
      </w:pPr>
      <w:r w:rsidRPr="00026576">
        <w:t>G1</w:t>
      </w:r>
      <w:r w:rsidR="00AB1EB0" w:rsidRPr="00026576">
        <w:t xml:space="preserve">: </w:t>
      </w:r>
      <w:r w:rsidR="002A31A1" w:rsidRPr="00026576">
        <w:t>Domina</w:t>
      </w:r>
      <w:r w:rsidR="008746C1">
        <w:t>nt</w:t>
      </w:r>
      <w:r w:rsidR="002A31A1" w:rsidRPr="00026576">
        <w:t xml:space="preserve"> in Midlands.</w:t>
      </w:r>
    </w:p>
    <w:p w14:paraId="2252EAA8" w14:textId="69F14CD1" w:rsidR="00A8737E" w:rsidRPr="00026576" w:rsidRDefault="00A8737E" w:rsidP="00961B7F">
      <w:pPr>
        <w:pStyle w:val="ListParagraph"/>
        <w:numPr>
          <w:ilvl w:val="0"/>
          <w:numId w:val="2"/>
        </w:numPr>
      </w:pPr>
      <w:r w:rsidRPr="00026576">
        <w:t>G2</w:t>
      </w:r>
      <w:r w:rsidR="00AB1EB0" w:rsidRPr="00026576">
        <w:t>: Domina</w:t>
      </w:r>
      <w:r w:rsidR="008746C1">
        <w:t>nt</w:t>
      </w:r>
      <w:r w:rsidR="00AB1EB0" w:rsidRPr="00026576">
        <w:t xml:space="preserve"> in South West – </w:t>
      </w:r>
      <w:r w:rsidR="00B034D9" w:rsidRPr="00026576">
        <w:t>Ea</w:t>
      </w:r>
      <w:r w:rsidR="00AB1EB0" w:rsidRPr="00026576">
        <w:t>st County</w:t>
      </w:r>
      <w:r w:rsidR="00070845" w:rsidRPr="00026576">
        <w:t xml:space="preserve"> as remote areas</w:t>
      </w:r>
      <w:r w:rsidR="00B034D9" w:rsidRPr="00026576">
        <w:t>.</w:t>
      </w:r>
    </w:p>
    <w:p w14:paraId="1DDED622" w14:textId="2D4712D5" w:rsidR="00A8737E" w:rsidRPr="00026576" w:rsidRDefault="00A8737E" w:rsidP="00961B7F">
      <w:pPr>
        <w:pStyle w:val="ListParagraph"/>
        <w:numPr>
          <w:ilvl w:val="0"/>
          <w:numId w:val="2"/>
        </w:numPr>
      </w:pPr>
      <w:r w:rsidRPr="00026576">
        <w:t>G3</w:t>
      </w:r>
      <w:r w:rsidR="00FA40BE" w:rsidRPr="00026576">
        <w:t>: Domina</w:t>
      </w:r>
      <w:r w:rsidR="008746C1">
        <w:t>nt</w:t>
      </w:r>
      <w:r w:rsidR="00FA40BE" w:rsidRPr="00026576">
        <w:t xml:space="preserve"> in </w:t>
      </w:r>
      <w:r w:rsidR="00B034D9" w:rsidRPr="00026576">
        <w:t>London</w:t>
      </w:r>
      <w:r w:rsidR="00070845" w:rsidRPr="00026576">
        <w:t xml:space="preserve"> as urban centres.</w:t>
      </w:r>
    </w:p>
    <w:p w14:paraId="78227BC3" w14:textId="6053A393" w:rsidR="00A8737E" w:rsidRPr="00026576" w:rsidRDefault="00A8737E" w:rsidP="00961B7F">
      <w:pPr>
        <w:pStyle w:val="ListParagraph"/>
        <w:numPr>
          <w:ilvl w:val="0"/>
          <w:numId w:val="2"/>
        </w:numPr>
      </w:pPr>
      <w:r w:rsidRPr="00026576">
        <w:t>G4</w:t>
      </w:r>
      <w:r w:rsidR="00FA40BE" w:rsidRPr="00026576">
        <w:t xml:space="preserve">: </w:t>
      </w:r>
      <w:r w:rsidR="002A31A1" w:rsidRPr="00026576">
        <w:t>Domina</w:t>
      </w:r>
      <w:r w:rsidR="008746C1">
        <w:t>nt</w:t>
      </w:r>
      <w:r w:rsidR="002A31A1" w:rsidRPr="00026576">
        <w:t xml:space="preserve"> in East of England</w:t>
      </w:r>
      <w:r w:rsidR="00070845" w:rsidRPr="00026576">
        <w:t xml:space="preserve"> </w:t>
      </w:r>
      <w:r w:rsidR="00070845" w:rsidRPr="00026576">
        <w:t>as remote areas</w:t>
      </w:r>
      <w:r w:rsidR="00070845" w:rsidRPr="00026576">
        <w:t>.</w:t>
      </w:r>
    </w:p>
    <w:p w14:paraId="7E5F4107" w14:textId="244E2CB6" w:rsidR="00A8737E" w:rsidRPr="00026576" w:rsidRDefault="00A8737E" w:rsidP="00961B7F">
      <w:pPr>
        <w:pStyle w:val="ListParagraph"/>
        <w:numPr>
          <w:ilvl w:val="0"/>
          <w:numId w:val="2"/>
        </w:numPr>
      </w:pPr>
      <w:r w:rsidRPr="00026576">
        <w:t>G5</w:t>
      </w:r>
      <w:r w:rsidR="00FA40BE" w:rsidRPr="00026576">
        <w:t>: Domina</w:t>
      </w:r>
      <w:r w:rsidR="008746C1">
        <w:t>nt</w:t>
      </w:r>
      <w:r w:rsidR="00FA40BE" w:rsidRPr="00026576">
        <w:t xml:space="preserve"> in North </w:t>
      </w:r>
      <w:r w:rsidR="00B034D9" w:rsidRPr="00026576">
        <w:t>West.</w:t>
      </w:r>
    </w:p>
    <w:p w14:paraId="6F0D1488" w14:textId="07FB5CE6" w:rsidR="00A8737E" w:rsidRPr="00026576" w:rsidRDefault="00A8737E" w:rsidP="00961B7F">
      <w:pPr>
        <w:pStyle w:val="ListParagraph"/>
        <w:numPr>
          <w:ilvl w:val="0"/>
          <w:numId w:val="2"/>
        </w:numPr>
      </w:pPr>
      <w:r w:rsidRPr="00026576">
        <w:t>G6</w:t>
      </w:r>
      <w:r w:rsidR="003561A4" w:rsidRPr="00026576">
        <w:t xml:space="preserve">: </w:t>
      </w:r>
      <w:r w:rsidR="008746C1" w:rsidRPr="00026576">
        <w:t>Dominan</w:t>
      </w:r>
      <w:r w:rsidR="008746C1">
        <w:t>t</w:t>
      </w:r>
      <w:r w:rsidR="003561A4" w:rsidRPr="00026576">
        <w:t xml:space="preserve"> in </w:t>
      </w:r>
      <w:r w:rsidR="00B034D9" w:rsidRPr="00026576">
        <w:t>North East and Yorkshire.</w:t>
      </w:r>
    </w:p>
    <w:p w14:paraId="1B55B800" w14:textId="45DAAF17" w:rsidR="00A8737E" w:rsidRPr="00026576" w:rsidRDefault="00A8737E" w:rsidP="00961B7F">
      <w:pPr>
        <w:pStyle w:val="ListParagraph"/>
        <w:numPr>
          <w:ilvl w:val="0"/>
          <w:numId w:val="2"/>
        </w:numPr>
      </w:pPr>
      <w:r w:rsidRPr="00026576">
        <w:t>G7</w:t>
      </w:r>
      <w:r w:rsidR="003561A4" w:rsidRPr="00026576">
        <w:t xml:space="preserve">: </w:t>
      </w:r>
      <w:r w:rsidR="00B034D9" w:rsidRPr="00026576">
        <w:t>Dom</w:t>
      </w:r>
      <w:r w:rsidR="008746C1">
        <w:t>inant</w:t>
      </w:r>
      <w:r w:rsidR="00B034D9" w:rsidRPr="00026576">
        <w:t xml:space="preserve"> in South West – West County.</w:t>
      </w:r>
    </w:p>
    <w:bookmarkEnd w:id="16"/>
    <w:bookmarkEnd w:id="17"/>
    <w:p w14:paraId="2B47F7EA" w14:textId="77777777" w:rsidR="00E50F73" w:rsidRPr="00026576" w:rsidRDefault="00E50F73" w:rsidP="00961B7F">
      <w:pPr>
        <w:spacing w:line="276" w:lineRule="auto"/>
        <w:rPr>
          <w:rFonts w:ascii="Calibri" w:hAnsi="Calibri" w:cs="Calibri"/>
        </w:rPr>
        <w:sectPr w:rsidR="00E50F73" w:rsidRPr="00026576" w:rsidSect="004237B2">
          <w:pgSz w:w="16838" w:h="11906" w:orient="landscape"/>
          <w:pgMar w:top="1440" w:right="1701" w:bottom="1440" w:left="1440" w:header="851" w:footer="992" w:gutter="0"/>
          <w:cols w:space="425"/>
          <w:docGrid w:linePitch="360"/>
        </w:sectPr>
      </w:pPr>
    </w:p>
    <w:p w14:paraId="04F69B6C" w14:textId="4726A3F6" w:rsidR="00E50F73" w:rsidRPr="00026576" w:rsidRDefault="00E50F73" w:rsidP="00961B7F">
      <w:pPr>
        <w:pStyle w:val="Heading1"/>
      </w:pPr>
      <w:r w:rsidRPr="00026576">
        <w:t>Appendix</w:t>
      </w:r>
    </w:p>
    <w:p w14:paraId="42079EE6" w14:textId="77777777" w:rsidR="00E50F73" w:rsidRPr="00026576" w:rsidRDefault="00E50F73" w:rsidP="00961B7F">
      <w:pPr>
        <w:pStyle w:val="Heading2"/>
        <w:numPr>
          <w:ilvl w:val="0"/>
          <w:numId w:val="11"/>
        </w:numPr>
      </w:pPr>
      <w:r w:rsidRPr="00026576">
        <w:t>Why 45min for car?</w:t>
      </w:r>
    </w:p>
    <w:p w14:paraId="3967ADBB" w14:textId="77777777" w:rsidR="00E50F73" w:rsidRPr="00026576" w:rsidRDefault="00E50F73" w:rsidP="00961B7F">
      <w:pPr>
        <w:pStyle w:val="ListParagraph"/>
        <w:numPr>
          <w:ilvl w:val="0"/>
          <w:numId w:val="2"/>
        </w:numPr>
      </w:pPr>
      <w:r w:rsidRPr="00026576">
        <w:t>“While people might be asked to drive up to 45 minutes each way to one of a series of large regional vaccination centres, they could wait for a more local appointment if needed.”</w:t>
      </w:r>
    </w:p>
    <w:p w14:paraId="5980A00C" w14:textId="0CB51370" w:rsidR="00E50F73" w:rsidRPr="00026576" w:rsidRDefault="00E50F73" w:rsidP="00961B7F">
      <w:pPr>
        <w:pStyle w:val="ListParagraph"/>
        <w:numPr>
          <w:ilvl w:val="0"/>
          <w:numId w:val="2"/>
        </w:numPr>
      </w:pPr>
      <w:r w:rsidRPr="00026576">
        <w:t>From the centroid of 6791 MSOAs to nearest vaccination centres by car</w:t>
      </w:r>
      <w:r w:rsidR="000262F7" w:rsidRPr="00026576">
        <w:t xml:space="preserve">; </w:t>
      </w:r>
      <w:r w:rsidR="008D50BC" w:rsidRPr="00026576">
        <w:t xml:space="preserve">arriving </w:t>
      </w:r>
      <w:r w:rsidR="000262F7" w:rsidRPr="00026576">
        <w:t>at least one vaccination centres within 10 miles in all MSOAs</w:t>
      </w:r>
      <w:r w:rsidR="00C17622" w:rsidRPr="00026576">
        <w:t>.</w:t>
      </w:r>
    </w:p>
    <w:tbl>
      <w:tblPr>
        <w:tblStyle w:val="GridTable1Light"/>
        <w:tblW w:w="5000" w:type="pct"/>
        <w:jc w:val="center"/>
        <w:tblLook w:val="04A0" w:firstRow="1" w:lastRow="0" w:firstColumn="1" w:lastColumn="0" w:noHBand="0" w:noVBand="1"/>
      </w:tblPr>
      <w:tblGrid>
        <w:gridCol w:w="2898"/>
        <w:gridCol w:w="3028"/>
        <w:gridCol w:w="3100"/>
      </w:tblGrid>
      <w:tr w:rsidR="00E50F73" w:rsidRPr="00026576" w14:paraId="7D2D3293" w14:textId="77777777" w:rsidTr="00B12A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05" w:type="pct"/>
            <w:tcBorders>
              <w:top w:val="single" w:sz="12" w:space="0" w:color="auto"/>
              <w:left w:val="nil"/>
              <w:bottom w:val="single" w:sz="12" w:space="0" w:color="auto"/>
            </w:tcBorders>
            <w:shd w:val="clear" w:color="auto" w:fill="A5A5A5" w:themeFill="accent3"/>
            <w:noWrap/>
            <w:hideMark/>
          </w:tcPr>
          <w:p w14:paraId="3688C048" w14:textId="77777777" w:rsidR="00E50F73" w:rsidRPr="00026576" w:rsidRDefault="00E50F73" w:rsidP="00961B7F">
            <w:pPr>
              <w:widowControl/>
              <w:wordWrap/>
              <w:autoSpaceDE/>
              <w:autoSpaceDN/>
              <w:spacing w:line="276" w:lineRule="auto"/>
              <w:jc w:val="center"/>
              <w:rPr>
                <w:rFonts w:ascii="Calibri" w:eastAsia="Times New Roman" w:hAnsi="Calibri" w:cs="Calibri"/>
                <w:sz w:val="20"/>
                <w:szCs w:val="20"/>
              </w:rPr>
            </w:pPr>
          </w:p>
        </w:tc>
        <w:tc>
          <w:tcPr>
            <w:tcW w:w="1677" w:type="pct"/>
            <w:tcBorders>
              <w:top w:val="single" w:sz="12" w:space="0" w:color="auto"/>
              <w:bottom w:val="single" w:sz="12" w:space="0" w:color="auto"/>
            </w:tcBorders>
            <w:shd w:val="clear" w:color="auto" w:fill="A5A5A5" w:themeFill="accent3"/>
            <w:noWrap/>
            <w:hideMark/>
          </w:tcPr>
          <w:p w14:paraId="37454E6B"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Distance (km)</w:t>
            </w:r>
          </w:p>
        </w:tc>
        <w:tc>
          <w:tcPr>
            <w:tcW w:w="1717" w:type="pct"/>
            <w:tcBorders>
              <w:top w:val="single" w:sz="12" w:space="0" w:color="auto"/>
              <w:bottom w:val="single" w:sz="12" w:space="0" w:color="auto"/>
              <w:right w:val="nil"/>
            </w:tcBorders>
            <w:shd w:val="clear" w:color="auto" w:fill="A5A5A5" w:themeFill="accent3"/>
            <w:noWrap/>
            <w:hideMark/>
          </w:tcPr>
          <w:p w14:paraId="78DE248D"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Duration (min.)</w:t>
            </w:r>
          </w:p>
        </w:tc>
      </w:tr>
      <w:tr w:rsidR="00E50F73" w:rsidRPr="00026576" w14:paraId="148E89C3" w14:textId="77777777" w:rsidTr="00B12A82">
        <w:trPr>
          <w:trHeight w:val="300"/>
          <w:jc w:val="center"/>
        </w:trPr>
        <w:tc>
          <w:tcPr>
            <w:cnfStyle w:val="001000000000" w:firstRow="0" w:lastRow="0" w:firstColumn="1" w:lastColumn="0" w:oddVBand="0" w:evenVBand="0" w:oddHBand="0" w:evenHBand="0" w:firstRowFirstColumn="0" w:firstRowLastColumn="0" w:lastRowFirstColumn="0" w:lastRowLastColumn="0"/>
            <w:tcW w:w="1605" w:type="pct"/>
            <w:tcBorders>
              <w:top w:val="single" w:sz="12" w:space="0" w:color="auto"/>
              <w:left w:val="nil"/>
            </w:tcBorders>
            <w:noWrap/>
            <w:hideMark/>
          </w:tcPr>
          <w:p w14:paraId="49FA2D42"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Median</w:t>
            </w:r>
          </w:p>
        </w:tc>
        <w:tc>
          <w:tcPr>
            <w:tcW w:w="1677" w:type="pct"/>
            <w:tcBorders>
              <w:top w:val="single" w:sz="12" w:space="0" w:color="auto"/>
            </w:tcBorders>
            <w:noWrap/>
            <w:hideMark/>
          </w:tcPr>
          <w:p w14:paraId="1DA7208F"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9.8</w:t>
            </w:r>
          </w:p>
        </w:tc>
        <w:tc>
          <w:tcPr>
            <w:tcW w:w="1717" w:type="pct"/>
            <w:tcBorders>
              <w:top w:val="single" w:sz="12" w:space="0" w:color="auto"/>
              <w:right w:val="nil"/>
            </w:tcBorders>
            <w:noWrap/>
            <w:hideMark/>
          </w:tcPr>
          <w:p w14:paraId="2F98D0C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13.53</w:t>
            </w:r>
          </w:p>
        </w:tc>
      </w:tr>
      <w:tr w:rsidR="00E50F73" w:rsidRPr="00026576" w14:paraId="3ACCA6BC" w14:textId="77777777" w:rsidTr="00B12A82">
        <w:trPr>
          <w:trHeight w:val="300"/>
          <w:jc w:val="center"/>
        </w:trPr>
        <w:tc>
          <w:tcPr>
            <w:cnfStyle w:val="001000000000" w:firstRow="0" w:lastRow="0" w:firstColumn="1" w:lastColumn="0" w:oddVBand="0" w:evenVBand="0" w:oddHBand="0" w:evenHBand="0" w:firstRowFirstColumn="0" w:firstRowLastColumn="0" w:lastRowFirstColumn="0" w:lastRowLastColumn="0"/>
            <w:tcW w:w="1605" w:type="pct"/>
            <w:tcBorders>
              <w:left w:val="nil"/>
              <w:bottom w:val="single" w:sz="4" w:space="0" w:color="999999" w:themeColor="text1" w:themeTint="66"/>
            </w:tcBorders>
            <w:noWrap/>
            <w:hideMark/>
          </w:tcPr>
          <w:p w14:paraId="3B47B00B"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Mean</w:t>
            </w:r>
          </w:p>
        </w:tc>
        <w:tc>
          <w:tcPr>
            <w:tcW w:w="1677" w:type="pct"/>
            <w:tcBorders>
              <w:bottom w:val="single" w:sz="4" w:space="0" w:color="999999" w:themeColor="text1" w:themeTint="66"/>
            </w:tcBorders>
            <w:noWrap/>
            <w:hideMark/>
          </w:tcPr>
          <w:p w14:paraId="4839644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026576">
              <w:rPr>
                <w:rFonts w:ascii="Calibri" w:eastAsia="Times New Roman" w:hAnsi="Calibri" w:cs="Calibri"/>
                <w:b/>
                <w:bCs/>
                <w:color w:val="000000"/>
                <w:sz w:val="20"/>
                <w:szCs w:val="20"/>
              </w:rPr>
              <w:t>13.75</w:t>
            </w:r>
          </w:p>
        </w:tc>
        <w:tc>
          <w:tcPr>
            <w:tcW w:w="1717" w:type="pct"/>
            <w:tcBorders>
              <w:bottom w:val="single" w:sz="4" w:space="0" w:color="999999" w:themeColor="text1" w:themeTint="66"/>
              <w:right w:val="nil"/>
            </w:tcBorders>
            <w:noWrap/>
            <w:hideMark/>
          </w:tcPr>
          <w:p w14:paraId="5CC98A5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026576">
              <w:rPr>
                <w:rFonts w:ascii="Calibri" w:eastAsia="Times New Roman" w:hAnsi="Calibri" w:cs="Calibri"/>
                <w:b/>
                <w:bCs/>
                <w:color w:val="000000"/>
                <w:sz w:val="20"/>
                <w:szCs w:val="20"/>
              </w:rPr>
              <w:t>16.4</w:t>
            </w:r>
          </w:p>
        </w:tc>
      </w:tr>
      <w:tr w:rsidR="00E50F73" w:rsidRPr="00026576" w14:paraId="7BFF3C5B" w14:textId="77777777" w:rsidTr="00B12A82">
        <w:trPr>
          <w:trHeight w:val="300"/>
          <w:jc w:val="center"/>
        </w:trPr>
        <w:tc>
          <w:tcPr>
            <w:cnfStyle w:val="001000000000" w:firstRow="0" w:lastRow="0" w:firstColumn="1" w:lastColumn="0" w:oddVBand="0" w:evenVBand="0" w:oddHBand="0" w:evenHBand="0" w:firstRowFirstColumn="0" w:firstRowLastColumn="0" w:lastRowFirstColumn="0" w:lastRowLastColumn="0"/>
            <w:tcW w:w="1605" w:type="pct"/>
            <w:tcBorders>
              <w:left w:val="nil"/>
              <w:bottom w:val="single" w:sz="12" w:space="0" w:color="auto"/>
            </w:tcBorders>
            <w:noWrap/>
            <w:hideMark/>
          </w:tcPr>
          <w:p w14:paraId="58255B8D"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SD</w:t>
            </w:r>
          </w:p>
        </w:tc>
        <w:tc>
          <w:tcPr>
            <w:tcW w:w="1677" w:type="pct"/>
            <w:tcBorders>
              <w:bottom w:val="single" w:sz="12" w:space="0" w:color="auto"/>
            </w:tcBorders>
            <w:noWrap/>
            <w:hideMark/>
          </w:tcPr>
          <w:p w14:paraId="2C362796"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12.51</w:t>
            </w:r>
          </w:p>
        </w:tc>
        <w:tc>
          <w:tcPr>
            <w:tcW w:w="1717" w:type="pct"/>
            <w:tcBorders>
              <w:bottom w:val="single" w:sz="12" w:space="0" w:color="auto"/>
              <w:right w:val="nil"/>
            </w:tcBorders>
            <w:noWrap/>
            <w:hideMark/>
          </w:tcPr>
          <w:p w14:paraId="3499668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11.44</w:t>
            </w:r>
          </w:p>
        </w:tc>
      </w:tr>
    </w:tbl>
    <w:p w14:paraId="09BB5DCE" w14:textId="77777777" w:rsidR="00E50F73" w:rsidRPr="00026576" w:rsidRDefault="00E50F73" w:rsidP="00961B7F">
      <w:pPr>
        <w:spacing w:line="276" w:lineRule="auto"/>
        <w:rPr>
          <w:rFonts w:ascii="Calibri" w:hAnsi="Calibri" w:cs="Calibri"/>
        </w:rPr>
      </w:pPr>
    </w:p>
    <w:p w14:paraId="740A6D4B" w14:textId="77777777" w:rsidR="00E50F73" w:rsidRPr="00026576" w:rsidRDefault="00E50F73" w:rsidP="00961B7F">
      <w:pPr>
        <w:pStyle w:val="Heading2"/>
      </w:pPr>
      <w:r w:rsidRPr="00026576">
        <w:t>Why 60min for public transportation at pm 12?</w:t>
      </w:r>
    </w:p>
    <w:p w14:paraId="4F0FBEB2" w14:textId="3F829644" w:rsidR="00E50F73" w:rsidRPr="00026576" w:rsidRDefault="00E50F73" w:rsidP="00961B7F">
      <w:pPr>
        <w:pStyle w:val="ListParagraph"/>
        <w:numPr>
          <w:ilvl w:val="0"/>
          <w:numId w:val="2"/>
        </w:numPr>
      </w:pPr>
      <w:r w:rsidRPr="00026576">
        <w:t>Considering the maximum coverage of vaccination centres within travel time threshold</w:t>
      </w:r>
      <w:r w:rsidR="000262F7" w:rsidRPr="00026576">
        <w:t>s</w:t>
      </w:r>
      <w:r w:rsidRPr="00026576">
        <w:t>, and avoid the peak-time hours of day, due to the fact that walk-in appointments for vaccinations are sometimes available, but they not guaranteed in peak times.</w:t>
      </w:r>
    </w:p>
    <w:p w14:paraId="2A139499" w14:textId="4E14BD75" w:rsidR="00E50F73" w:rsidRPr="00026576" w:rsidRDefault="00E50F73" w:rsidP="00961B7F">
      <w:pPr>
        <w:pStyle w:val="ListParagraph"/>
        <w:numPr>
          <w:ilvl w:val="0"/>
          <w:numId w:val="2"/>
        </w:numPr>
      </w:pPr>
      <w:r w:rsidRPr="00026576">
        <w:t>From the centroid of 6791 MSOAs to nearest vaccination centres by public transportation</w:t>
      </w:r>
      <w:r w:rsidR="00C17622" w:rsidRPr="00026576">
        <w:t>.</w:t>
      </w:r>
    </w:p>
    <w:p w14:paraId="4C387491" w14:textId="77777777" w:rsidR="00E50F73" w:rsidRPr="00026576" w:rsidRDefault="00E50F73" w:rsidP="00961B7F">
      <w:pPr>
        <w:spacing w:after="0" w:line="276" w:lineRule="auto"/>
        <w:rPr>
          <w:rFonts w:ascii="Calibri" w:hAnsi="Calibri" w:cs="Calibri"/>
        </w:rPr>
      </w:pPr>
    </w:p>
    <w:p w14:paraId="2CDCC75A" w14:textId="77777777" w:rsidR="00E50F73" w:rsidRPr="00026576" w:rsidRDefault="00E50F73" w:rsidP="00961B7F">
      <w:pPr>
        <w:spacing w:after="0" w:line="276" w:lineRule="auto"/>
        <w:rPr>
          <w:rFonts w:ascii="Calibri" w:hAnsi="Calibri" w:cs="Calibri"/>
          <w:i/>
          <w:iCs/>
        </w:rPr>
      </w:pPr>
      <w:r w:rsidRPr="00026576">
        <w:rPr>
          <w:rFonts w:ascii="Calibri" w:hAnsi="Calibri" w:cs="Calibri"/>
          <w:i/>
          <w:iCs/>
        </w:rPr>
        <w:t>Tuesday</w:t>
      </w:r>
    </w:p>
    <w:tbl>
      <w:tblPr>
        <w:tblStyle w:val="GridTable1Light"/>
        <w:tblW w:w="5000" w:type="pct"/>
        <w:tblLook w:val="04A0" w:firstRow="1" w:lastRow="0" w:firstColumn="1" w:lastColumn="0" w:noHBand="0" w:noVBand="1"/>
      </w:tblPr>
      <w:tblGrid>
        <w:gridCol w:w="1983"/>
        <w:gridCol w:w="1174"/>
        <w:gridCol w:w="1174"/>
        <w:gridCol w:w="1174"/>
        <w:gridCol w:w="1174"/>
        <w:gridCol w:w="1174"/>
        <w:gridCol w:w="1173"/>
      </w:tblGrid>
      <w:tr w:rsidR="00E50F73" w:rsidRPr="00026576" w14:paraId="5D943B9C" w14:textId="77777777" w:rsidTr="00B12A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pct"/>
            <w:tcBorders>
              <w:top w:val="single" w:sz="12" w:space="0" w:color="auto"/>
              <w:left w:val="nil"/>
              <w:bottom w:val="double" w:sz="4" w:space="0" w:color="auto"/>
            </w:tcBorders>
            <w:shd w:val="clear" w:color="auto" w:fill="A5A5A5" w:themeFill="accent3"/>
            <w:noWrap/>
            <w:hideMark/>
          </w:tcPr>
          <w:p w14:paraId="2CD89805" w14:textId="77777777" w:rsidR="00E50F73" w:rsidRPr="00026576" w:rsidRDefault="00E50F73" w:rsidP="00961B7F">
            <w:pPr>
              <w:widowControl/>
              <w:wordWrap/>
              <w:autoSpaceDE/>
              <w:autoSpaceDN/>
              <w:spacing w:line="276" w:lineRule="auto"/>
              <w:jc w:val="center"/>
              <w:rPr>
                <w:rFonts w:ascii="Calibri" w:eastAsia="Times New Roman" w:hAnsi="Calibri" w:cs="Calibri"/>
                <w:color w:val="000000"/>
                <w:sz w:val="20"/>
                <w:szCs w:val="20"/>
              </w:rPr>
            </w:pPr>
            <w:r w:rsidRPr="00026576">
              <w:rPr>
                <w:rFonts w:ascii="Calibri" w:eastAsia="Times New Roman" w:hAnsi="Calibri" w:cs="Calibri"/>
                <w:color w:val="000000"/>
                <w:sz w:val="20"/>
                <w:szCs w:val="20"/>
              </w:rPr>
              <w:t>Duration (min.)</w:t>
            </w:r>
          </w:p>
        </w:tc>
        <w:tc>
          <w:tcPr>
            <w:tcW w:w="650" w:type="pct"/>
            <w:tcBorders>
              <w:top w:val="single" w:sz="12" w:space="0" w:color="auto"/>
              <w:bottom w:val="double" w:sz="4" w:space="0" w:color="auto"/>
            </w:tcBorders>
            <w:shd w:val="clear" w:color="auto" w:fill="A5A5A5" w:themeFill="accent3"/>
            <w:noWrap/>
            <w:hideMark/>
          </w:tcPr>
          <w:p w14:paraId="0C4CC6DF"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am 8</w:t>
            </w:r>
          </w:p>
        </w:tc>
        <w:tc>
          <w:tcPr>
            <w:tcW w:w="650" w:type="pct"/>
            <w:tcBorders>
              <w:top w:val="single" w:sz="12" w:space="0" w:color="auto"/>
              <w:bottom w:val="double" w:sz="4" w:space="0" w:color="auto"/>
            </w:tcBorders>
            <w:shd w:val="clear" w:color="auto" w:fill="A5A5A5" w:themeFill="accent3"/>
            <w:noWrap/>
            <w:hideMark/>
          </w:tcPr>
          <w:p w14:paraId="7875FE53"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am 10</w:t>
            </w:r>
          </w:p>
        </w:tc>
        <w:tc>
          <w:tcPr>
            <w:tcW w:w="650" w:type="pct"/>
            <w:tcBorders>
              <w:top w:val="single" w:sz="12" w:space="0" w:color="auto"/>
              <w:bottom w:val="double" w:sz="4" w:space="0" w:color="auto"/>
            </w:tcBorders>
            <w:shd w:val="clear" w:color="auto" w:fill="A5A5A5" w:themeFill="accent3"/>
            <w:noWrap/>
            <w:hideMark/>
          </w:tcPr>
          <w:p w14:paraId="61AAA186"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12</w:t>
            </w:r>
          </w:p>
        </w:tc>
        <w:tc>
          <w:tcPr>
            <w:tcW w:w="650" w:type="pct"/>
            <w:tcBorders>
              <w:top w:val="single" w:sz="12" w:space="0" w:color="auto"/>
              <w:bottom w:val="double" w:sz="4" w:space="0" w:color="auto"/>
            </w:tcBorders>
            <w:shd w:val="clear" w:color="auto" w:fill="A5A5A5" w:themeFill="accent3"/>
            <w:noWrap/>
            <w:hideMark/>
          </w:tcPr>
          <w:p w14:paraId="6A0376C1"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2</w:t>
            </w:r>
          </w:p>
        </w:tc>
        <w:tc>
          <w:tcPr>
            <w:tcW w:w="650" w:type="pct"/>
            <w:tcBorders>
              <w:top w:val="single" w:sz="12" w:space="0" w:color="auto"/>
              <w:bottom w:val="double" w:sz="4" w:space="0" w:color="auto"/>
            </w:tcBorders>
            <w:shd w:val="clear" w:color="auto" w:fill="A5A5A5" w:themeFill="accent3"/>
            <w:noWrap/>
            <w:hideMark/>
          </w:tcPr>
          <w:p w14:paraId="21EFCB97"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4</w:t>
            </w:r>
          </w:p>
        </w:tc>
        <w:tc>
          <w:tcPr>
            <w:tcW w:w="650" w:type="pct"/>
            <w:tcBorders>
              <w:top w:val="single" w:sz="12" w:space="0" w:color="auto"/>
              <w:bottom w:val="double" w:sz="4" w:space="0" w:color="auto"/>
              <w:right w:val="nil"/>
            </w:tcBorders>
            <w:shd w:val="clear" w:color="auto" w:fill="A5A5A5" w:themeFill="accent3"/>
            <w:noWrap/>
            <w:hideMark/>
          </w:tcPr>
          <w:p w14:paraId="076234E7"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6</w:t>
            </w:r>
          </w:p>
        </w:tc>
      </w:tr>
      <w:tr w:rsidR="00E50F73" w:rsidRPr="00026576" w14:paraId="0689122B"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098" w:type="pct"/>
            <w:tcBorders>
              <w:top w:val="double" w:sz="4" w:space="0" w:color="auto"/>
              <w:left w:val="nil"/>
            </w:tcBorders>
            <w:noWrap/>
            <w:hideMark/>
          </w:tcPr>
          <w:p w14:paraId="1ABFCAA2"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Median</w:t>
            </w:r>
          </w:p>
        </w:tc>
        <w:tc>
          <w:tcPr>
            <w:tcW w:w="650" w:type="pct"/>
            <w:tcBorders>
              <w:top w:val="double" w:sz="4" w:space="0" w:color="auto"/>
            </w:tcBorders>
            <w:noWrap/>
            <w:hideMark/>
          </w:tcPr>
          <w:p w14:paraId="4ACD5F1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34.69</w:t>
            </w:r>
          </w:p>
        </w:tc>
        <w:tc>
          <w:tcPr>
            <w:tcW w:w="650" w:type="pct"/>
            <w:tcBorders>
              <w:top w:val="double" w:sz="4" w:space="0" w:color="auto"/>
            </w:tcBorders>
            <w:noWrap/>
            <w:hideMark/>
          </w:tcPr>
          <w:p w14:paraId="43C62F67"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33.67</w:t>
            </w:r>
          </w:p>
        </w:tc>
        <w:tc>
          <w:tcPr>
            <w:tcW w:w="650" w:type="pct"/>
            <w:tcBorders>
              <w:top w:val="double" w:sz="4" w:space="0" w:color="auto"/>
            </w:tcBorders>
            <w:noWrap/>
            <w:hideMark/>
          </w:tcPr>
          <w:p w14:paraId="25155CC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34.00</w:t>
            </w:r>
          </w:p>
        </w:tc>
        <w:tc>
          <w:tcPr>
            <w:tcW w:w="650" w:type="pct"/>
            <w:tcBorders>
              <w:top w:val="double" w:sz="4" w:space="0" w:color="auto"/>
            </w:tcBorders>
            <w:noWrap/>
            <w:hideMark/>
          </w:tcPr>
          <w:p w14:paraId="3F9540B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34.25</w:t>
            </w:r>
          </w:p>
        </w:tc>
        <w:tc>
          <w:tcPr>
            <w:tcW w:w="650" w:type="pct"/>
            <w:tcBorders>
              <w:top w:val="double" w:sz="4" w:space="0" w:color="auto"/>
            </w:tcBorders>
            <w:noWrap/>
            <w:hideMark/>
          </w:tcPr>
          <w:p w14:paraId="5BE19BED"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35.42</w:t>
            </w:r>
          </w:p>
        </w:tc>
        <w:tc>
          <w:tcPr>
            <w:tcW w:w="650" w:type="pct"/>
            <w:tcBorders>
              <w:top w:val="double" w:sz="4" w:space="0" w:color="auto"/>
              <w:right w:val="nil"/>
            </w:tcBorders>
            <w:noWrap/>
            <w:hideMark/>
          </w:tcPr>
          <w:p w14:paraId="7927CA4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34.07</w:t>
            </w:r>
          </w:p>
        </w:tc>
      </w:tr>
      <w:tr w:rsidR="00E50F73" w:rsidRPr="00026576" w14:paraId="762CBA24"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098" w:type="pct"/>
            <w:tcBorders>
              <w:left w:val="nil"/>
            </w:tcBorders>
            <w:noWrap/>
            <w:hideMark/>
          </w:tcPr>
          <w:p w14:paraId="538AAA9A"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Mean</w:t>
            </w:r>
          </w:p>
        </w:tc>
        <w:tc>
          <w:tcPr>
            <w:tcW w:w="650" w:type="pct"/>
            <w:noWrap/>
            <w:hideMark/>
          </w:tcPr>
          <w:p w14:paraId="09BFAB8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58.49</w:t>
            </w:r>
          </w:p>
        </w:tc>
        <w:tc>
          <w:tcPr>
            <w:tcW w:w="650" w:type="pct"/>
            <w:noWrap/>
            <w:hideMark/>
          </w:tcPr>
          <w:p w14:paraId="1923AB11"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48.29</w:t>
            </w:r>
          </w:p>
        </w:tc>
        <w:tc>
          <w:tcPr>
            <w:tcW w:w="650" w:type="pct"/>
            <w:noWrap/>
            <w:hideMark/>
          </w:tcPr>
          <w:p w14:paraId="086662ED"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48.79</w:t>
            </w:r>
          </w:p>
        </w:tc>
        <w:tc>
          <w:tcPr>
            <w:tcW w:w="650" w:type="pct"/>
            <w:noWrap/>
            <w:hideMark/>
          </w:tcPr>
          <w:p w14:paraId="5AEDD6F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47.39</w:t>
            </w:r>
          </w:p>
        </w:tc>
        <w:tc>
          <w:tcPr>
            <w:tcW w:w="650" w:type="pct"/>
            <w:noWrap/>
            <w:hideMark/>
          </w:tcPr>
          <w:p w14:paraId="715CBCC3"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48.40</w:t>
            </w:r>
          </w:p>
        </w:tc>
        <w:tc>
          <w:tcPr>
            <w:tcW w:w="650" w:type="pct"/>
            <w:tcBorders>
              <w:right w:val="nil"/>
            </w:tcBorders>
            <w:noWrap/>
            <w:hideMark/>
          </w:tcPr>
          <w:p w14:paraId="0DC2686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48.35</w:t>
            </w:r>
          </w:p>
        </w:tc>
      </w:tr>
      <w:tr w:rsidR="00E50F73" w:rsidRPr="00026576" w14:paraId="717EEB70"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098" w:type="pct"/>
            <w:tcBorders>
              <w:left w:val="nil"/>
              <w:bottom w:val="double" w:sz="4" w:space="0" w:color="auto"/>
            </w:tcBorders>
            <w:noWrap/>
            <w:hideMark/>
          </w:tcPr>
          <w:p w14:paraId="2CEDFF26"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SD</w:t>
            </w:r>
          </w:p>
        </w:tc>
        <w:tc>
          <w:tcPr>
            <w:tcW w:w="650" w:type="pct"/>
            <w:tcBorders>
              <w:bottom w:val="double" w:sz="4" w:space="0" w:color="auto"/>
            </w:tcBorders>
            <w:noWrap/>
            <w:hideMark/>
          </w:tcPr>
          <w:p w14:paraId="41622940"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107.31</w:t>
            </w:r>
          </w:p>
        </w:tc>
        <w:tc>
          <w:tcPr>
            <w:tcW w:w="650" w:type="pct"/>
            <w:tcBorders>
              <w:bottom w:val="double" w:sz="4" w:space="0" w:color="auto"/>
            </w:tcBorders>
            <w:noWrap/>
            <w:hideMark/>
          </w:tcPr>
          <w:p w14:paraId="6DD54AE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65.23</w:t>
            </w:r>
          </w:p>
        </w:tc>
        <w:tc>
          <w:tcPr>
            <w:tcW w:w="650" w:type="pct"/>
            <w:tcBorders>
              <w:bottom w:val="double" w:sz="4" w:space="0" w:color="auto"/>
            </w:tcBorders>
            <w:noWrap/>
            <w:hideMark/>
          </w:tcPr>
          <w:p w14:paraId="2AA8354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66.07</w:t>
            </w:r>
          </w:p>
        </w:tc>
        <w:tc>
          <w:tcPr>
            <w:tcW w:w="650" w:type="pct"/>
            <w:tcBorders>
              <w:bottom w:val="double" w:sz="4" w:space="0" w:color="auto"/>
            </w:tcBorders>
            <w:noWrap/>
            <w:hideMark/>
          </w:tcPr>
          <w:p w14:paraId="12117E4D"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50.43</w:t>
            </w:r>
          </w:p>
        </w:tc>
        <w:tc>
          <w:tcPr>
            <w:tcW w:w="650" w:type="pct"/>
            <w:tcBorders>
              <w:bottom w:val="double" w:sz="4" w:space="0" w:color="auto"/>
            </w:tcBorders>
            <w:noWrap/>
            <w:hideMark/>
          </w:tcPr>
          <w:p w14:paraId="442713B5"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51.31</w:t>
            </w:r>
          </w:p>
        </w:tc>
        <w:tc>
          <w:tcPr>
            <w:tcW w:w="650" w:type="pct"/>
            <w:tcBorders>
              <w:bottom w:val="double" w:sz="4" w:space="0" w:color="auto"/>
              <w:right w:val="nil"/>
            </w:tcBorders>
            <w:noWrap/>
            <w:hideMark/>
          </w:tcPr>
          <w:p w14:paraId="2A2BE863"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34.07</w:t>
            </w:r>
          </w:p>
        </w:tc>
      </w:tr>
      <w:tr w:rsidR="00E50F73" w:rsidRPr="00026576" w14:paraId="4FCD107E"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098" w:type="pct"/>
            <w:tcBorders>
              <w:top w:val="double" w:sz="4" w:space="0" w:color="auto"/>
              <w:left w:val="nil"/>
            </w:tcBorders>
            <w:noWrap/>
            <w:hideMark/>
          </w:tcPr>
          <w:p w14:paraId="2D1B20D9"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Coverage of MSOA</w:t>
            </w:r>
          </w:p>
        </w:tc>
        <w:tc>
          <w:tcPr>
            <w:tcW w:w="650" w:type="pct"/>
            <w:tcBorders>
              <w:top w:val="double" w:sz="4" w:space="0" w:color="auto"/>
            </w:tcBorders>
            <w:noWrap/>
            <w:hideMark/>
          </w:tcPr>
          <w:p w14:paraId="04C7F3B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5,688</w:t>
            </w:r>
          </w:p>
        </w:tc>
        <w:tc>
          <w:tcPr>
            <w:tcW w:w="650" w:type="pct"/>
            <w:tcBorders>
              <w:top w:val="double" w:sz="4" w:space="0" w:color="auto"/>
            </w:tcBorders>
            <w:noWrap/>
            <w:hideMark/>
          </w:tcPr>
          <w:p w14:paraId="05DE310B"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5,786</w:t>
            </w:r>
          </w:p>
        </w:tc>
        <w:tc>
          <w:tcPr>
            <w:tcW w:w="650" w:type="pct"/>
            <w:tcBorders>
              <w:top w:val="double" w:sz="4" w:space="0" w:color="auto"/>
            </w:tcBorders>
            <w:noWrap/>
            <w:hideMark/>
          </w:tcPr>
          <w:p w14:paraId="380C19E2"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5,830</w:t>
            </w:r>
          </w:p>
        </w:tc>
        <w:tc>
          <w:tcPr>
            <w:tcW w:w="650" w:type="pct"/>
            <w:tcBorders>
              <w:top w:val="double" w:sz="4" w:space="0" w:color="auto"/>
            </w:tcBorders>
            <w:noWrap/>
            <w:hideMark/>
          </w:tcPr>
          <w:p w14:paraId="4349D75B"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5,831</w:t>
            </w:r>
          </w:p>
        </w:tc>
        <w:tc>
          <w:tcPr>
            <w:tcW w:w="650" w:type="pct"/>
            <w:tcBorders>
              <w:top w:val="double" w:sz="4" w:space="0" w:color="auto"/>
            </w:tcBorders>
            <w:noWrap/>
            <w:hideMark/>
          </w:tcPr>
          <w:p w14:paraId="02D79940"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5,827</w:t>
            </w:r>
          </w:p>
        </w:tc>
        <w:tc>
          <w:tcPr>
            <w:tcW w:w="650" w:type="pct"/>
            <w:tcBorders>
              <w:top w:val="double" w:sz="4" w:space="0" w:color="auto"/>
              <w:right w:val="nil"/>
            </w:tcBorders>
            <w:noWrap/>
            <w:hideMark/>
          </w:tcPr>
          <w:p w14:paraId="241EE1E7"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5,820</w:t>
            </w:r>
          </w:p>
        </w:tc>
      </w:tr>
      <w:tr w:rsidR="00E50F73" w:rsidRPr="00026576" w14:paraId="7A7EF590" w14:textId="77777777" w:rsidTr="00B12A82">
        <w:trPr>
          <w:trHeight w:val="64"/>
        </w:trPr>
        <w:tc>
          <w:tcPr>
            <w:cnfStyle w:val="001000000000" w:firstRow="0" w:lastRow="0" w:firstColumn="1" w:lastColumn="0" w:oddVBand="0" w:evenVBand="0" w:oddHBand="0" w:evenHBand="0" w:firstRowFirstColumn="0" w:firstRowLastColumn="0" w:lastRowFirstColumn="0" w:lastRowLastColumn="0"/>
            <w:tcW w:w="1098" w:type="pct"/>
            <w:tcBorders>
              <w:left w:val="nil"/>
            </w:tcBorders>
            <w:noWrap/>
            <w:hideMark/>
          </w:tcPr>
          <w:p w14:paraId="08FE9DC0"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Coverage(%)</w:t>
            </w:r>
          </w:p>
        </w:tc>
        <w:tc>
          <w:tcPr>
            <w:tcW w:w="650" w:type="pct"/>
            <w:noWrap/>
            <w:hideMark/>
          </w:tcPr>
          <w:p w14:paraId="2AF6786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0.84</w:t>
            </w:r>
          </w:p>
        </w:tc>
        <w:tc>
          <w:tcPr>
            <w:tcW w:w="650" w:type="pct"/>
            <w:noWrap/>
            <w:hideMark/>
          </w:tcPr>
          <w:p w14:paraId="4C762DAF"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0.85</w:t>
            </w:r>
          </w:p>
        </w:tc>
        <w:tc>
          <w:tcPr>
            <w:tcW w:w="650" w:type="pct"/>
            <w:noWrap/>
            <w:hideMark/>
          </w:tcPr>
          <w:p w14:paraId="6CC36EB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noWrap/>
            <w:hideMark/>
          </w:tcPr>
          <w:p w14:paraId="207C0C2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noWrap/>
            <w:hideMark/>
          </w:tcPr>
          <w:p w14:paraId="51EBC0C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tcBorders>
              <w:right w:val="nil"/>
            </w:tcBorders>
            <w:noWrap/>
            <w:hideMark/>
          </w:tcPr>
          <w:p w14:paraId="5C4FBFD3"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r>
    </w:tbl>
    <w:p w14:paraId="739F9570" w14:textId="77777777" w:rsidR="00E50F73" w:rsidRPr="00026576" w:rsidRDefault="00E50F73" w:rsidP="00961B7F">
      <w:pPr>
        <w:spacing w:after="0" w:line="276" w:lineRule="auto"/>
        <w:rPr>
          <w:rFonts w:ascii="Calibri" w:hAnsi="Calibri" w:cs="Calibri"/>
        </w:rPr>
      </w:pPr>
    </w:p>
    <w:p w14:paraId="4C34DAE7" w14:textId="77777777" w:rsidR="00E50F73" w:rsidRPr="00026576" w:rsidRDefault="00E50F73" w:rsidP="00961B7F">
      <w:pPr>
        <w:spacing w:after="0" w:line="276" w:lineRule="auto"/>
        <w:rPr>
          <w:rFonts w:ascii="Calibri" w:hAnsi="Calibri" w:cs="Calibri"/>
          <w:i/>
          <w:iCs/>
        </w:rPr>
      </w:pPr>
      <w:r w:rsidRPr="00026576">
        <w:rPr>
          <w:rFonts w:ascii="Calibri" w:hAnsi="Calibri" w:cs="Calibri"/>
          <w:i/>
          <w:iCs/>
        </w:rPr>
        <w:t>Saturday</w:t>
      </w:r>
    </w:p>
    <w:tbl>
      <w:tblPr>
        <w:tblStyle w:val="GridTable1Light"/>
        <w:tblW w:w="5000" w:type="pct"/>
        <w:tblLook w:val="04A0" w:firstRow="1" w:lastRow="0" w:firstColumn="1" w:lastColumn="0" w:noHBand="0" w:noVBand="1"/>
      </w:tblPr>
      <w:tblGrid>
        <w:gridCol w:w="1987"/>
        <w:gridCol w:w="1174"/>
        <w:gridCol w:w="1173"/>
        <w:gridCol w:w="1173"/>
        <w:gridCol w:w="1173"/>
        <w:gridCol w:w="1173"/>
        <w:gridCol w:w="1173"/>
      </w:tblGrid>
      <w:tr w:rsidR="00E50F73" w:rsidRPr="00026576" w14:paraId="2F6A6240" w14:textId="77777777" w:rsidTr="00B12A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pct"/>
            <w:tcBorders>
              <w:top w:val="single" w:sz="12" w:space="0" w:color="auto"/>
              <w:left w:val="nil"/>
              <w:bottom w:val="double" w:sz="4" w:space="0" w:color="auto"/>
            </w:tcBorders>
            <w:shd w:val="clear" w:color="auto" w:fill="A5A5A5" w:themeFill="accent3"/>
          </w:tcPr>
          <w:p w14:paraId="22BEBB71" w14:textId="77777777" w:rsidR="00E50F73" w:rsidRPr="00026576" w:rsidRDefault="00E50F73" w:rsidP="00961B7F">
            <w:pPr>
              <w:widowControl/>
              <w:wordWrap/>
              <w:autoSpaceDE/>
              <w:autoSpaceDN/>
              <w:spacing w:line="276" w:lineRule="auto"/>
              <w:jc w:val="center"/>
              <w:rPr>
                <w:rFonts w:ascii="Calibri" w:eastAsia="Times New Roman" w:hAnsi="Calibri" w:cs="Calibri"/>
                <w:color w:val="000000"/>
                <w:sz w:val="20"/>
                <w:szCs w:val="20"/>
              </w:rPr>
            </w:pPr>
            <w:r w:rsidRPr="00026576">
              <w:rPr>
                <w:rFonts w:ascii="Calibri" w:eastAsia="Times New Roman" w:hAnsi="Calibri" w:cs="Calibri"/>
                <w:color w:val="000000"/>
                <w:sz w:val="20"/>
                <w:szCs w:val="20"/>
              </w:rPr>
              <w:t>Duration (min.)</w:t>
            </w:r>
          </w:p>
        </w:tc>
        <w:tc>
          <w:tcPr>
            <w:tcW w:w="650" w:type="pct"/>
            <w:tcBorders>
              <w:top w:val="single" w:sz="12" w:space="0" w:color="auto"/>
              <w:bottom w:val="double" w:sz="4" w:space="0" w:color="auto"/>
            </w:tcBorders>
            <w:shd w:val="clear" w:color="auto" w:fill="A5A5A5" w:themeFill="accent3"/>
            <w:noWrap/>
            <w:hideMark/>
          </w:tcPr>
          <w:p w14:paraId="0A29AAA2"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am 8</w:t>
            </w:r>
          </w:p>
        </w:tc>
        <w:tc>
          <w:tcPr>
            <w:tcW w:w="650" w:type="pct"/>
            <w:tcBorders>
              <w:top w:val="single" w:sz="12" w:space="0" w:color="auto"/>
              <w:bottom w:val="double" w:sz="4" w:space="0" w:color="auto"/>
            </w:tcBorders>
            <w:shd w:val="clear" w:color="auto" w:fill="A5A5A5" w:themeFill="accent3"/>
            <w:noWrap/>
            <w:hideMark/>
          </w:tcPr>
          <w:p w14:paraId="7B83AE63"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am 10</w:t>
            </w:r>
          </w:p>
        </w:tc>
        <w:tc>
          <w:tcPr>
            <w:tcW w:w="650" w:type="pct"/>
            <w:tcBorders>
              <w:top w:val="single" w:sz="12" w:space="0" w:color="auto"/>
              <w:bottom w:val="double" w:sz="4" w:space="0" w:color="auto"/>
            </w:tcBorders>
            <w:shd w:val="clear" w:color="auto" w:fill="A5A5A5" w:themeFill="accent3"/>
            <w:noWrap/>
            <w:hideMark/>
          </w:tcPr>
          <w:p w14:paraId="05C60C3F"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12</w:t>
            </w:r>
          </w:p>
        </w:tc>
        <w:tc>
          <w:tcPr>
            <w:tcW w:w="650" w:type="pct"/>
            <w:tcBorders>
              <w:top w:val="single" w:sz="12" w:space="0" w:color="auto"/>
              <w:bottom w:val="double" w:sz="4" w:space="0" w:color="auto"/>
            </w:tcBorders>
            <w:shd w:val="clear" w:color="auto" w:fill="A5A5A5" w:themeFill="accent3"/>
            <w:noWrap/>
            <w:hideMark/>
          </w:tcPr>
          <w:p w14:paraId="19D07F2B"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2</w:t>
            </w:r>
          </w:p>
        </w:tc>
        <w:tc>
          <w:tcPr>
            <w:tcW w:w="650" w:type="pct"/>
            <w:tcBorders>
              <w:top w:val="single" w:sz="12" w:space="0" w:color="auto"/>
              <w:bottom w:val="double" w:sz="4" w:space="0" w:color="auto"/>
            </w:tcBorders>
            <w:shd w:val="clear" w:color="auto" w:fill="A5A5A5" w:themeFill="accent3"/>
            <w:noWrap/>
            <w:hideMark/>
          </w:tcPr>
          <w:p w14:paraId="6EAB4386"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4</w:t>
            </w:r>
          </w:p>
        </w:tc>
        <w:tc>
          <w:tcPr>
            <w:tcW w:w="650" w:type="pct"/>
            <w:tcBorders>
              <w:top w:val="single" w:sz="12" w:space="0" w:color="auto"/>
              <w:bottom w:val="double" w:sz="4" w:space="0" w:color="auto"/>
              <w:right w:val="nil"/>
            </w:tcBorders>
            <w:shd w:val="clear" w:color="auto" w:fill="A5A5A5" w:themeFill="accent3"/>
            <w:noWrap/>
            <w:hideMark/>
          </w:tcPr>
          <w:p w14:paraId="3B4A60A5" w14:textId="77777777" w:rsidR="00E50F73" w:rsidRPr="00026576" w:rsidRDefault="00E50F73" w:rsidP="00961B7F">
            <w:pPr>
              <w:widowControl/>
              <w:wordWrap/>
              <w:autoSpaceDE/>
              <w:autoSpaceDN/>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pm 6</w:t>
            </w:r>
          </w:p>
        </w:tc>
      </w:tr>
      <w:tr w:rsidR="00E50F73" w:rsidRPr="00026576" w14:paraId="454C4883"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100" w:type="pct"/>
            <w:tcBorders>
              <w:top w:val="double" w:sz="4" w:space="0" w:color="auto"/>
              <w:left w:val="nil"/>
            </w:tcBorders>
          </w:tcPr>
          <w:p w14:paraId="1F47EF98"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Median</w:t>
            </w:r>
          </w:p>
        </w:tc>
        <w:tc>
          <w:tcPr>
            <w:tcW w:w="650" w:type="pct"/>
            <w:tcBorders>
              <w:top w:val="double" w:sz="4" w:space="0" w:color="auto"/>
            </w:tcBorders>
            <w:noWrap/>
            <w:hideMark/>
          </w:tcPr>
          <w:p w14:paraId="25BF527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34.67</w:t>
            </w:r>
          </w:p>
        </w:tc>
        <w:tc>
          <w:tcPr>
            <w:tcW w:w="650" w:type="pct"/>
            <w:tcBorders>
              <w:top w:val="double" w:sz="4" w:space="0" w:color="auto"/>
            </w:tcBorders>
            <w:noWrap/>
            <w:hideMark/>
          </w:tcPr>
          <w:p w14:paraId="37CC6F0F"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33.57</w:t>
            </w:r>
          </w:p>
        </w:tc>
        <w:tc>
          <w:tcPr>
            <w:tcW w:w="650" w:type="pct"/>
            <w:tcBorders>
              <w:top w:val="double" w:sz="4" w:space="0" w:color="auto"/>
            </w:tcBorders>
            <w:noWrap/>
            <w:hideMark/>
          </w:tcPr>
          <w:p w14:paraId="38CD70A3"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34.00</w:t>
            </w:r>
          </w:p>
        </w:tc>
        <w:tc>
          <w:tcPr>
            <w:tcW w:w="650" w:type="pct"/>
            <w:tcBorders>
              <w:top w:val="double" w:sz="4" w:space="0" w:color="auto"/>
            </w:tcBorders>
            <w:noWrap/>
            <w:hideMark/>
          </w:tcPr>
          <w:p w14:paraId="3C66DD0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34.22</w:t>
            </w:r>
          </w:p>
        </w:tc>
        <w:tc>
          <w:tcPr>
            <w:tcW w:w="650" w:type="pct"/>
            <w:tcBorders>
              <w:top w:val="double" w:sz="4" w:space="0" w:color="auto"/>
            </w:tcBorders>
            <w:noWrap/>
            <w:hideMark/>
          </w:tcPr>
          <w:p w14:paraId="513B32A2"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35.30</w:t>
            </w:r>
          </w:p>
        </w:tc>
        <w:tc>
          <w:tcPr>
            <w:tcW w:w="650" w:type="pct"/>
            <w:tcBorders>
              <w:top w:val="double" w:sz="4" w:space="0" w:color="auto"/>
              <w:right w:val="nil"/>
            </w:tcBorders>
            <w:noWrap/>
            <w:hideMark/>
          </w:tcPr>
          <w:p w14:paraId="671254C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34.08</w:t>
            </w:r>
          </w:p>
        </w:tc>
      </w:tr>
      <w:tr w:rsidR="00E50F73" w:rsidRPr="00026576" w14:paraId="6AA9B948"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100" w:type="pct"/>
            <w:tcBorders>
              <w:left w:val="nil"/>
            </w:tcBorders>
          </w:tcPr>
          <w:p w14:paraId="1A86B617"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Mean</w:t>
            </w:r>
          </w:p>
        </w:tc>
        <w:tc>
          <w:tcPr>
            <w:tcW w:w="650" w:type="pct"/>
            <w:noWrap/>
            <w:hideMark/>
          </w:tcPr>
          <w:p w14:paraId="3D04446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58.54</w:t>
            </w:r>
          </w:p>
        </w:tc>
        <w:tc>
          <w:tcPr>
            <w:tcW w:w="650" w:type="pct"/>
            <w:noWrap/>
            <w:hideMark/>
          </w:tcPr>
          <w:p w14:paraId="67C2130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47.40</w:t>
            </w:r>
          </w:p>
        </w:tc>
        <w:tc>
          <w:tcPr>
            <w:tcW w:w="650" w:type="pct"/>
            <w:noWrap/>
            <w:hideMark/>
          </w:tcPr>
          <w:p w14:paraId="1B605F3D"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47.83</w:t>
            </w:r>
          </w:p>
        </w:tc>
        <w:tc>
          <w:tcPr>
            <w:tcW w:w="650" w:type="pct"/>
            <w:noWrap/>
            <w:hideMark/>
          </w:tcPr>
          <w:p w14:paraId="5B327862"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46.66</w:t>
            </w:r>
          </w:p>
        </w:tc>
        <w:tc>
          <w:tcPr>
            <w:tcW w:w="650" w:type="pct"/>
            <w:noWrap/>
            <w:hideMark/>
          </w:tcPr>
          <w:p w14:paraId="3A411D8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47.53</w:t>
            </w:r>
          </w:p>
        </w:tc>
        <w:tc>
          <w:tcPr>
            <w:tcW w:w="650" w:type="pct"/>
            <w:tcBorders>
              <w:right w:val="nil"/>
            </w:tcBorders>
            <w:noWrap/>
            <w:hideMark/>
          </w:tcPr>
          <w:p w14:paraId="6F174472"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47.67</w:t>
            </w:r>
          </w:p>
        </w:tc>
      </w:tr>
      <w:tr w:rsidR="00E50F73" w:rsidRPr="00026576" w14:paraId="0AD1DDCB"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100" w:type="pct"/>
            <w:tcBorders>
              <w:left w:val="nil"/>
              <w:bottom w:val="double" w:sz="4" w:space="0" w:color="auto"/>
            </w:tcBorders>
          </w:tcPr>
          <w:p w14:paraId="0C35E057"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SD</w:t>
            </w:r>
          </w:p>
        </w:tc>
        <w:tc>
          <w:tcPr>
            <w:tcW w:w="650" w:type="pct"/>
            <w:tcBorders>
              <w:bottom w:val="double" w:sz="4" w:space="0" w:color="auto"/>
            </w:tcBorders>
            <w:noWrap/>
            <w:hideMark/>
          </w:tcPr>
          <w:p w14:paraId="09EC33A3"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110.27</w:t>
            </w:r>
          </w:p>
        </w:tc>
        <w:tc>
          <w:tcPr>
            <w:tcW w:w="650" w:type="pct"/>
            <w:tcBorders>
              <w:bottom w:val="double" w:sz="4" w:space="0" w:color="auto"/>
            </w:tcBorders>
            <w:noWrap/>
            <w:hideMark/>
          </w:tcPr>
          <w:p w14:paraId="4585B960"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60.18</w:t>
            </w:r>
          </w:p>
        </w:tc>
        <w:tc>
          <w:tcPr>
            <w:tcW w:w="650" w:type="pct"/>
            <w:tcBorders>
              <w:bottom w:val="double" w:sz="4" w:space="0" w:color="auto"/>
            </w:tcBorders>
            <w:noWrap/>
            <w:hideMark/>
          </w:tcPr>
          <w:p w14:paraId="3625647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57.81</w:t>
            </w:r>
          </w:p>
        </w:tc>
        <w:tc>
          <w:tcPr>
            <w:tcW w:w="650" w:type="pct"/>
            <w:tcBorders>
              <w:bottom w:val="double" w:sz="4" w:space="0" w:color="auto"/>
            </w:tcBorders>
            <w:noWrap/>
            <w:hideMark/>
          </w:tcPr>
          <w:p w14:paraId="538B820B"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41.60</w:t>
            </w:r>
          </w:p>
        </w:tc>
        <w:tc>
          <w:tcPr>
            <w:tcW w:w="650" w:type="pct"/>
            <w:tcBorders>
              <w:bottom w:val="double" w:sz="4" w:space="0" w:color="auto"/>
            </w:tcBorders>
            <w:noWrap/>
            <w:hideMark/>
          </w:tcPr>
          <w:p w14:paraId="2A08B9E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42.22</w:t>
            </w:r>
          </w:p>
        </w:tc>
        <w:tc>
          <w:tcPr>
            <w:tcW w:w="650" w:type="pct"/>
            <w:tcBorders>
              <w:bottom w:val="double" w:sz="4" w:space="0" w:color="auto"/>
              <w:right w:val="nil"/>
            </w:tcBorders>
            <w:noWrap/>
            <w:hideMark/>
          </w:tcPr>
          <w:p w14:paraId="2BD0F849"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45.32</w:t>
            </w:r>
          </w:p>
        </w:tc>
      </w:tr>
      <w:tr w:rsidR="00E50F73" w:rsidRPr="00026576" w14:paraId="492A4861"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100" w:type="pct"/>
            <w:tcBorders>
              <w:top w:val="double" w:sz="4" w:space="0" w:color="auto"/>
              <w:left w:val="nil"/>
            </w:tcBorders>
          </w:tcPr>
          <w:p w14:paraId="30365CFC"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Coverage of MSOA</w:t>
            </w:r>
          </w:p>
        </w:tc>
        <w:tc>
          <w:tcPr>
            <w:tcW w:w="650" w:type="pct"/>
            <w:tcBorders>
              <w:top w:val="double" w:sz="4" w:space="0" w:color="auto"/>
            </w:tcBorders>
            <w:noWrap/>
            <w:hideMark/>
          </w:tcPr>
          <w:p w14:paraId="3099F7C7"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5,681 </w:t>
            </w:r>
          </w:p>
        </w:tc>
        <w:tc>
          <w:tcPr>
            <w:tcW w:w="650" w:type="pct"/>
            <w:tcBorders>
              <w:top w:val="double" w:sz="4" w:space="0" w:color="auto"/>
            </w:tcBorders>
            <w:noWrap/>
            <w:hideMark/>
          </w:tcPr>
          <w:p w14:paraId="1DC36B0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5,773</w:t>
            </w:r>
          </w:p>
        </w:tc>
        <w:tc>
          <w:tcPr>
            <w:tcW w:w="650" w:type="pct"/>
            <w:tcBorders>
              <w:top w:val="double" w:sz="4" w:space="0" w:color="auto"/>
            </w:tcBorders>
            <w:noWrap/>
            <w:hideMark/>
          </w:tcPr>
          <w:p w14:paraId="6CEDCE4C"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5,820 </w:t>
            </w:r>
          </w:p>
        </w:tc>
        <w:tc>
          <w:tcPr>
            <w:tcW w:w="650" w:type="pct"/>
            <w:tcBorders>
              <w:top w:val="double" w:sz="4" w:space="0" w:color="auto"/>
            </w:tcBorders>
            <w:noWrap/>
            <w:hideMark/>
          </w:tcPr>
          <w:p w14:paraId="7A1022E1"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5,821 </w:t>
            </w:r>
          </w:p>
        </w:tc>
        <w:tc>
          <w:tcPr>
            <w:tcW w:w="650" w:type="pct"/>
            <w:tcBorders>
              <w:top w:val="double" w:sz="4" w:space="0" w:color="auto"/>
            </w:tcBorders>
            <w:noWrap/>
            <w:hideMark/>
          </w:tcPr>
          <w:p w14:paraId="581719E2"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5,817 </w:t>
            </w:r>
          </w:p>
        </w:tc>
        <w:tc>
          <w:tcPr>
            <w:tcW w:w="650" w:type="pct"/>
            <w:tcBorders>
              <w:top w:val="double" w:sz="4" w:space="0" w:color="auto"/>
              <w:right w:val="nil"/>
            </w:tcBorders>
            <w:noWrap/>
            <w:hideMark/>
          </w:tcPr>
          <w:p w14:paraId="0948CE9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 xml:space="preserve">        5,813 </w:t>
            </w:r>
          </w:p>
        </w:tc>
      </w:tr>
      <w:tr w:rsidR="00E50F73" w:rsidRPr="00026576" w14:paraId="422496A0" w14:textId="77777777" w:rsidTr="00B12A82">
        <w:trPr>
          <w:trHeight w:val="300"/>
        </w:trPr>
        <w:tc>
          <w:tcPr>
            <w:cnfStyle w:val="001000000000" w:firstRow="0" w:lastRow="0" w:firstColumn="1" w:lastColumn="0" w:oddVBand="0" w:evenVBand="0" w:oddHBand="0" w:evenHBand="0" w:firstRowFirstColumn="0" w:firstRowLastColumn="0" w:lastRowFirstColumn="0" w:lastRowLastColumn="0"/>
            <w:tcW w:w="1100" w:type="pct"/>
            <w:tcBorders>
              <w:left w:val="nil"/>
            </w:tcBorders>
          </w:tcPr>
          <w:p w14:paraId="76277CB0" w14:textId="77777777" w:rsidR="00E50F73" w:rsidRPr="00026576" w:rsidRDefault="00E50F73" w:rsidP="00961B7F">
            <w:pPr>
              <w:widowControl/>
              <w:wordWrap/>
              <w:autoSpaceDE/>
              <w:autoSpaceDN/>
              <w:spacing w:line="276" w:lineRule="auto"/>
              <w:rPr>
                <w:rFonts w:ascii="Calibri" w:eastAsia="Times New Roman" w:hAnsi="Calibri" w:cs="Calibri"/>
                <w:b w:val="0"/>
                <w:bCs w:val="0"/>
                <w:color w:val="000000"/>
                <w:sz w:val="20"/>
                <w:szCs w:val="20"/>
              </w:rPr>
            </w:pPr>
            <w:r w:rsidRPr="00026576">
              <w:rPr>
                <w:rFonts w:ascii="Calibri" w:eastAsia="Times New Roman" w:hAnsi="Calibri" w:cs="Calibri"/>
                <w:b w:val="0"/>
                <w:bCs w:val="0"/>
                <w:color w:val="000000"/>
                <w:sz w:val="20"/>
                <w:szCs w:val="20"/>
              </w:rPr>
              <w:t>Coverage(%)</w:t>
            </w:r>
          </w:p>
        </w:tc>
        <w:tc>
          <w:tcPr>
            <w:tcW w:w="650" w:type="pct"/>
            <w:noWrap/>
            <w:hideMark/>
          </w:tcPr>
          <w:p w14:paraId="63E768C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0.84</w:t>
            </w:r>
          </w:p>
        </w:tc>
        <w:tc>
          <w:tcPr>
            <w:tcW w:w="650" w:type="pct"/>
            <w:noWrap/>
            <w:hideMark/>
          </w:tcPr>
          <w:p w14:paraId="3FAB18B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0.85</w:t>
            </w:r>
          </w:p>
        </w:tc>
        <w:tc>
          <w:tcPr>
            <w:tcW w:w="650" w:type="pct"/>
            <w:noWrap/>
            <w:hideMark/>
          </w:tcPr>
          <w:p w14:paraId="21E02BCE"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noWrap/>
            <w:hideMark/>
          </w:tcPr>
          <w:p w14:paraId="2FFD32F6"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noWrap/>
            <w:hideMark/>
          </w:tcPr>
          <w:p w14:paraId="1F98D8E4"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c>
          <w:tcPr>
            <w:tcW w:w="650" w:type="pct"/>
            <w:tcBorders>
              <w:right w:val="nil"/>
            </w:tcBorders>
            <w:noWrap/>
            <w:hideMark/>
          </w:tcPr>
          <w:p w14:paraId="45C56E48" w14:textId="77777777" w:rsidR="00E50F73" w:rsidRPr="00026576" w:rsidRDefault="00E50F73" w:rsidP="00961B7F">
            <w:pPr>
              <w:widowControl/>
              <w:wordWrap/>
              <w:autoSpaceDE/>
              <w:autoSpaceDN/>
              <w:spacing w:line="276"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026576">
              <w:rPr>
                <w:rFonts w:ascii="Calibri" w:eastAsia="Times New Roman" w:hAnsi="Calibri" w:cs="Calibri"/>
                <w:color w:val="000000"/>
                <w:sz w:val="20"/>
                <w:szCs w:val="20"/>
              </w:rPr>
              <w:t>0.86</w:t>
            </w:r>
          </w:p>
        </w:tc>
      </w:tr>
    </w:tbl>
    <w:p w14:paraId="1A04B7B0" w14:textId="77777777" w:rsidR="00E50F73" w:rsidRPr="00026576" w:rsidRDefault="00E50F73" w:rsidP="00961B7F">
      <w:pPr>
        <w:spacing w:line="276" w:lineRule="auto"/>
        <w:rPr>
          <w:rFonts w:ascii="Calibri" w:hAnsi="Calibri" w:cs="Calibri"/>
        </w:rPr>
      </w:pPr>
    </w:p>
    <w:sectPr w:rsidR="00E50F73" w:rsidRPr="00026576" w:rsidSect="00E50F73">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on Do Lee" w:date="2021-12-08T23:22:00Z" w:initials="WDL">
    <w:p w14:paraId="0FD33EE1" w14:textId="77777777" w:rsidR="00827D2D" w:rsidRDefault="00827D2D" w:rsidP="00AC222B">
      <w:pPr>
        <w:pStyle w:val="CommentText"/>
      </w:pPr>
      <w:r>
        <w:rPr>
          <w:rStyle w:val="CommentReference"/>
        </w:rPr>
        <w:annotationRef/>
      </w:r>
      <w:r>
        <w:t>Hello Co-authors, please leave your comments on here about your preferred  journal lists. We will discuss it later.</w:t>
      </w:r>
    </w:p>
  </w:comment>
  <w:comment w:id="1" w:author="Won Do Lee" w:date="2021-12-08T23:44:00Z" w:initials="WDL">
    <w:p w14:paraId="0BDCD98F" w14:textId="77777777" w:rsidR="006B38D5" w:rsidRDefault="006B38D5" w:rsidP="00BD3BDF">
      <w:pPr>
        <w:pStyle w:val="CommentText"/>
      </w:pPr>
      <w:r>
        <w:rPr>
          <w:rStyle w:val="CommentReference"/>
        </w:rPr>
        <w:annotationRef/>
      </w:r>
      <w:r>
        <w:t>This sentence was copied from Neutens, 2015. It should be rephrased.</w:t>
      </w:r>
    </w:p>
  </w:comment>
  <w:comment w:id="2" w:author="Won Do Lee" w:date="2021-12-08T23:45:00Z" w:initials="WDL">
    <w:p w14:paraId="13F2A198" w14:textId="3292FF91" w:rsidR="006B38D5" w:rsidRDefault="006B38D5" w:rsidP="006B38D5">
      <w:pPr>
        <w:pStyle w:val="CommentText"/>
      </w:pPr>
      <w:r>
        <w:rPr>
          <w:rStyle w:val="CommentReference"/>
        </w:rPr>
        <w:annotationRef/>
      </w:r>
      <w:r>
        <w:t>This sentence was copied from Ryan and Pereira, 2021. It should be rephrased.</w:t>
      </w:r>
    </w:p>
  </w:comment>
  <w:comment w:id="3" w:author="Won Do Lee" w:date="2021-12-20T02:16:00Z" w:initials="WDL">
    <w:p w14:paraId="234DD9EC" w14:textId="77777777" w:rsidR="001F6AC5" w:rsidRDefault="001F6AC5" w:rsidP="007A095B">
      <w:pPr>
        <w:pStyle w:val="CommentText"/>
      </w:pPr>
      <w:r>
        <w:rPr>
          <w:rStyle w:val="CommentReference"/>
        </w:rPr>
        <w:annotationRef/>
      </w:r>
      <w:r>
        <w:rPr>
          <w:lang w:val="en-US"/>
        </w:rPr>
        <w:t>Gordon, would you please update this part?</w:t>
      </w:r>
    </w:p>
  </w:comment>
  <w:comment w:id="4" w:author="Won Do Lee" w:date="2021-12-08T16:54:00Z" w:initials="WDL">
    <w:p w14:paraId="0848CA9A" w14:textId="7CAE0B25" w:rsidR="00F51040" w:rsidRDefault="004E03F5" w:rsidP="001F6AC5">
      <w:pPr>
        <w:pStyle w:val="CommentText"/>
      </w:pPr>
      <w:r>
        <w:rPr>
          <w:rStyle w:val="CommentReference"/>
        </w:rPr>
        <w:annotationRef/>
      </w:r>
      <w:r w:rsidR="00F51040">
        <w:t>Tim was kindly updated this, thanks.</w:t>
      </w:r>
    </w:p>
  </w:comment>
  <w:comment w:id="5" w:author="Won Do Lee" w:date="2021-12-08T22:00:00Z" w:initials="WDL">
    <w:p w14:paraId="125A49A4" w14:textId="77777777" w:rsidR="00F51040" w:rsidRDefault="00AD3548" w:rsidP="00730D68">
      <w:pPr>
        <w:pStyle w:val="CommentText"/>
      </w:pPr>
      <w:r>
        <w:rPr>
          <w:rStyle w:val="CommentReference"/>
        </w:rPr>
        <w:annotationRef/>
      </w:r>
      <w:r w:rsidR="00F51040">
        <w:t>Tim was kindly advised this,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D33EE1" w15:done="0"/>
  <w15:commentEx w15:paraId="0BDCD98F" w15:done="0"/>
  <w15:commentEx w15:paraId="13F2A198" w15:done="0"/>
  <w15:commentEx w15:paraId="234DD9EC" w15:done="0"/>
  <w15:commentEx w15:paraId="0848CA9A" w15:done="1"/>
  <w15:commentEx w15:paraId="125A49A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BCB1" w16cex:dateUtc="2021-12-08T14:22:00Z"/>
  <w16cex:commentExtensible w16cex:durableId="255BC1F8" w16cex:dateUtc="2021-12-08T14:44:00Z"/>
  <w16cex:commentExtensible w16cex:durableId="255BC207" w16cex:dateUtc="2021-12-08T14:45:00Z"/>
  <w16cex:commentExtensible w16cex:durableId="256A65F2" w16cex:dateUtc="2021-12-19T17:16:00Z"/>
  <w16cex:commentExtensible w16cex:durableId="255B61D6" w16cex:dateUtc="2021-12-08T07:54:00Z"/>
  <w16cex:commentExtensible w16cex:durableId="255BA963" w16cex:dateUtc="2021-12-08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D33EE1" w16cid:durableId="255BBCB1"/>
  <w16cid:commentId w16cid:paraId="0BDCD98F" w16cid:durableId="255BC1F8"/>
  <w16cid:commentId w16cid:paraId="13F2A198" w16cid:durableId="255BC207"/>
  <w16cid:commentId w16cid:paraId="234DD9EC" w16cid:durableId="256A65F2"/>
  <w16cid:commentId w16cid:paraId="0848CA9A" w16cid:durableId="255B61D6"/>
  <w16cid:commentId w16cid:paraId="125A49A4" w16cid:durableId="255BA9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5BFA4" w14:textId="77777777" w:rsidR="00E30D01" w:rsidRDefault="00E30D01" w:rsidP="00827D2D">
      <w:pPr>
        <w:spacing w:after="0" w:line="240" w:lineRule="auto"/>
      </w:pPr>
      <w:r>
        <w:separator/>
      </w:r>
    </w:p>
  </w:endnote>
  <w:endnote w:type="continuationSeparator" w:id="0">
    <w:p w14:paraId="2A718360" w14:textId="77777777" w:rsidR="00E30D01" w:rsidRDefault="00E30D01" w:rsidP="00827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15034" w14:textId="77777777" w:rsidR="00E30D01" w:rsidRDefault="00E30D01" w:rsidP="00827D2D">
      <w:pPr>
        <w:spacing w:after="0" w:line="240" w:lineRule="auto"/>
      </w:pPr>
      <w:r>
        <w:separator/>
      </w:r>
    </w:p>
  </w:footnote>
  <w:footnote w:type="continuationSeparator" w:id="0">
    <w:p w14:paraId="44FB21A1" w14:textId="77777777" w:rsidR="00E30D01" w:rsidRDefault="00E30D01" w:rsidP="00827D2D">
      <w:pPr>
        <w:spacing w:after="0" w:line="240" w:lineRule="auto"/>
      </w:pPr>
      <w:r>
        <w:continuationSeparator/>
      </w:r>
    </w:p>
  </w:footnote>
  <w:footnote w:id="1">
    <w:p w14:paraId="3896EC91" w14:textId="4CA0EB0D" w:rsidR="00827D2D" w:rsidRPr="00827D2D" w:rsidRDefault="00827D2D">
      <w:pPr>
        <w:pStyle w:val="FootnoteText"/>
        <w:rPr>
          <w:rFonts w:ascii="Calibri" w:hAnsi="Calibri" w:cs="Calibri"/>
        </w:rPr>
      </w:pPr>
      <w:r w:rsidRPr="00827D2D">
        <w:rPr>
          <w:rStyle w:val="FootnoteReference"/>
          <w:rFonts w:ascii="Calibri" w:hAnsi="Calibri" w:cs="Calibri"/>
        </w:rPr>
        <w:footnoteRef/>
      </w:r>
      <w:r w:rsidRPr="00827D2D">
        <w:rPr>
          <w:rFonts w:ascii="Calibri" w:hAnsi="Calibri" w:cs="Calibri"/>
        </w:rPr>
        <w:t xml:space="preserve"> Paper prepared for submission to the journal of </w:t>
      </w:r>
      <w:hyperlink r:id="rId1" w:history="1">
        <w:r w:rsidRPr="00827D2D">
          <w:rPr>
            <w:rStyle w:val="Hyperlink"/>
            <w:rFonts w:ascii="Calibri" w:hAnsi="Calibri" w:cs="Calibri"/>
            <w:i/>
            <w:iCs/>
          </w:rPr>
          <w:t>Social Science &amp; Medicine</w:t>
        </w:r>
      </w:hyperlink>
      <w:r w:rsidRPr="00827D2D">
        <w:rPr>
          <w:rFonts w:ascii="Calibri" w:hAnsi="Calibri" w:cs="Calibri"/>
        </w:rPr>
        <w:t>.</w:t>
      </w:r>
    </w:p>
  </w:footnote>
  <w:footnote w:id="2">
    <w:p w14:paraId="361F88E3" w14:textId="10AEEC85" w:rsidR="00827D2D" w:rsidRPr="00827D2D" w:rsidRDefault="00827D2D" w:rsidP="00827D2D">
      <w:pPr>
        <w:pStyle w:val="Default"/>
        <w:rPr>
          <w:sz w:val="20"/>
          <w:szCs w:val="20"/>
        </w:rPr>
      </w:pPr>
      <w:r w:rsidRPr="00827D2D">
        <w:rPr>
          <w:rStyle w:val="FootnoteReference"/>
          <w:sz w:val="20"/>
          <w:szCs w:val="20"/>
        </w:rPr>
        <w:footnoteRef/>
      </w:r>
      <w:r w:rsidRPr="00827D2D">
        <w:rPr>
          <w:sz w:val="20"/>
          <w:szCs w:val="20"/>
        </w:rPr>
        <w:t xml:space="preserve"> Transport Studies Unit, School of Geography and the Environment, University of Oxford.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6B0"/>
    <w:multiLevelType w:val="hybridMultilevel"/>
    <w:tmpl w:val="ED986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8463D"/>
    <w:multiLevelType w:val="hybridMultilevel"/>
    <w:tmpl w:val="8A74E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A56563"/>
    <w:multiLevelType w:val="hybridMultilevel"/>
    <w:tmpl w:val="6052BF8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A4664"/>
    <w:multiLevelType w:val="hybridMultilevel"/>
    <w:tmpl w:val="6E9CCF5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94B5BCB"/>
    <w:multiLevelType w:val="hybridMultilevel"/>
    <w:tmpl w:val="8DA0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F12DAC"/>
    <w:multiLevelType w:val="hybridMultilevel"/>
    <w:tmpl w:val="BADAC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B77578"/>
    <w:multiLevelType w:val="hybridMultilevel"/>
    <w:tmpl w:val="4DBEDE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3364B35"/>
    <w:multiLevelType w:val="hybridMultilevel"/>
    <w:tmpl w:val="0FE64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B91B5D"/>
    <w:multiLevelType w:val="hybridMultilevel"/>
    <w:tmpl w:val="6052BF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00688C"/>
    <w:multiLevelType w:val="hybridMultilevel"/>
    <w:tmpl w:val="329C0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B05415"/>
    <w:multiLevelType w:val="hybridMultilevel"/>
    <w:tmpl w:val="959AA012"/>
    <w:lvl w:ilvl="0" w:tplc="61D6C060">
      <w:start w:val="1"/>
      <w:numFmt w:val="decimal"/>
      <w:pStyle w:val="Heading2"/>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F03156D"/>
    <w:multiLevelType w:val="hybridMultilevel"/>
    <w:tmpl w:val="9A6C9FD6"/>
    <w:lvl w:ilvl="0" w:tplc="FFFFFFFF">
      <w:start w:val="1"/>
      <w:numFmt w:val="decimal"/>
      <w:lvlText w:val="%1."/>
      <w:lvlJc w:val="left"/>
      <w:pPr>
        <w:ind w:left="1080" w:hanging="360"/>
      </w:pPr>
    </w:lvl>
    <w:lvl w:ilvl="1" w:tplc="FFFFFFFF">
      <w:start w:val="1"/>
      <w:numFmt w:val="bullet"/>
      <w:lvlText w:val=""/>
      <w:lvlJc w:val="left"/>
      <w:pPr>
        <w:ind w:left="1800" w:hanging="360"/>
      </w:pPr>
      <w:rPr>
        <w:rFonts w:ascii="Symbol" w:hAnsi="Symbol" w:hint="default"/>
      </w:rPr>
    </w:lvl>
    <w:lvl w:ilvl="2" w:tplc="08090001">
      <w:start w:val="1"/>
      <w:numFmt w:val="bullet"/>
      <w:lvlText w:val=""/>
      <w:lvlJc w:val="left"/>
      <w:pPr>
        <w:ind w:left="2520" w:hanging="180"/>
      </w:pPr>
      <w:rPr>
        <w:rFonts w:ascii="Symbol" w:hAnsi="Symbol" w:hint="default"/>
        <w:color w:val="auto"/>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C162D95"/>
    <w:multiLevelType w:val="hybridMultilevel"/>
    <w:tmpl w:val="D33EAB6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1"/>
  </w:num>
  <w:num w:numId="2">
    <w:abstractNumId w:val="0"/>
  </w:num>
  <w:num w:numId="3">
    <w:abstractNumId w:val="5"/>
  </w:num>
  <w:num w:numId="4">
    <w:abstractNumId w:val="12"/>
  </w:num>
  <w:num w:numId="5">
    <w:abstractNumId w:val="2"/>
  </w:num>
  <w:num w:numId="6">
    <w:abstractNumId w:val="3"/>
  </w:num>
  <w:num w:numId="7">
    <w:abstractNumId w:val="6"/>
  </w:num>
  <w:num w:numId="8">
    <w:abstractNumId w:val="10"/>
  </w:num>
  <w:num w:numId="9">
    <w:abstractNumId w:val="1"/>
  </w:num>
  <w:num w:numId="10">
    <w:abstractNumId w:val="8"/>
  </w:num>
  <w:num w:numId="11">
    <w:abstractNumId w:val="10"/>
    <w:lvlOverride w:ilvl="0">
      <w:startOverride w:val="1"/>
    </w:lvlOverride>
  </w:num>
  <w:num w:numId="12">
    <w:abstractNumId w:val="9"/>
  </w:num>
  <w:num w:numId="13">
    <w:abstractNumId w:val="7"/>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MDA1NjczNTW0MLNU0lEKTi0uzszPAykwrQUATwMJEywAAAA="/>
  </w:docVars>
  <w:rsids>
    <w:rsidRoot w:val="000C43F2"/>
    <w:rsid w:val="00007AEC"/>
    <w:rsid w:val="000153DD"/>
    <w:rsid w:val="0002532C"/>
    <w:rsid w:val="000262F7"/>
    <w:rsid w:val="00026576"/>
    <w:rsid w:val="000379C6"/>
    <w:rsid w:val="00063412"/>
    <w:rsid w:val="00070845"/>
    <w:rsid w:val="000B0332"/>
    <w:rsid w:val="000B22A9"/>
    <w:rsid w:val="000C43F2"/>
    <w:rsid w:val="000D09B3"/>
    <w:rsid w:val="000D49C1"/>
    <w:rsid w:val="000F3114"/>
    <w:rsid w:val="00101B26"/>
    <w:rsid w:val="0010695D"/>
    <w:rsid w:val="00123878"/>
    <w:rsid w:val="0012493D"/>
    <w:rsid w:val="001453C6"/>
    <w:rsid w:val="00147CA6"/>
    <w:rsid w:val="00161974"/>
    <w:rsid w:val="00164EC9"/>
    <w:rsid w:val="0017147E"/>
    <w:rsid w:val="00174865"/>
    <w:rsid w:val="00174931"/>
    <w:rsid w:val="001A4BB7"/>
    <w:rsid w:val="001B08DF"/>
    <w:rsid w:val="001D549E"/>
    <w:rsid w:val="001E1457"/>
    <w:rsid w:val="001F6AC5"/>
    <w:rsid w:val="002162B1"/>
    <w:rsid w:val="00237B29"/>
    <w:rsid w:val="002503EF"/>
    <w:rsid w:val="00256E24"/>
    <w:rsid w:val="00257115"/>
    <w:rsid w:val="002831E9"/>
    <w:rsid w:val="00293BCD"/>
    <w:rsid w:val="002963C1"/>
    <w:rsid w:val="002A31A1"/>
    <w:rsid w:val="002C0114"/>
    <w:rsid w:val="002C527F"/>
    <w:rsid w:val="003125E7"/>
    <w:rsid w:val="00315475"/>
    <w:rsid w:val="003308D7"/>
    <w:rsid w:val="00330AF3"/>
    <w:rsid w:val="00330D69"/>
    <w:rsid w:val="003349EB"/>
    <w:rsid w:val="00352BF0"/>
    <w:rsid w:val="003561A4"/>
    <w:rsid w:val="00363038"/>
    <w:rsid w:val="003660CF"/>
    <w:rsid w:val="00366E18"/>
    <w:rsid w:val="00376248"/>
    <w:rsid w:val="003E3C2E"/>
    <w:rsid w:val="003E3DBF"/>
    <w:rsid w:val="004237B2"/>
    <w:rsid w:val="00426605"/>
    <w:rsid w:val="004540ED"/>
    <w:rsid w:val="00456B11"/>
    <w:rsid w:val="0047441B"/>
    <w:rsid w:val="004752CE"/>
    <w:rsid w:val="00494DF9"/>
    <w:rsid w:val="004C4C44"/>
    <w:rsid w:val="004D3A11"/>
    <w:rsid w:val="004D4179"/>
    <w:rsid w:val="004E03F5"/>
    <w:rsid w:val="00510864"/>
    <w:rsid w:val="00511181"/>
    <w:rsid w:val="00522D0D"/>
    <w:rsid w:val="005268F7"/>
    <w:rsid w:val="00531D3C"/>
    <w:rsid w:val="00557EE2"/>
    <w:rsid w:val="005766D3"/>
    <w:rsid w:val="00580720"/>
    <w:rsid w:val="00581D60"/>
    <w:rsid w:val="005D62C1"/>
    <w:rsid w:val="005E16A5"/>
    <w:rsid w:val="005F6E9F"/>
    <w:rsid w:val="006029BA"/>
    <w:rsid w:val="006057DD"/>
    <w:rsid w:val="00622110"/>
    <w:rsid w:val="0062661A"/>
    <w:rsid w:val="00636A0F"/>
    <w:rsid w:val="006870F3"/>
    <w:rsid w:val="006942D4"/>
    <w:rsid w:val="006A0AEC"/>
    <w:rsid w:val="006A30BE"/>
    <w:rsid w:val="006B38D5"/>
    <w:rsid w:val="006C5B26"/>
    <w:rsid w:val="006D5155"/>
    <w:rsid w:val="006D5E48"/>
    <w:rsid w:val="006E5773"/>
    <w:rsid w:val="006F389E"/>
    <w:rsid w:val="00753490"/>
    <w:rsid w:val="00765D7C"/>
    <w:rsid w:val="00771833"/>
    <w:rsid w:val="007928FB"/>
    <w:rsid w:val="00793873"/>
    <w:rsid w:val="007A1779"/>
    <w:rsid w:val="007C266A"/>
    <w:rsid w:val="007E3E86"/>
    <w:rsid w:val="007F4B90"/>
    <w:rsid w:val="007F6C1C"/>
    <w:rsid w:val="008012FC"/>
    <w:rsid w:val="00826EA7"/>
    <w:rsid w:val="00827D2D"/>
    <w:rsid w:val="00830E6B"/>
    <w:rsid w:val="0083121B"/>
    <w:rsid w:val="00837F49"/>
    <w:rsid w:val="00846970"/>
    <w:rsid w:val="00847C3A"/>
    <w:rsid w:val="00851397"/>
    <w:rsid w:val="00864616"/>
    <w:rsid w:val="008746C1"/>
    <w:rsid w:val="008A7191"/>
    <w:rsid w:val="008B6AAB"/>
    <w:rsid w:val="008D50BC"/>
    <w:rsid w:val="008E01FD"/>
    <w:rsid w:val="008F05E7"/>
    <w:rsid w:val="008F1981"/>
    <w:rsid w:val="00907381"/>
    <w:rsid w:val="0094296F"/>
    <w:rsid w:val="009434C5"/>
    <w:rsid w:val="00961B7F"/>
    <w:rsid w:val="009C3C86"/>
    <w:rsid w:val="009C438D"/>
    <w:rsid w:val="00A0359F"/>
    <w:rsid w:val="00A16071"/>
    <w:rsid w:val="00A43BE3"/>
    <w:rsid w:val="00A5247E"/>
    <w:rsid w:val="00A60602"/>
    <w:rsid w:val="00A60829"/>
    <w:rsid w:val="00A70778"/>
    <w:rsid w:val="00A70831"/>
    <w:rsid w:val="00A732FC"/>
    <w:rsid w:val="00A8737E"/>
    <w:rsid w:val="00AA1BFF"/>
    <w:rsid w:val="00AA644B"/>
    <w:rsid w:val="00AB1EB0"/>
    <w:rsid w:val="00AC0F2D"/>
    <w:rsid w:val="00AC3580"/>
    <w:rsid w:val="00AD1013"/>
    <w:rsid w:val="00AD3548"/>
    <w:rsid w:val="00AE6D80"/>
    <w:rsid w:val="00B02358"/>
    <w:rsid w:val="00B034D9"/>
    <w:rsid w:val="00B21275"/>
    <w:rsid w:val="00B30A99"/>
    <w:rsid w:val="00B3700D"/>
    <w:rsid w:val="00B3777B"/>
    <w:rsid w:val="00B42874"/>
    <w:rsid w:val="00B4681D"/>
    <w:rsid w:val="00B520E9"/>
    <w:rsid w:val="00B53093"/>
    <w:rsid w:val="00B754B8"/>
    <w:rsid w:val="00B964F5"/>
    <w:rsid w:val="00BA791F"/>
    <w:rsid w:val="00BB2C73"/>
    <w:rsid w:val="00BE6BDF"/>
    <w:rsid w:val="00BF0834"/>
    <w:rsid w:val="00C15905"/>
    <w:rsid w:val="00C16981"/>
    <w:rsid w:val="00C17622"/>
    <w:rsid w:val="00C25B17"/>
    <w:rsid w:val="00C26D2A"/>
    <w:rsid w:val="00C56925"/>
    <w:rsid w:val="00C601B0"/>
    <w:rsid w:val="00C65CBB"/>
    <w:rsid w:val="00C8015D"/>
    <w:rsid w:val="00C91B9D"/>
    <w:rsid w:val="00C93EF1"/>
    <w:rsid w:val="00C95E95"/>
    <w:rsid w:val="00CA08D0"/>
    <w:rsid w:val="00CB70E4"/>
    <w:rsid w:val="00CC2EA9"/>
    <w:rsid w:val="00CD6FEF"/>
    <w:rsid w:val="00CE3933"/>
    <w:rsid w:val="00D20907"/>
    <w:rsid w:val="00D2217D"/>
    <w:rsid w:val="00D4028E"/>
    <w:rsid w:val="00D41359"/>
    <w:rsid w:val="00D4176D"/>
    <w:rsid w:val="00D47472"/>
    <w:rsid w:val="00D51C4F"/>
    <w:rsid w:val="00D56C9D"/>
    <w:rsid w:val="00D713D7"/>
    <w:rsid w:val="00D84563"/>
    <w:rsid w:val="00D91328"/>
    <w:rsid w:val="00D923BF"/>
    <w:rsid w:val="00DB4B2C"/>
    <w:rsid w:val="00DC187E"/>
    <w:rsid w:val="00DD1F16"/>
    <w:rsid w:val="00E02AAB"/>
    <w:rsid w:val="00E03730"/>
    <w:rsid w:val="00E30D01"/>
    <w:rsid w:val="00E31F46"/>
    <w:rsid w:val="00E336FF"/>
    <w:rsid w:val="00E377F3"/>
    <w:rsid w:val="00E50F73"/>
    <w:rsid w:val="00E66798"/>
    <w:rsid w:val="00E71CD4"/>
    <w:rsid w:val="00E85539"/>
    <w:rsid w:val="00EB47AC"/>
    <w:rsid w:val="00EC01D4"/>
    <w:rsid w:val="00ED024C"/>
    <w:rsid w:val="00ED3E9D"/>
    <w:rsid w:val="00EE009E"/>
    <w:rsid w:val="00EE4876"/>
    <w:rsid w:val="00F12DDA"/>
    <w:rsid w:val="00F15833"/>
    <w:rsid w:val="00F158F5"/>
    <w:rsid w:val="00F263B8"/>
    <w:rsid w:val="00F269E2"/>
    <w:rsid w:val="00F4600D"/>
    <w:rsid w:val="00F51040"/>
    <w:rsid w:val="00F74AC6"/>
    <w:rsid w:val="00F810C0"/>
    <w:rsid w:val="00F97353"/>
    <w:rsid w:val="00FA2E72"/>
    <w:rsid w:val="00FA305D"/>
    <w:rsid w:val="00FA40BE"/>
    <w:rsid w:val="00FA6A2D"/>
    <w:rsid w:val="00FC6B41"/>
    <w:rsid w:val="00FF31B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3F886"/>
  <w15:chartTrackingRefBased/>
  <w15:docId w15:val="{24CB6E18-C2BE-4CCF-9589-E714BFCA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9EB"/>
    <w:pPr>
      <w:widowControl w:val="0"/>
      <w:wordWrap w:val="0"/>
      <w:autoSpaceDE w:val="0"/>
      <w:autoSpaceDN w:val="0"/>
    </w:pPr>
  </w:style>
  <w:style w:type="paragraph" w:styleId="Heading1">
    <w:name w:val="heading 1"/>
    <w:basedOn w:val="Normal"/>
    <w:next w:val="Normal"/>
    <w:link w:val="Heading1Char"/>
    <w:uiPriority w:val="9"/>
    <w:qFormat/>
    <w:rsid w:val="00C16981"/>
    <w:pPr>
      <w:keepNext/>
      <w:keepLines/>
      <w:spacing w:after="240" w:line="276" w:lineRule="auto"/>
      <w:outlineLvl w:val="0"/>
    </w:pPr>
    <w:rPr>
      <w:rFonts w:ascii="Calibri" w:eastAsiaTheme="majorEastAsia" w:hAnsi="Calibri" w:cs="Calibri"/>
      <w:b/>
      <w:bCs/>
      <w:sz w:val="32"/>
      <w:szCs w:val="32"/>
    </w:rPr>
  </w:style>
  <w:style w:type="paragraph" w:styleId="Heading2">
    <w:name w:val="heading 2"/>
    <w:basedOn w:val="Normal"/>
    <w:next w:val="Normal"/>
    <w:link w:val="Heading2Char"/>
    <w:uiPriority w:val="9"/>
    <w:unhideWhenUsed/>
    <w:qFormat/>
    <w:rsid w:val="004E03F5"/>
    <w:pPr>
      <w:numPr>
        <w:numId w:val="8"/>
      </w:numPr>
      <w:spacing w:after="0" w:line="276" w:lineRule="auto"/>
      <w:outlineLvl w:val="1"/>
    </w:pPr>
    <w:rPr>
      <w:rFonts w:ascii="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43F2"/>
    <w:rPr>
      <w:color w:val="0563C1" w:themeColor="hyperlink"/>
      <w:u w:val="single"/>
    </w:rPr>
  </w:style>
  <w:style w:type="character" w:styleId="UnresolvedMention">
    <w:name w:val="Unresolved Mention"/>
    <w:basedOn w:val="DefaultParagraphFont"/>
    <w:uiPriority w:val="99"/>
    <w:semiHidden/>
    <w:unhideWhenUsed/>
    <w:rsid w:val="000C43F2"/>
    <w:rPr>
      <w:color w:val="605E5C"/>
      <w:shd w:val="clear" w:color="auto" w:fill="E1DFDD"/>
    </w:rPr>
  </w:style>
  <w:style w:type="paragraph" w:styleId="ListParagraph">
    <w:name w:val="List Paragraph"/>
    <w:basedOn w:val="Normal"/>
    <w:uiPriority w:val="34"/>
    <w:qFormat/>
    <w:rsid w:val="000C43F2"/>
    <w:pPr>
      <w:spacing w:after="0" w:line="276" w:lineRule="auto"/>
      <w:ind w:left="720"/>
      <w:contextualSpacing/>
    </w:pPr>
    <w:rPr>
      <w:rFonts w:ascii="Calibri" w:hAnsi="Calibri" w:cs="Calibri"/>
    </w:rPr>
  </w:style>
  <w:style w:type="table" w:styleId="GridTable1Light">
    <w:name w:val="Grid Table 1 Light"/>
    <w:basedOn w:val="TableNormal"/>
    <w:uiPriority w:val="46"/>
    <w:rsid w:val="000C43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237B2"/>
    <w:pPr>
      <w:keepNext/>
      <w:spacing w:after="0" w:line="276" w:lineRule="auto"/>
    </w:pPr>
    <w:rPr>
      <w:rFonts w:ascii="Calibri" w:hAnsi="Calibri" w:cs="Calibri"/>
      <w:b/>
      <w:bCs/>
    </w:rPr>
  </w:style>
  <w:style w:type="character" w:styleId="PlaceholderText">
    <w:name w:val="Placeholder Text"/>
    <w:basedOn w:val="DefaultParagraphFont"/>
    <w:uiPriority w:val="99"/>
    <w:semiHidden/>
    <w:rsid w:val="00B3777B"/>
    <w:rPr>
      <w:color w:val="808080"/>
    </w:rPr>
  </w:style>
  <w:style w:type="paragraph" w:styleId="Title">
    <w:name w:val="Title"/>
    <w:basedOn w:val="Normal"/>
    <w:next w:val="Normal"/>
    <w:link w:val="TitleChar"/>
    <w:uiPriority w:val="10"/>
    <w:qFormat/>
    <w:rsid w:val="00F269E2"/>
    <w:pPr>
      <w:spacing w:after="240" w:line="276" w:lineRule="auto"/>
    </w:pPr>
    <w:rPr>
      <w:rFonts w:ascii="Calibri" w:hAnsi="Calibri" w:cs="Calibri"/>
      <w:b/>
      <w:bCs/>
      <w:sz w:val="40"/>
      <w:szCs w:val="40"/>
    </w:rPr>
  </w:style>
  <w:style w:type="character" w:customStyle="1" w:styleId="TitleChar">
    <w:name w:val="Title Char"/>
    <w:basedOn w:val="DefaultParagraphFont"/>
    <w:link w:val="Title"/>
    <w:uiPriority w:val="10"/>
    <w:rsid w:val="00F269E2"/>
    <w:rPr>
      <w:rFonts w:ascii="Calibri" w:hAnsi="Calibri" w:cs="Calibri"/>
      <w:b/>
      <w:bCs/>
      <w:sz w:val="40"/>
      <w:szCs w:val="40"/>
    </w:rPr>
  </w:style>
  <w:style w:type="character" w:styleId="CommentReference">
    <w:name w:val="annotation reference"/>
    <w:basedOn w:val="DefaultParagraphFont"/>
    <w:uiPriority w:val="99"/>
    <w:semiHidden/>
    <w:unhideWhenUsed/>
    <w:rsid w:val="00F269E2"/>
    <w:rPr>
      <w:sz w:val="16"/>
      <w:szCs w:val="16"/>
    </w:rPr>
  </w:style>
  <w:style w:type="paragraph" w:styleId="CommentText">
    <w:name w:val="annotation text"/>
    <w:basedOn w:val="Normal"/>
    <w:link w:val="CommentTextChar"/>
    <w:uiPriority w:val="99"/>
    <w:unhideWhenUsed/>
    <w:rsid w:val="00F269E2"/>
    <w:pPr>
      <w:spacing w:after="0" w:line="240" w:lineRule="auto"/>
    </w:pPr>
    <w:rPr>
      <w:rFonts w:ascii="Calibri" w:hAnsi="Calibri" w:cs="Calibri"/>
      <w:sz w:val="20"/>
      <w:szCs w:val="20"/>
    </w:rPr>
  </w:style>
  <w:style w:type="character" w:customStyle="1" w:styleId="CommentTextChar">
    <w:name w:val="Comment Text Char"/>
    <w:basedOn w:val="DefaultParagraphFont"/>
    <w:link w:val="CommentText"/>
    <w:uiPriority w:val="99"/>
    <w:rsid w:val="00F269E2"/>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F269E2"/>
    <w:pPr>
      <w:spacing w:after="160"/>
    </w:pPr>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F269E2"/>
    <w:rPr>
      <w:rFonts w:ascii="Calibri" w:hAnsi="Calibri" w:cs="Calibri"/>
      <w:b/>
      <w:bCs/>
      <w:sz w:val="20"/>
      <w:szCs w:val="20"/>
    </w:rPr>
  </w:style>
  <w:style w:type="character" w:customStyle="1" w:styleId="Heading1Char">
    <w:name w:val="Heading 1 Char"/>
    <w:basedOn w:val="DefaultParagraphFont"/>
    <w:link w:val="Heading1"/>
    <w:uiPriority w:val="9"/>
    <w:rsid w:val="00C16981"/>
    <w:rPr>
      <w:rFonts w:ascii="Calibri" w:eastAsiaTheme="majorEastAsia" w:hAnsi="Calibri" w:cs="Calibri"/>
      <w:b/>
      <w:bCs/>
      <w:sz w:val="32"/>
      <w:szCs w:val="32"/>
    </w:rPr>
  </w:style>
  <w:style w:type="character" w:customStyle="1" w:styleId="Heading2Char">
    <w:name w:val="Heading 2 Char"/>
    <w:basedOn w:val="DefaultParagraphFont"/>
    <w:link w:val="Heading2"/>
    <w:uiPriority w:val="9"/>
    <w:rsid w:val="004E03F5"/>
    <w:rPr>
      <w:rFonts w:ascii="Calibri" w:hAnsi="Calibri" w:cs="Calibri"/>
      <w:b/>
      <w:bCs/>
      <w:sz w:val="28"/>
      <w:szCs w:val="28"/>
    </w:rPr>
  </w:style>
  <w:style w:type="paragraph" w:styleId="NormalWeb">
    <w:name w:val="Normal (Web)"/>
    <w:basedOn w:val="Normal"/>
    <w:uiPriority w:val="99"/>
    <w:unhideWhenUsed/>
    <w:rsid w:val="001453C6"/>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5766D3"/>
    <w:pPr>
      <w:spacing w:after="0" w:line="240" w:lineRule="auto"/>
    </w:pPr>
  </w:style>
  <w:style w:type="table" w:styleId="TableGrid">
    <w:name w:val="Table Grid"/>
    <w:basedOn w:val="TableNormal"/>
    <w:uiPriority w:val="39"/>
    <w:rsid w:val="009C4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27D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2D"/>
    <w:rPr>
      <w:sz w:val="20"/>
      <w:szCs w:val="20"/>
    </w:rPr>
  </w:style>
  <w:style w:type="character" w:styleId="FootnoteReference">
    <w:name w:val="footnote reference"/>
    <w:basedOn w:val="DefaultParagraphFont"/>
    <w:uiPriority w:val="99"/>
    <w:semiHidden/>
    <w:unhideWhenUsed/>
    <w:rsid w:val="00827D2D"/>
    <w:rPr>
      <w:vertAlign w:val="superscript"/>
    </w:rPr>
  </w:style>
  <w:style w:type="paragraph" w:customStyle="1" w:styleId="Default">
    <w:name w:val="Default"/>
    <w:rsid w:val="00827D2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212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275"/>
  </w:style>
  <w:style w:type="paragraph" w:styleId="Footer">
    <w:name w:val="footer"/>
    <w:basedOn w:val="Normal"/>
    <w:link w:val="FooterChar"/>
    <w:uiPriority w:val="99"/>
    <w:unhideWhenUsed/>
    <w:rsid w:val="00B212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32729">
      <w:bodyDiv w:val="1"/>
      <w:marLeft w:val="0"/>
      <w:marRight w:val="0"/>
      <w:marTop w:val="0"/>
      <w:marBottom w:val="0"/>
      <w:divBdr>
        <w:top w:val="none" w:sz="0" w:space="0" w:color="auto"/>
        <w:left w:val="none" w:sz="0" w:space="0" w:color="auto"/>
        <w:bottom w:val="none" w:sz="0" w:space="0" w:color="auto"/>
        <w:right w:val="none" w:sz="0" w:space="0" w:color="auto"/>
      </w:divBdr>
    </w:div>
    <w:div w:id="564684989">
      <w:bodyDiv w:val="1"/>
      <w:marLeft w:val="0"/>
      <w:marRight w:val="0"/>
      <w:marTop w:val="0"/>
      <w:marBottom w:val="0"/>
      <w:divBdr>
        <w:top w:val="none" w:sz="0" w:space="0" w:color="auto"/>
        <w:left w:val="none" w:sz="0" w:space="0" w:color="auto"/>
        <w:bottom w:val="none" w:sz="0" w:space="0" w:color="auto"/>
        <w:right w:val="none" w:sz="0" w:space="0" w:color="auto"/>
      </w:divBdr>
    </w:div>
    <w:div w:id="948859077">
      <w:bodyDiv w:val="1"/>
      <w:marLeft w:val="0"/>
      <w:marRight w:val="0"/>
      <w:marTop w:val="0"/>
      <w:marBottom w:val="0"/>
      <w:divBdr>
        <w:top w:val="none" w:sz="0" w:space="0" w:color="auto"/>
        <w:left w:val="none" w:sz="0" w:space="0" w:color="auto"/>
        <w:bottom w:val="none" w:sz="0" w:space="0" w:color="auto"/>
        <w:right w:val="none" w:sz="0" w:space="0" w:color="auto"/>
      </w:divBdr>
    </w:div>
    <w:div w:id="1032611552">
      <w:bodyDiv w:val="1"/>
      <w:marLeft w:val="0"/>
      <w:marRight w:val="0"/>
      <w:marTop w:val="0"/>
      <w:marBottom w:val="0"/>
      <w:divBdr>
        <w:top w:val="none" w:sz="0" w:space="0" w:color="auto"/>
        <w:left w:val="none" w:sz="0" w:space="0" w:color="auto"/>
        <w:bottom w:val="none" w:sz="0" w:space="0" w:color="auto"/>
        <w:right w:val="none" w:sz="0" w:space="0" w:color="auto"/>
      </w:divBdr>
    </w:div>
    <w:div w:id="1493134446">
      <w:bodyDiv w:val="1"/>
      <w:marLeft w:val="0"/>
      <w:marRight w:val="0"/>
      <w:marTop w:val="0"/>
      <w:marBottom w:val="0"/>
      <w:divBdr>
        <w:top w:val="none" w:sz="0" w:space="0" w:color="auto"/>
        <w:left w:val="none" w:sz="0" w:space="0" w:color="auto"/>
        <w:bottom w:val="none" w:sz="0" w:space="0" w:color="auto"/>
        <w:right w:val="none" w:sz="0" w:space="0" w:color="auto"/>
      </w:divBdr>
    </w:div>
    <w:div w:id="1506480425">
      <w:bodyDiv w:val="1"/>
      <w:marLeft w:val="0"/>
      <w:marRight w:val="0"/>
      <w:marTop w:val="0"/>
      <w:marBottom w:val="0"/>
      <w:divBdr>
        <w:top w:val="none" w:sz="0" w:space="0" w:color="auto"/>
        <w:left w:val="none" w:sz="0" w:space="0" w:color="auto"/>
        <w:bottom w:val="none" w:sz="0" w:space="0" w:color="auto"/>
        <w:right w:val="none" w:sz="0" w:space="0" w:color="auto"/>
      </w:divBdr>
    </w:div>
    <w:div w:id="1533766633">
      <w:bodyDiv w:val="1"/>
      <w:marLeft w:val="0"/>
      <w:marRight w:val="0"/>
      <w:marTop w:val="0"/>
      <w:marBottom w:val="0"/>
      <w:divBdr>
        <w:top w:val="none" w:sz="0" w:space="0" w:color="auto"/>
        <w:left w:val="none" w:sz="0" w:space="0" w:color="auto"/>
        <w:bottom w:val="none" w:sz="0" w:space="0" w:color="auto"/>
        <w:right w:val="none" w:sz="0" w:space="0" w:color="auto"/>
      </w:divBdr>
    </w:div>
    <w:div w:id="1794791117">
      <w:bodyDiv w:val="1"/>
      <w:marLeft w:val="0"/>
      <w:marRight w:val="0"/>
      <w:marTop w:val="0"/>
      <w:marBottom w:val="0"/>
      <w:divBdr>
        <w:top w:val="none" w:sz="0" w:space="0" w:color="auto"/>
        <w:left w:val="none" w:sz="0" w:space="0" w:color="auto"/>
        <w:bottom w:val="none" w:sz="0" w:space="0" w:color="auto"/>
        <w:right w:val="none" w:sz="0" w:space="0" w:color="auto"/>
      </w:divBdr>
    </w:div>
    <w:div w:id="1909219355">
      <w:bodyDiv w:val="1"/>
      <w:marLeft w:val="0"/>
      <w:marRight w:val="0"/>
      <w:marTop w:val="0"/>
      <w:marBottom w:val="0"/>
      <w:divBdr>
        <w:top w:val="none" w:sz="0" w:space="0" w:color="auto"/>
        <w:left w:val="none" w:sz="0" w:space="0" w:color="auto"/>
        <w:bottom w:val="none" w:sz="0" w:space="0" w:color="auto"/>
        <w:right w:val="none" w:sz="0" w:space="0" w:color="auto"/>
      </w:divBdr>
    </w:div>
    <w:div w:id="1996030211">
      <w:bodyDiv w:val="1"/>
      <w:marLeft w:val="0"/>
      <w:marRight w:val="0"/>
      <w:marTop w:val="0"/>
      <w:marBottom w:val="0"/>
      <w:divBdr>
        <w:top w:val="none" w:sz="0" w:space="0" w:color="auto"/>
        <w:left w:val="none" w:sz="0" w:space="0" w:color="auto"/>
        <w:bottom w:val="none" w:sz="0" w:space="0" w:color="auto"/>
        <w:right w:val="none" w:sz="0" w:space="0" w:color="auto"/>
      </w:divBdr>
    </w:div>
    <w:div w:id="204971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wondo.lee@ouce.ox.ac.uk"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ocial-science-and-medicin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C6BE9-1868-4882-9756-41D9F85F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17</Pages>
  <Words>6560</Words>
  <Characters>37395</Characters>
  <Application>Microsoft Office Word</Application>
  <DocSecurity>0</DocSecurity>
  <Lines>311</Lines>
  <Paragraphs>87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Authors</vt:lpstr>
      <vt:lpstr>Abstracts </vt:lpstr>
      <vt:lpstr>Paper structure</vt:lpstr>
      <vt:lpstr>    Introduction (ALL)</vt:lpstr>
      <vt:lpstr>    Related works (WDL &amp; ALL)</vt:lpstr>
      <vt:lpstr>    Data &amp; methods (WDL)</vt:lpstr>
      <vt:lpstr>    Analysis results (WDL)</vt:lpstr>
      <vt:lpstr>    Discussion and conclusions (ALL)</vt:lpstr>
      <vt:lpstr>Bibliography</vt:lpstr>
      <vt:lpstr>Appendix</vt:lpstr>
      <vt:lpstr>    Why 45min for car?</vt:lpstr>
      <vt:lpstr>    Why 60min for public transportation at pm 12?</vt:lpstr>
    </vt:vector>
  </TitlesOfParts>
  <Company/>
  <LinksUpToDate>false</LinksUpToDate>
  <CharactersWithSpaces>43868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169</cp:revision>
  <dcterms:created xsi:type="dcterms:W3CDTF">2021-12-08T07:22:00Z</dcterms:created>
  <dcterms:modified xsi:type="dcterms:W3CDTF">2021-12-19T17:30:00Z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http://www.zotero.org/styles/bmj-open</vt:lpwstr>
  </property>
  <property fmtid="{D5CDD505-2E9C-101B-9397-08002B2CF9AE}" pid="5" name="Mendeley Recent Style Name 1_1">
    <vt:lpwstr>BMJ Open</vt:lpwstr>
  </property>
  <property fmtid="{D5CDD505-2E9C-101B-9397-08002B2CF9AE}" pid="6" name="Mendeley Recent Style Id 2_1">
    <vt:lpwstr>http://www.zotero.org/styles/health-and-place</vt:lpwstr>
  </property>
  <property fmtid="{D5CDD505-2E9C-101B-9397-08002B2CF9AE}" pid="7" name="Mendeley Recent Style Name 2_1">
    <vt:lpwstr>Health and Place</vt:lpwstr>
  </property>
  <property fmtid="{D5CDD505-2E9C-101B-9397-08002B2CF9AE}" pid="8" name="Mendeley Recent Style Id 3_1">
    <vt:lpwstr>http://www.zotero.org/styles/journal-of-the-royal-society-interface</vt:lpwstr>
  </property>
  <property fmtid="{D5CDD505-2E9C-101B-9397-08002B2CF9AE}" pid="9" name="Mendeley Recent Style Name 3_1">
    <vt:lpwstr>Journal of the Royal Society Interface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http://www.zotero.org/styles/royal-society-open-science</vt:lpwstr>
  </property>
  <property fmtid="{D5CDD505-2E9C-101B-9397-08002B2CF9AE}" pid="15" name="Mendeley Recent Style Name 6_1">
    <vt:lpwstr>Royal Society Open Science</vt:lpwstr>
  </property>
  <property fmtid="{D5CDD505-2E9C-101B-9397-08002B2CF9AE}" pid="16" name="Mendeley Recent Style Id 7_1">
    <vt:lpwstr>http://www.zotero.org/styles/social-science-and-medicine</vt:lpwstr>
  </property>
  <property fmtid="{D5CDD505-2E9C-101B-9397-08002B2CF9AE}" pid="17" name="Mendeley Recent Style Name 7_1">
    <vt:lpwstr>Social Science &amp; Medicine</vt:lpwstr>
  </property>
  <property fmtid="{D5CDD505-2E9C-101B-9397-08002B2CF9AE}" pid="18" name="Mendeley Recent Style Id 8_1">
    <vt:lpwstr>http://www.zotero.org/styles/sustainable-cities-and-society</vt:lpwstr>
  </property>
  <property fmtid="{D5CDD505-2E9C-101B-9397-08002B2CF9AE}" pid="19" name="Mendeley Recent Style Name 8_1">
    <vt:lpwstr>Sustainable Cities and Society</vt:lpwstr>
  </property>
  <property fmtid="{D5CDD505-2E9C-101B-9397-08002B2CF9AE}" pid="20" name="Mendeley Recent Style Id 9_1">
    <vt:lpwstr>http://www.zotero.org/styles/transportation-research-part-d</vt:lpwstr>
  </property>
  <property fmtid="{D5CDD505-2E9C-101B-9397-08002B2CF9AE}" pid="21" name="Mendeley Recent Style Name 9_1">
    <vt:lpwstr>Transportation Research Part D</vt:lpwstr>
  </property>
  <property fmtid="{D5CDD505-2E9C-101B-9397-08002B2CF9AE}" pid="22" name="Mendeley Document_1">
    <vt:lpwstr>True</vt:lpwstr>
  </property>
  <property fmtid="{D5CDD505-2E9C-101B-9397-08002B2CF9AE}" pid="23" name="Mendeley Citation Style_1">
    <vt:lpwstr>http://www.zotero.org/styles/social-science-and-medicine</vt:lpwstr>
  </property>
  <property fmtid="{D5CDD505-2E9C-101B-9397-08002B2CF9AE}" pid="24" name="Mendeley Unique User Id_1">
    <vt:lpwstr>dae426aa-b82e-3b10-8d3c-4e8c70f6a47c</vt:lpwstr>
  </property>
</Properties>
</file>