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2B93" w:rsidRPr="001C5663" w:rsidRDefault="0000000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t>Introduction</w:t>
      </w:r>
    </w:p>
    <w:p w14:paraId="00000002" w14:textId="633A274E" w:rsidR="00822B93" w:rsidRPr="001C5663" w:rsidRDefault="00000000" w:rsidP="001C5663">
      <w:pPr>
        <w:rPr>
          <w:rFonts w:asciiTheme="majorHAnsi" w:eastAsia="Noto Sans" w:hAnsiTheme="majorHAnsi" w:cstheme="majorHAnsi"/>
        </w:rPr>
      </w:pPr>
      <w:r w:rsidRPr="001C5663">
        <w:rPr>
          <w:rFonts w:asciiTheme="majorHAnsi" w:eastAsia="Noto Sans" w:hAnsiTheme="majorHAnsi" w:cstheme="majorHAnsi"/>
        </w:rPr>
        <w:t xml:space="preserve">The COVID-19 pandemic has rapidly </w:t>
      </w:r>
      <w:r w:rsidR="00770E7B" w:rsidRPr="001C5663">
        <w:rPr>
          <w:rFonts w:asciiTheme="majorHAnsi" w:eastAsia="Noto Sans" w:hAnsiTheme="majorHAnsi" w:cstheme="majorHAnsi"/>
        </w:rPr>
        <w:t>changed</w:t>
      </w:r>
      <w:r w:rsidRPr="001C5663">
        <w:rPr>
          <w:rFonts w:asciiTheme="majorHAnsi" w:eastAsia="Noto Sans" w:hAnsiTheme="majorHAnsi" w:cstheme="majorHAnsi"/>
        </w:rPr>
        <w:t xml:space="preserve"> our </w:t>
      </w:r>
      <w:r w:rsidR="00770E7B" w:rsidRPr="001C5663">
        <w:rPr>
          <w:rFonts w:asciiTheme="majorHAnsi" w:eastAsia="Noto Sans" w:hAnsiTheme="majorHAnsi" w:cstheme="majorHAnsi"/>
        </w:rPr>
        <w:t>daily</w:t>
      </w:r>
      <w:r w:rsidRPr="001C5663">
        <w:rPr>
          <w:rFonts w:asciiTheme="majorHAnsi" w:eastAsia="Noto Sans" w:hAnsiTheme="majorHAnsi" w:cstheme="majorHAnsi"/>
        </w:rPr>
        <w:t xml:space="preserve"> lives. People have been adapting to life with COVID-19 to mitigate the risk of infections. Greater reductions in mobility have been experienced since a wide array of social distancing measures were implemented, compliance with stay-at-home orders and other travel restrictions at the national level (Hale et al. 2021; Kishore et al. 2021).</w:t>
      </w:r>
      <w:r w:rsidR="001C5663">
        <w:rPr>
          <w:rFonts w:asciiTheme="majorHAnsi" w:eastAsia="Noto Sans" w:hAnsiTheme="majorHAnsi" w:cstheme="majorHAnsi"/>
        </w:rPr>
        <w:t xml:space="preserve"> P</w:t>
      </w:r>
      <w:r w:rsidR="001C5663" w:rsidRPr="001C5663">
        <w:rPr>
          <w:rFonts w:asciiTheme="majorHAnsi" w:eastAsia="Noto Sans" w:hAnsiTheme="majorHAnsi" w:cstheme="majorHAnsi"/>
        </w:rPr>
        <w:t xml:space="preserve">eople must be aware of higher risks in face-to-face meetings, thus required to adapt to radical disruptions, such as an almost total ban on social gatherings, to prevent the spread of the virus as the outbreak evolves. </w:t>
      </w:r>
      <w:r w:rsidRPr="001C5663">
        <w:rPr>
          <w:rFonts w:asciiTheme="majorHAnsi" w:eastAsia="Noto Sans" w:hAnsiTheme="majorHAnsi" w:cstheme="majorHAnsi"/>
        </w:rPr>
        <w:t xml:space="preserve">The risk for COVID-19 infection has </w:t>
      </w:r>
      <w:r w:rsidR="00770E7B" w:rsidRPr="001C5663">
        <w:rPr>
          <w:rFonts w:asciiTheme="majorHAnsi" w:eastAsia="Noto Sans" w:hAnsiTheme="majorHAnsi" w:cstheme="majorHAnsi"/>
        </w:rPr>
        <w:t>contributed</w:t>
      </w:r>
      <w:r w:rsidRPr="001C5663">
        <w:rPr>
          <w:rFonts w:asciiTheme="majorHAnsi" w:eastAsia="Noto Sans" w:hAnsiTheme="majorHAnsi" w:cstheme="majorHAnsi"/>
        </w:rPr>
        <w:t xml:space="preserve"> to and will continue to influence people’s day-to-day lives, including travel behaviours</w:t>
      </w:r>
      <w:r w:rsidR="001C5663">
        <w:rPr>
          <w:rFonts w:asciiTheme="majorHAnsi" w:eastAsia="Noto Sans" w:hAnsiTheme="majorHAnsi" w:cstheme="majorHAnsi"/>
        </w:rPr>
        <w:t xml:space="preserve">. </w:t>
      </w:r>
      <w:r w:rsidRPr="001C5663">
        <w:rPr>
          <w:rFonts w:asciiTheme="majorHAnsi" w:eastAsia="Noto Sans" w:hAnsiTheme="majorHAnsi" w:cstheme="majorHAnsi"/>
        </w:rPr>
        <w:t xml:space="preserve">Various countermeasures have </w:t>
      </w:r>
      <w:r w:rsidR="00770E7B" w:rsidRPr="001C5663">
        <w:rPr>
          <w:rFonts w:asciiTheme="majorHAnsi" w:eastAsia="Noto Sans" w:hAnsiTheme="majorHAnsi" w:cstheme="majorHAnsi"/>
        </w:rPr>
        <w:t>led</w:t>
      </w:r>
      <w:r w:rsidRPr="001C5663">
        <w:rPr>
          <w:rFonts w:asciiTheme="majorHAnsi" w:eastAsia="Noto Sans" w:hAnsiTheme="majorHAnsi" w:cstheme="majorHAnsi"/>
        </w:rPr>
        <w:t xml:space="preserve"> to </w:t>
      </w:r>
      <w:r w:rsidR="00770E7B" w:rsidRPr="001C5663">
        <w:rPr>
          <w:rFonts w:asciiTheme="majorHAnsi" w:eastAsia="Noto Sans" w:hAnsiTheme="majorHAnsi" w:cstheme="majorHAnsi"/>
        </w:rPr>
        <w:t>an</w:t>
      </w:r>
      <w:r w:rsidRPr="001C5663">
        <w:rPr>
          <w:rFonts w:asciiTheme="majorHAnsi" w:eastAsia="Noto Sans" w:hAnsiTheme="majorHAnsi" w:cstheme="majorHAnsi"/>
        </w:rPr>
        <w:t xml:space="preserve"> increase </w:t>
      </w:r>
      <w:r w:rsidR="00770E7B" w:rsidRPr="001C5663">
        <w:rPr>
          <w:rFonts w:asciiTheme="majorHAnsi" w:eastAsia="Noto Sans" w:hAnsiTheme="majorHAnsi" w:cstheme="majorHAnsi"/>
        </w:rPr>
        <w:t>in</w:t>
      </w:r>
      <w:r w:rsidRPr="001C5663">
        <w:rPr>
          <w:rFonts w:asciiTheme="majorHAnsi" w:eastAsia="Noto Sans" w:hAnsiTheme="majorHAnsi" w:cstheme="majorHAnsi"/>
        </w:rPr>
        <w:t xml:space="preserve"> home-based activities</w:t>
      </w:r>
      <w:r w:rsidR="00770E7B" w:rsidRPr="001C5663">
        <w:rPr>
          <w:rFonts w:asciiTheme="majorHAnsi" w:eastAsia="Noto Sans" w:hAnsiTheme="majorHAnsi" w:cstheme="majorHAnsi"/>
        </w:rPr>
        <w:t xml:space="preserve">, such as a shift </w:t>
      </w:r>
      <w:r w:rsidRPr="001C5663">
        <w:rPr>
          <w:rFonts w:asciiTheme="majorHAnsi" w:eastAsia="Noto Sans" w:hAnsiTheme="majorHAnsi" w:cstheme="majorHAnsi"/>
        </w:rPr>
        <w:t>from on-site work to remote working (Beck &amp; Hensher 2020a; Budnitz &amp; Tranos 2021), and a modal shift towards private transport and greater use of active modes, such as bicycling and walking (Hu et al. 2021a; Kim et al. 2021; Zhu et al. 2022).</w:t>
      </w:r>
    </w:p>
    <w:p w14:paraId="00000003" w14:textId="2EC2121A"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Despite the challenges </w:t>
      </w:r>
      <w:r w:rsidR="00770E7B" w:rsidRPr="001C5663">
        <w:rPr>
          <w:rFonts w:asciiTheme="majorHAnsi" w:eastAsia="Noto Sans" w:hAnsiTheme="majorHAnsi" w:cstheme="majorHAnsi"/>
        </w:rPr>
        <w:t>posed by</w:t>
      </w:r>
      <w:r w:rsidRPr="001C5663">
        <w:rPr>
          <w:rFonts w:asciiTheme="majorHAnsi" w:eastAsia="Noto Sans" w:hAnsiTheme="majorHAnsi" w:cstheme="majorHAnsi"/>
        </w:rPr>
        <w:t xml:space="preserve"> the COVID-19 pandemic, it also offers new opportunities for researchers to explore mobility in pandemic times (Oliver et al. 2020).</w:t>
      </w:r>
      <w:r w:rsidR="00770E7B" w:rsidRPr="001C5663">
        <w:rPr>
          <w:rFonts w:asciiTheme="majorHAnsi" w:eastAsia="Noto Sans" w:hAnsiTheme="majorHAnsi" w:cstheme="majorHAnsi"/>
        </w:rPr>
        <w:t xml:space="preserve"> </w:t>
      </w:r>
      <w:r w:rsidRPr="001C5663">
        <w:rPr>
          <w:rFonts w:asciiTheme="majorHAnsi" w:eastAsia="Noto Sans" w:hAnsiTheme="majorHAnsi" w:cstheme="majorHAnsi"/>
        </w:rPr>
        <w:t>Many studies have focused on the short- and long-term effects of COVID-19 on travel behaviour</w:t>
      </w:r>
      <w:r w:rsidR="00770E7B" w:rsidRPr="001C5663">
        <w:rPr>
          <w:rFonts w:asciiTheme="majorHAnsi" w:eastAsia="Noto Sans" w:hAnsiTheme="majorHAnsi" w:cstheme="majorHAnsi"/>
        </w:rPr>
        <w:t>s</w:t>
      </w:r>
      <w:r w:rsidRPr="001C5663">
        <w:rPr>
          <w:rFonts w:asciiTheme="majorHAnsi" w:eastAsia="Noto Sans" w:hAnsiTheme="majorHAnsi" w:cstheme="majorHAnsi"/>
        </w:rPr>
        <w:t xml:space="preserve"> using large mobile phone datasets (Xiong et al. 2020; Hong et al. 2020; Hu et al. 2021b). The evolution of mobility under nationwide lockdowns and strict quarantines were taking place in the first wave. These measures effectively tackled the spread of the virus and reduced COVID-19 infections and deaths before the vaccine was introduced (Haug et al. 2020; Ross et al. 2021). However, it has also led to several negative effects on the economy (Rose et al. 2023), and society, such as mental health problems (Mouratidis &amp; Yiannakou 2022), while stay-at-home orders </w:t>
      </w:r>
      <w:r w:rsidR="00CF3719" w:rsidRPr="001C5663">
        <w:rPr>
          <w:rFonts w:asciiTheme="majorHAnsi" w:eastAsia="Noto Sans" w:hAnsiTheme="majorHAnsi" w:cstheme="majorHAnsi"/>
        </w:rPr>
        <w:t xml:space="preserve">were </w:t>
      </w:r>
      <w:r w:rsidRPr="001C5663">
        <w:rPr>
          <w:rFonts w:asciiTheme="majorHAnsi" w:eastAsia="Noto Sans" w:hAnsiTheme="majorHAnsi" w:cstheme="majorHAnsi"/>
        </w:rPr>
        <w:t xml:space="preserve">extended to keep up with strong social gatherings. </w:t>
      </w:r>
    </w:p>
    <w:p w14:paraId="00000004" w14:textId="652BD236"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In most existing studies, less attention has been paid to </w:t>
      </w:r>
      <w:r w:rsidR="00CF3719" w:rsidRPr="001C5663">
        <w:rPr>
          <w:rFonts w:asciiTheme="majorHAnsi" w:eastAsia="Noto Sans" w:hAnsiTheme="majorHAnsi" w:cstheme="majorHAnsi"/>
        </w:rPr>
        <w:t xml:space="preserve">the exploration of </w:t>
      </w:r>
      <w:r w:rsidRPr="001C5663">
        <w:rPr>
          <w:rFonts w:asciiTheme="majorHAnsi" w:eastAsia="Noto Sans" w:hAnsiTheme="majorHAnsi" w:cstheme="majorHAnsi"/>
        </w:rPr>
        <w:t xml:space="preserve">the spatio-temporal developments of mobility in pandemic times. The first wave of the pandemic proposed </w:t>
      </w:r>
      <w:r w:rsidR="00CF3719" w:rsidRPr="001C5663">
        <w:rPr>
          <w:rFonts w:asciiTheme="majorHAnsi" w:eastAsia="Noto Sans" w:hAnsiTheme="majorHAnsi" w:cstheme="majorHAnsi"/>
        </w:rPr>
        <w:t xml:space="preserve">quantification of </w:t>
      </w:r>
      <w:r w:rsidRPr="001C5663">
        <w:rPr>
          <w:rFonts w:asciiTheme="majorHAnsi" w:eastAsia="Noto Sans" w:hAnsiTheme="majorHAnsi" w:cstheme="majorHAnsi"/>
        </w:rPr>
        <w:t xml:space="preserve">four distinct phases based on the different magnitude of mobility reductions; original, disruptive, recovery, and new steady phases (Wang et al. 2022; Liu et al. 2023). A growing body of literature on the disruptive phase has focused on the effect of (nationwide) lockdown measures to uncover spatial variation of mobility reductions against the original phase. </w:t>
      </w:r>
      <w:commentRangeStart w:id="0"/>
      <w:r w:rsidRPr="001C5663">
        <w:rPr>
          <w:rFonts w:asciiTheme="majorHAnsi" w:eastAsia="Noto Sans" w:hAnsiTheme="majorHAnsi" w:cstheme="majorHAnsi"/>
        </w:rPr>
        <w:t xml:space="preserve">Extensive evidence has been found that overall levels of people’s mobility have dropped instantly against the pre-pandemic baseline, as seen through the lens of data-driven mobility metrics using large-scale mobile phone data (Enoch et al. 2021; Lee et al. 2021; Lucchini et al. 2021; Kim &amp; Kwan 2021; Weill et al. 2020), and also through online panel survey data with GPS traces (Borkowski et al. 2020; Bohman et al. 2021; Molloy et al. 2020; 2021). Several studies have further been considered to demonstrate the uneven ability to restrict everyday mobilities among individuals. By examining reduced travel distances with shrunk activity spaces, it has been found that these differences vary greatly by region and are associated with inequalities in occupations and earnings (Chang et al. 2021; Glodeanu et al. 2021; Lou et al. 2020; Lee et al. 2021; Long &amp; Ren 2022). </w:t>
      </w:r>
      <w:commentRangeEnd w:id="0"/>
      <w:r w:rsidRPr="001C5663">
        <w:rPr>
          <w:rFonts w:asciiTheme="majorHAnsi" w:hAnsiTheme="majorHAnsi" w:cstheme="majorHAnsi"/>
        </w:rPr>
        <w:commentReference w:id="0"/>
      </w:r>
    </w:p>
    <w:p w14:paraId="00000005" w14:textId="71E732F5"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T</w:t>
      </w:r>
      <w:commentRangeStart w:id="1"/>
      <w:r w:rsidRPr="001C5663">
        <w:rPr>
          <w:rFonts w:asciiTheme="majorHAnsi" w:eastAsia="Noto Sans" w:hAnsiTheme="majorHAnsi" w:cstheme="majorHAnsi"/>
        </w:rPr>
        <w:t>he subsequent recovery phase has sought to capture rebounds in mobility levels. Researchers have exhibited V-shaped trends between two phases (Kim &amp; Kwan 2021; Noi et al. 2022; Kellermann et al. 2022; Yabe et al. 2023). This is reflected in the gradual easing of restrictions when reported cases seemed to be falling sharply. It would be also associated with the phenomenon of “quarantine fatigue”, in which people feel tired of staying at home for several months since strict travel restrictions</w:t>
      </w:r>
      <w:r w:rsidR="00CF3719" w:rsidRPr="001C5663">
        <w:rPr>
          <w:rFonts w:asciiTheme="majorHAnsi" w:eastAsia="Noto Sans" w:hAnsiTheme="majorHAnsi" w:cstheme="majorHAnsi"/>
        </w:rPr>
        <w:t xml:space="preserve"> w</w:t>
      </w:r>
      <w:r w:rsidRPr="001C5663">
        <w:rPr>
          <w:rFonts w:asciiTheme="majorHAnsi" w:eastAsia="Noto Sans" w:hAnsiTheme="majorHAnsi" w:cstheme="majorHAnsi"/>
        </w:rPr>
        <w:t xml:space="preserve"> (Kim &amp; Kwan 2021; Kwan 2021). </w:t>
      </w:r>
      <w:commentRangeEnd w:id="1"/>
      <w:r w:rsidRPr="001C5663">
        <w:rPr>
          <w:rFonts w:asciiTheme="majorHAnsi" w:hAnsiTheme="majorHAnsi" w:cstheme="majorHAnsi"/>
        </w:rPr>
        <w:commentReference w:id="1"/>
      </w:r>
      <w:commentRangeStart w:id="2"/>
      <w:r w:rsidRPr="001C5663">
        <w:rPr>
          <w:rFonts w:asciiTheme="majorHAnsi" w:eastAsia="Noto Sans" w:hAnsiTheme="majorHAnsi" w:cstheme="majorHAnsi"/>
        </w:rPr>
        <w:t xml:space="preserve">Finally, </w:t>
      </w:r>
      <w:r w:rsidR="00CF3719" w:rsidRPr="001C5663">
        <w:rPr>
          <w:rFonts w:asciiTheme="majorHAnsi" w:eastAsia="Noto Sans" w:hAnsiTheme="majorHAnsi" w:cstheme="majorHAnsi"/>
        </w:rPr>
        <w:t xml:space="preserve">a </w:t>
      </w:r>
      <w:r w:rsidRPr="001C5663">
        <w:rPr>
          <w:rFonts w:asciiTheme="majorHAnsi" w:eastAsia="Noto Sans" w:hAnsiTheme="majorHAnsi" w:cstheme="majorHAnsi"/>
        </w:rPr>
        <w:t xml:space="preserve">substantial recovery has been identified in a new steady phase have revealed the restoration of mobility levels and reshaping travel behaviours in a pandemic way, accounting for the final extent of the recovery though less so </w:t>
      </w:r>
      <w:r w:rsidRPr="001C5663">
        <w:rPr>
          <w:rFonts w:asciiTheme="majorHAnsi" w:eastAsia="Noto Sans" w:hAnsiTheme="majorHAnsi" w:cstheme="majorHAnsi"/>
        </w:rPr>
        <w:lastRenderedPageBreak/>
        <w:t xml:space="preserve">for public transport (Stanesby et al. 2023) and for vulnerable groups like the elderly (Wang et al. 2022).   </w:t>
      </w:r>
      <w:commentRangeEnd w:id="2"/>
      <w:r w:rsidRPr="001C5663">
        <w:rPr>
          <w:rFonts w:asciiTheme="majorHAnsi" w:hAnsiTheme="majorHAnsi" w:cstheme="majorHAnsi"/>
        </w:rPr>
        <w:commentReference w:id="2"/>
      </w:r>
    </w:p>
    <w:p w14:paraId="00000006" w14:textId="6FEC8CD9" w:rsidR="00822B93" w:rsidRPr="001C5663" w:rsidRDefault="00000000" w:rsidP="001C5663">
      <w:pPr>
        <w:ind w:firstLine="720"/>
        <w:rPr>
          <w:rFonts w:asciiTheme="majorHAnsi" w:eastAsia="Noto Sans" w:hAnsiTheme="majorHAnsi" w:cstheme="majorHAnsi"/>
        </w:rPr>
      </w:pPr>
      <w:commentRangeStart w:id="3"/>
      <w:r w:rsidRPr="001C5663">
        <w:rPr>
          <w:rFonts w:asciiTheme="majorHAnsi" w:eastAsia="Noto Sans" w:hAnsiTheme="majorHAnsi" w:cstheme="majorHAnsi"/>
        </w:rPr>
        <w:t xml:space="preserve">In overview, the literature has found that overall mobility levels have evolved throughout the first wave. Also, it has fluctuated widely over a wide range of geographies (Beck &amp; Hensher 2020b), and for population groups by using longitudinal data analysis (Dueñas et al. 2021; Kim &amp; Kwan 2021; Li et al. 2022). </w:t>
      </w:r>
      <w:r w:rsidR="00CF3719" w:rsidRPr="001C5663">
        <w:rPr>
          <w:rFonts w:asciiTheme="majorHAnsi" w:eastAsia="Noto Sans" w:hAnsiTheme="majorHAnsi" w:cstheme="majorHAnsi"/>
        </w:rPr>
        <w:t>M</w:t>
      </w:r>
      <w:r w:rsidRPr="001C5663">
        <w:rPr>
          <w:rFonts w:asciiTheme="majorHAnsi" w:eastAsia="Noto Sans" w:hAnsiTheme="majorHAnsi" w:cstheme="majorHAnsi"/>
        </w:rPr>
        <w:t xml:space="preserve">obility resilience in times of the COVID-19 pandemic can be </w:t>
      </w:r>
      <w:r w:rsidR="00CF3719" w:rsidRPr="001C5663">
        <w:rPr>
          <w:rFonts w:asciiTheme="majorHAnsi" w:eastAsia="Noto Sans" w:hAnsiTheme="majorHAnsi" w:cstheme="majorHAnsi"/>
        </w:rPr>
        <w:t>defined</w:t>
      </w:r>
      <w:r w:rsidRPr="001C5663">
        <w:rPr>
          <w:rFonts w:asciiTheme="majorHAnsi" w:eastAsia="Noto Sans" w:hAnsiTheme="majorHAnsi" w:cstheme="majorHAnsi"/>
        </w:rPr>
        <w:t xml:space="preserve"> as the capacity to live and develop with change and uncertainty</w:t>
      </w:r>
      <w:r w:rsidR="00CF3719"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CF3719" w:rsidRPr="001C5663">
        <w:rPr>
          <w:rFonts w:asciiTheme="majorHAnsi" w:eastAsia="Noto Sans" w:hAnsiTheme="majorHAnsi" w:cstheme="majorHAnsi"/>
        </w:rPr>
        <w:t xml:space="preserve">to </w:t>
      </w:r>
      <w:r w:rsidRPr="001C5663">
        <w:rPr>
          <w:rFonts w:asciiTheme="majorHAnsi" w:eastAsia="Noto Sans" w:hAnsiTheme="majorHAnsi" w:cstheme="majorHAnsi"/>
        </w:rPr>
        <w:t xml:space="preserve">minimise the negative </w:t>
      </w:r>
      <w:r w:rsidR="00D5287F" w:rsidRPr="001C5663">
        <w:rPr>
          <w:rFonts w:asciiTheme="majorHAnsi" w:eastAsia="Noto Sans" w:hAnsiTheme="majorHAnsi" w:cstheme="majorHAnsi"/>
        </w:rPr>
        <w:t xml:space="preserve">impact. </w:t>
      </w:r>
      <w:r w:rsidR="00CF3719" w:rsidRPr="001C5663">
        <w:rPr>
          <w:rFonts w:asciiTheme="majorHAnsi" w:eastAsia="Noto Sans" w:hAnsiTheme="majorHAnsi" w:cstheme="majorHAnsi"/>
        </w:rPr>
        <w:t>However, it could be extended</w:t>
      </w:r>
      <w:r w:rsidRPr="001C5663">
        <w:rPr>
          <w:rFonts w:asciiTheme="majorHAnsi" w:eastAsia="Noto Sans" w:hAnsiTheme="majorHAnsi" w:cstheme="majorHAnsi"/>
        </w:rPr>
        <w:t xml:space="preserve"> to the ability to bounce back (Wang et al. 2022; Liu et al. 2023; Rockström et al. 2023). A few studies have assessed time-varying mobility resilience by drawing a triangle with mobility reduction and recovery periods, and the quantity of mobility change (Duenas et al. 2021; Wang et al. 2022;</w:t>
      </w:r>
      <w:r w:rsidR="00E75E8E" w:rsidRPr="001C5663">
        <w:rPr>
          <w:rFonts w:asciiTheme="majorHAnsi" w:eastAsia="Noto Sans" w:hAnsiTheme="majorHAnsi" w:cstheme="majorHAnsi"/>
        </w:rPr>
        <w:t xml:space="preserve"> </w:t>
      </w:r>
      <w:r w:rsidRPr="001C5663">
        <w:rPr>
          <w:rFonts w:asciiTheme="majorHAnsi" w:eastAsia="Noto Sans" w:hAnsiTheme="majorHAnsi" w:cstheme="majorHAnsi"/>
        </w:rPr>
        <w:t>Liu et al. 2023), but a focus on the first wave continues to dominate existing literature.</w:t>
      </w:r>
      <w:commentRangeEnd w:id="3"/>
      <w:r w:rsidRPr="001C5663">
        <w:rPr>
          <w:rFonts w:asciiTheme="majorHAnsi" w:hAnsiTheme="majorHAnsi" w:cstheme="majorHAnsi"/>
        </w:rPr>
        <w:commentReference w:id="3"/>
      </w:r>
      <w:r w:rsidRPr="001C5663">
        <w:rPr>
          <w:rFonts w:asciiTheme="majorHAnsi" w:eastAsia="Noto Sans" w:hAnsiTheme="majorHAnsi" w:cstheme="majorHAnsi"/>
        </w:rPr>
        <w:t xml:space="preserve"> </w:t>
      </w:r>
      <w:commentRangeStart w:id="4"/>
      <w:r w:rsidRPr="001C5663">
        <w:rPr>
          <w:rFonts w:asciiTheme="majorHAnsi" w:eastAsia="Noto Sans" w:hAnsiTheme="majorHAnsi" w:cstheme="majorHAnsi"/>
        </w:rPr>
        <w:t xml:space="preserve">This is because of changes and uncertainties in the impact of containment and closure policies to battle COVID-19 during the subsequent waves. The implementation of non-pharmaceutical interventions (NPI) has been neither stable nor consistently effective across space and time (Ge et al. 2022). </w:t>
      </w:r>
      <w:commentRangeEnd w:id="4"/>
      <w:r w:rsidR="00D5287F" w:rsidRPr="001C5663">
        <w:rPr>
          <w:rStyle w:val="CommentReference"/>
          <w:rFonts w:asciiTheme="majorHAnsi" w:hAnsiTheme="majorHAnsi" w:cstheme="majorHAnsi"/>
        </w:rPr>
        <w:commentReference w:id="4"/>
      </w:r>
    </w:p>
    <w:p w14:paraId="00000007" w14:textId="3B540F14"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Apart from theoretical arguments, trends in mobility may well look differently when the spatial scale at which they are assessed is varied. Therefore, there are theoretical and methodological reasons why paying detailed attention to spatio-temporal trends in mobility is warranted (see the “Discussion” section below). This is why our study accounting for adaptability and resilience has contributed to </w:t>
      </w:r>
      <w:r w:rsidR="00D5287F" w:rsidRPr="001C5663">
        <w:rPr>
          <w:rFonts w:asciiTheme="majorHAnsi" w:eastAsia="Noto Sans" w:hAnsiTheme="majorHAnsi" w:cstheme="majorHAnsi"/>
        </w:rPr>
        <w:t xml:space="preserve">trajectories of mobility reductions </w:t>
      </w:r>
      <w:r w:rsidRPr="001C5663">
        <w:rPr>
          <w:rFonts w:asciiTheme="majorHAnsi" w:eastAsia="Noto Sans" w:hAnsiTheme="majorHAnsi" w:cstheme="majorHAnsi"/>
        </w:rPr>
        <w:t>during the first wave that may differ geographically</w:t>
      </w:r>
      <w:r w:rsidR="00386985" w:rsidRPr="001C5663">
        <w:rPr>
          <w:rFonts w:asciiTheme="majorHAnsi" w:eastAsia="Noto Sans" w:hAnsiTheme="majorHAnsi" w:cstheme="majorHAnsi"/>
        </w:rPr>
        <w:t>.</w:t>
      </w:r>
    </w:p>
    <w:p w14:paraId="00000008" w14:textId="5B525355"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To elucidate this issue further, this paper </w:t>
      </w:r>
      <w:r w:rsidR="00B91E96" w:rsidRPr="001C5663">
        <w:rPr>
          <w:rFonts w:asciiTheme="majorHAnsi" w:eastAsia="Noto Sans" w:hAnsiTheme="majorHAnsi" w:cstheme="majorHAnsi"/>
        </w:rPr>
        <w:t>examines</w:t>
      </w:r>
      <w:r w:rsidRPr="001C5663">
        <w:rPr>
          <w:rFonts w:asciiTheme="majorHAnsi" w:eastAsia="Noto Sans" w:hAnsiTheme="majorHAnsi" w:cstheme="majorHAnsi"/>
        </w:rPr>
        <w:t xml:space="preserve"> how mobility reductions varied over time and space during England's first nationwide lockdown. We used anonymised call-detail records (CDRs) data collected from mobile phones during the entire first wave of the pandemic, spanning from two months before and after the lockdown (i.e., lockdown period with ±2 month</w:t>
      </w:r>
      <w:r w:rsidR="0067185E"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67185E" w:rsidRPr="001C5663">
        <w:rPr>
          <w:rFonts w:asciiTheme="majorHAnsi" w:eastAsia="Noto Sans" w:hAnsiTheme="majorHAnsi" w:cstheme="majorHAnsi"/>
        </w:rPr>
        <w:t>A</w:t>
      </w:r>
      <w:r w:rsidRPr="001C5663">
        <w:rPr>
          <w:rFonts w:asciiTheme="majorHAnsi" w:eastAsia="Noto Sans" w:hAnsiTheme="majorHAnsi" w:cstheme="majorHAnsi"/>
        </w:rPr>
        <w:t xml:space="preserve"> </w:t>
      </w:r>
      <w:commentRangeStart w:id="5"/>
      <w:r w:rsidRPr="001C5663">
        <w:rPr>
          <w:rFonts w:asciiTheme="majorHAnsi" w:eastAsia="Noto Sans" w:hAnsiTheme="majorHAnsi" w:cstheme="majorHAnsi"/>
        </w:rPr>
        <w:t xml:space="preserve">set of variables </w:t>
      </w:r>
      <w:r w:rsidR="0067185E" w:rsidRPr="001C5663">
        <w:rPr>
          <w:rFonts w:asciiTheme="majorHAnsi" w:eastAsia="Noto Sans" w:hAnsiTheme="majorHAnsi" w:cstheme="majorHAnsi"/>
        </w:rPr>
        <w:t>have prepared</w:t>
      </w:r>
      <w:r w:rsidR="00B91E96" w:rsidRPr="001C5663">
        <w:rPr>
          <w:rFonts w:asciiTheme="majorHAnsi" w:eastAsia="Noto Sans" w:hAnsiTheme="majorHAnsi" w:cstheme="majorHAnsi"/>
        </w:rPr>
        <w:t xml:space="preserve"> that we </w:t>
      </w:r>
      <w:r w:rsidRPr="001C5663">
        <w:rPr>
          <w:rFonts w:asciiTheme="majorHAnsi" w:eastAsia="Noto Sans" w:hAnsiTheme="majorHAnsi" w:cstheme="majorHAnsi"/>
        </w:rPr>
        <w:t>expect to be related to place-specific trends in mobility levels. Three sets of variables</w:t>
      </w:r>
      <w:r w:rsidR="0067185E" w:rsidRPr="001C5663">
        <w:rPr>
          <w:rFonts w:asciiTheme="majorHAnsi" w:eastAsia="Noto Sans" w:hAnsiTheme="majorHAnsi" w:cstheme="majorHAnsi"/>
        </w:rPr>
        <w:t xml:space="preserve"> help to characterise differences in overall mobility changes over space. S</w:t>
      </w:r>
      <w:r w:rsidRPr="001C5663">
        <w:rPr>
          <w:rFonts w:asciiTheme="majorHAnsi" w:eastAsia="Noto Sans" w:hAnsiTheme="majorHAnsi" w:cstheme="majorHAnsi"/>
        </w:rPr>
        <w:t>ociodemographic profiles composed of income level, occupation, housing type, economic activity, and ethnic composition.</w:t>
      </w:r>
      <w:r w:rsidR="00CF3719" w:rsidRPr="001C5663">
        <w:rPr>
          <w:rFonts w:asciiTheme="majorHAnsi" w:eastAsia="Noto Sans" w:hAnsiTheme="majorHAnsi" w:cstheme="majorHAnsi"/>
        </w:rPr>
        <w:t xml:space="preserve"> </w:t>
      </w:r>
      <w:r w:rsidRPr="001C5663">
        <w:rPr>
          <w:rFonts w:asciiTheme="majorHAnsi" w:eastAsia="Noto Sans" w:hAnsiTheme="majorHAnsi" w:cstheme="majorHAnsi"/>
        </w:rPr>
        <w:t xml:space="preserve">Accessibility levels consist of geographic accessibility to health facilities and household car ownership. </w:t>
      </w:r>
      <w:r w:rsidR="00943FA9" w:rsidRPr="001C5663">
        <w:rPr>
          <w:rFonts w:asciiTheme="majorHAnsi" w:eastAsia="Noto Sans" w:hAnsiTheme="majorHAnsi" w:cstheme="majorHAnsi"/>
        </w:rPr>
        <w:t>L</w:t>
      </w:r>
      <w:r w:rsidRPr="001C5663">
        <w:rPr>
          <w:rFonts w:asciiTheme="majorHAnsi" w:eastAsia="Noto Sans" w:hAnsiTheme="majorHAnsi" w:cstheme="majorHAnsi"/>
        </w:rPr>
        <w:t>ocal COVID-19 risks in the earliest stages of the pandemic. Not surprisingly, it has become very influential in shaping national policy and public debate whilst also exhibiting distinct geographic differences</w:t>
      </w:r>
      <w:commentRangeEnd w:id="5"/>
      <w:r w:rsidRPr="001C5663">
        <w:rPr>
          <w:rFonts w:asciiTheme="majorHAnsi" w:hAnsiTheme="majorHAnsi" w:cstheme="majorHAnsi"/>
        </w:rPr>
        <w:commentReference w:id="5"/>
      </w:r>
      <w:r w:rsidRPr="001C5663">
        <w:rPr>
          <w:rFonts w:asciiTheme="majorHAnsi" w:eastAsia="Noto Sans" w:hAnsiTheme="majorHAnsi" w:cstheme="majorHAnsi"/>
        </w:rPr>
        <w:t>.</w:t>
      </w:r>
    </w:p>
    <w:p w14:paraId="00000009" w14:textId="65FCE3F6" w:rsidR="00822B93" w:rsidRPr="001C5663" w:rsidRDefault="00000000" w:rsidP="001C5663">
      <w:pPr>
        <w:ind w:firstLine="720"/>
        <w:rPr>
          <w:rFonts w:asciiTheme="majorHAnsi" w:eastAsia="Noto Sans" w:hAnsiTheme="majorHAnsi" w:cstheme="majorHAnsi"/>
        </w:rPr>
      </w:pPr>
      <w:commentRangeStart w:id="6"/>
      <w:r w:rsidRPr="001C5663">
        <w:rPr>
          <w:rFonts w:asciiTheme="majorHAnsi" w:eastAsia="Noto Sans" w:hAnsiTheme="majorHAnsi" w:cstheme="majorHAnsi"/>
        </w:rPr>
        <w:t xml:space="preserve">Additionally, </w:t>
      </w:r>
      <w:commentRangeEnd w:id="6"/>
      <w:r w:rsidRPr="001C5663">
        <w:rPr>
          <w:rFonts w:asciiTheme="majorHAnsi" w:hAnsiTheme="majorHAnsi" w:cstheme="majorHAnsi"/>
        </w:rPr>
        <w:commentReference w:id="6"/>
      </w:r>
      <w:r w:rsidRPr="001C5663">
        <w:rPr>
          <w:rFonts w:asciiTheme="majorHAnsi" w:eastAsia="Noto Sans" w:hAnsiTheme="majorHAnsi" w:cstheme="majorHAnsi"/>
        </w:rPr>
        <w:t xml:space="preserve">the timing and prevalence of government measures can result in differences in COVID-19-related outcomes (Presti et al. 2022) in respect of the degree of fixity among individuals and regional variations (Kim et al. 2017). The relative lateness of England’s national lockdown policies would have contributed to likely increased scale, severity, and duration of the first wave (Arnold et al. 2022). Similarly, the late timing of England’s nationwide second lockdown measures </w:t>
      </w:r>
      <w:r w:rsidR="00E75E8E" w:rsidRPr="001C5663">
        <w:rPr>
          <w:rFonts w:asciiTheme="majorHAnsi" w:eastAsia="Noto Sans" w:hAnsiTheme="majorHAnsi" w:cstheme="majorHAnsi"/>
        </w:rPr>
        <w:t>have</w:t>
      </w:r>
      <w:r w:rsidRPr="001C5663">
        <w:rPr>
          <w:rFonts w:asciiTheme="majorHAnsi" w:eastAsia="Noto Sans" w:hAnsiTheme="majorHAnsi" w:cstheme="majorHAnsi"/>
        </w:rPr>
        <w:t xml:space="preserve"> temporary effects despite strong </w:t>
      </w:r>
      <w:r w:rsidR="00E75E8E" w:rsidRPr="001C5663">
        <w:rPr>
          <w:rFonts w:asciiTheme="majorHAnsi" w:eastAsia="Noto Sans" w:hAnsiTheme="majorHAnsi" w:cstheme="majorHAnsi"/>
        </w:rPr>
        <w:t>restrictions and</w:t>
      </w:r>
      <w:r w:rsidRPr="001C5663">
        <w:rPr>
          <w:rFonts w:asciiTheme="majorHAnsi" w:eastAsia="Noto Sans" w:hAnsiTheme="majorHAnsi" w:cstheme="majorHAnsi"/>
        </w:rPr>
        <w:t xml:space="preserve"> might have resulted in large resurgences of hospitalisations and deaths (Davies et al. 2021).</w:t>
      </w:r>
    </w:p>
    <w:p w14:paraId="0000000A" w14:textId="77777777" w:rsidR="00822B93" w:rsidRPr="001C5663" w:rsidRDefault="00822B93" w:rsidP="001C5663">
      <w:pPr>
        <w:ind w:firstLine="720"/>
        <w:rPr>
          <w:rFonts w:asciiTheme="majorHAnsi" w:eastAsia="Noto Sans" w:hAnsiTheme="majorHAnsi" w:cstheme="majorHAnsi"/>
        </w:rPr>
      </w:pPr>
    </w:p>
    <w:p w14:paraId="0000000B" w14:textId="77777777" w:rsidR="00822B93" w:rsidRPr="001C5663" w:rsidRDefault="00822B93" w:rsidP="001C5663">
      <w:pPr>
        <w:ind w:firstLine="720"/>
        <w:rPr>
          <w:rFonts w:asciiTheme="majorHAnsi" w:eastAsia="Noto Sans" w:hAnsiTheme="majorHAnsi" w:cstheme="majorHAnsi"/>
        </w:rPr>
      </w:pPr>
    </w:p>
    <w:p w14:paraId="0000000C" w14:textId="77777777" w:rsidR="00822B93" w:rsidRPr="001C5663" w:rsidRDefault="00822B93" w:rsidP="001C5663">
      <w:pPr>
        <w:ind w:firstLine="720"/>
        <w:rPr>
          <w:rFonts w:asciiTheme="majorHAnsi" w:eastAsia="Noto Sans" w:hAnsiTheme="majorHAnsi" w:cstheme="majorHAnsi"/>
        </w:rPr>
      </w:pPr>
    </w:p>
    <w:p w14:paraId="0000000D" w14:textId="77777777" w:rsidR="00822B93" w:rsidRPr="001C5663" w:rsidRDefault="00822B93" w:rsidP="001C5663">
      <w:pPr>
        <w:ind w:firstLine="720"/>
        <w:rPr>
          <w:rFonts w:asciiTheme="majorHAnsi" w:eastAsia="Noto Sans" w:hAnsiTheme="majorHAnsi" w:cstheme="majorHAnsi"/>
        </w:rPr>
      </w:pPr>
    </w:p>
    <w:p w14:paraId="0000000E" w14:textId="77777777" w:rsidR="00822B93" w:rsidRPr="001C5663" w:rsidRDefault="00822B93" w:rsidP="001C5663">
      <w:pPr>
        <w:ind w:firstLine="720"/>
        <w:rPr>
          <w:rFonts w:asciiTheme="majorHAnsi" w:eastAsia="Noto Sans" w:hAnsiTheme="majorHAnsi" w:cstheme="majorHAnsi"/>
        </w:rPr>
      </w:pPr>
    </w:p>
    <w:p w14:paraId="00000030" w14:textId="014780D6" w:rsidR="00822B93" w:rsidRPr="001C5663" w:rsidRDefault="00822B93" w:rsidP="001C5663">
      <w:pPr>
        <w:rPr>
          <w:rFonts w:asciiTheme="majorHAnsi" w:eastAsia="Noto Sans" w:hAnsiTheme="majorHAnsi" w:cstheme="majorHAnsi"/>
        </w:rPr>
      </w:pPr>
    </w:p>
    <w:p w14:paraId="00000031" w14:textId="77777777" w:rsidR="00822B93" w:rsidRPr="001C5663" w:rsidRDefault="0000000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lastRenderedPageBreak/>
        <w:t>References</w:t>
      </w:r>
    </w:p>
    <w:p w14:paraId="00000032"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Arnold, K.F., Gilthorpe, M.S., Alwan, N.A., Heppenstall, A.J., Tomova, G.D., McKee, M., Tennant, P.W.G., 2022. Estimating the effects of lockdown timing on COVID-19 cases and deaths in England: A counterfactual modelling study. </w:t>
      </w:r>
      <w:r w:rsidRPr="001C5663">
        <w:rPr>
          <w:rFonts w:asciiTheme="majorHAnsi" w:eastAsia="Noto Sans" w:hAnsiTheme="majorHAnsi" w:cstheme="majorHAnsi"/>
          <w:i/>
        </w:rPr>
        <w:t>PLoS One</w:t>
      </w:r>
      <w:r w:rsidRPr="001C5663">
        <w:rPr>
          <w:rFonts w:asciiTheme="majorHAnsi" w:eastAsia="Noto Sans" w:hAnsiTheme="majorHAnsi" w:cstheme="majorHAnsi"/>
        </w:rPr>
        <w:t xml:space="preserve"> 17, e0263432. </w:t>
      </w:r>
      <w:hyperlink r:id="rId9">
        <w:r w:rsidRPr="001C5663">
          <w:rPr>
            <w:rFonts w:asciiTheme="majorHAnsi" w:eastAsia="Noto Sans" w:hAnsiTheme="majorHAnsi" w:cstheme="majorHAnsi"/>
            <w:color w:val="1155CC"/>
            <w:u w:val="single"/>
          </w:rPr>
          <w:t>https://doi.org/10.1371/journal.pone.0263432</w:t>
        </w:r>
      </w:hyperlink>
    </w:p>
    <w:p w14:paraId="0000003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Beck, M.J., Hensher, D.A., 2020a. Insights into the impact of COVID-19 on household travel and activities in Australia – The early days of easing restrictions.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99, 95–119. </w:t>
      </w:r>
      <w:hyperlink r:id="rId10">
        <w:r w:rsidRPr="001C5663">
          <w:rPr>
            <w:rFonts w:asciiTheme="majorHAnsi" w:eastAsia="Noto Sans" w:hAnsiTheme="majorHAnsi" w:cstheme="majorHAnsi"/>
            <w:color w:val="1155CC"/>
            <w:u w:val="single"/>
          </w:rPr>
          <w:t>https://doi.org/10.1016/j.tranpol.2020.08.004</w:t>
        </w:r>
      </w:hyperlink>
    </w:p>
    <w:p w14:paraId="0000003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Beck, M.J., Hensher, D.A., 2020b. Insights into the impact of COVID-19 on household travel and activities in Australia – The early days of easing restrictions.</w:t>
      </w:r>
      <w:r w:rsidRPr="001C5663">
        <w:rPr>
          <w:rFonts w:asciiTheme="majorHAnsi" w:eastAsia="Noto Sans" w:hAnsiTheme="majorHAnsi" w:cstheme="majorHAnsi"/>
          <w:i/>
        </w:rPr>
        <w:t xml:space="preserve"> Transp. Polic</w:t>
      </w:r>
      <w:r w:rsidRPr="001C5663">
        <w:rPr>
          <w:rFonts w:asciiTheme="majorHAnsi" w:eastAsia="Noto Sans" w:hAnsiTheme="majorHAnsi" w:cstheme="majorHAnsi"/>
        </w:rPr>
        <w:t>y 99, 95–119. https://doi.org/10.1016/j.tranpol.2020.08.004</w:t>
      </w:r>
    </w:p>
    <w:p w14:paraId="0000003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Bohman, H., Ryan, J., Stjernborg, V., Nilsson, D., 2021. A study of changes in everyday mobility during the Covid-19 pandemic: As perceived by people living in Malmö, Sweden.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106, 109–119. </w:t>
      </w:r>
      <w:hyperlink r:id="rId11">
        <w:r w:rsidRPr="001C5663">
          <w:rPr>
            <w:rFonts w:asciiTheme="majorHAnsi" w:eastAsia="Noto Sans" w:hAnsiTheme="majorHAnsi" w:cstheme="majorHAnsi"/>
            <w:color w:val="1155CC"/>
            <w:u w:val="single"/>
          </w:rPr>
          <w:t>https://doi.org/10.1016/j.tranpol.2021.03.013</w:t>
        </w:r>
      </w:hyperlink>
    </w:p>
    <w:p w14:paraId="0000003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Borkowski, P., Jażdżewska-Gutta, M., Szmelter-Jarosz, A., 2021. Lockdowned: Everyday mobility changes in response to COVID-19.</w:t>
      </w:r>
      <w:r w:rsidRPr="001C5663">
        <w:rPr>
          <w:rFonts w:asciiTheme="majorHAnsi" w:eastAsia="Noto Sans" w:hAnsiTheme="majorHAnsi" w:cstheme="majorHAnsi"/>
          <w:i/>
        </w:rPr>
        <w:t xml:space="preserve"> J. Transp. Geogr</w:t>
      </w:r>
      <w:r w:rsidRPr="001C5663">
        <w:rPr>
          <w:rFonts w:asciiTheme="majorHAnsi" w:eastAsia="Noto Sans" w:hAnsiTheme="majorHAnsi" w:cstheme="majorHAnsi"/>
        </w:rPr>
        <w:t xml:space="preserve">. 90, 102906. </w:t>
      </w:r>
      <w:hyperlink r:id="rId12">
        <w:r w:rsidRPr="001C5663">
          <w:rPr>
            <w:rFonts w:asciiTheme="majorHAnsi" w:eastAsia="Noto Sans" w:hAnsiTheme="majorHAnsi" w:cstheme="majorHAnsi"/>
            <w:color w:val="1155CC"/>
            <w:u w:val="single"/>
          </w:rPr>
          <w:t>https://doi.org/10.1016/j.jtrangeo.2020.102906</w:t>
        </w:r>
      </w:hyperlink>
    </w:p>
    <w:p w14:paraId="0000003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Budnitz, H., Tranos, E., 2021. Working from Home and Digital Divides: Resilience during the Pandemic. </w:t>
      </w:r>
      <w:r w:rsidRPr="001C5663">
        <w:rPr>
          <w:rFonts w:asciiTheme="majorHAnsi" w:eastAsia="Noto Sans" w:hAnsiTheme="majorHAnsi" w:cstheme="majorHAnsi"/>
          <w:i/>
        </w:rPr>
        <w:t>Ann. Am. Assoc. Geogr</w:t>
      </w:r>
      <w:r w:rsidRPr="001C5663">
        <w:rPr>
          <w:rFonts w:asciiTheme="majorHAnsi" w:eastAsia="Noto Sans" w:hAnsiTheme="majorHAnsi" w:cstheme="majorHAnsi"/>
        </w:rPr>
        <w:t xml:space="preserve">. 0, 1–21. </w:t>
      </w:r>
      <w:hyperlink r:id="rId13">
        <w:r w:rsidRPr="001C5663">
          <w:rPr>
            <w:rFonts w:asciiTheme="majorHAnsi" w:eastAsia="Noto Sans" w:hAnsiTheme="majorHAnsi" w:cstheme="majorHAnsi"/>
            <w:color w:val="1155CC"/>
            <w:u w:val="single"/>
          </w:rPr>
          <w:t>https://doi.org/10.1080/24694452.2021.1939647</w:t>
        </w:r>
      </w:hyperlink>
    </w:p>
    <w:p w14:paraId="0000003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Chang, S., Pierson, E., Koh, P.W., Gerardin, J., Redbird, B., Grusky, D., Leskovec, J., 2021. Mobility network models of COVID-19 explain inequities and inform reopening. </w:t>
      </w:r>
      <w:r w:rsidRPr="001C5663">
        <w:rPr>
          <w:rFonts w:asciiTheme="majorHAnsi" w:eastAsia="Noto Sans" w:hAnsiTheme="majorHAnsi" w:cstheme="majorHAnsi"/>
          <w:i/>
        </w:rPr>
        <w:t>Nature</w:t>
      </w:r>
      <w:r w:rsidRPr="001C5663">
        <w:rPr>
          <w:rFonts w:asciiTheme="majorHAnsi" w:eastAsia="Noto Sans" w:hAnsiTheme="majorHAnsi" w:cstheme="majorHAnsi"/>
        </w:rPr>
        <w:t xml:space="preserve"> 589, 82–87. https://doi.org/10.1038/s41586-020-2923-3</w:t>
      </w:r>
    </w:p>
    <w:p w14:paraId="00000039"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Davies, N.G., Barnard, R.C., Jarvis, C.I., Russell, T.W., Semple, M.G., Jit, M., Edmunds, W.J., 2021. Association of tiered restrictions and a second lockdown with COVID-19 deaths and hospital admissions in England: a modelling study. </w:t>
      </w:r>
      <w:r w:rsidRPr="001C5663">
        <w:rPr>
          <w:rFonts w:asciiTheme="majorHAnsi" w:eastAsia="Noto Sans" w:hAnsiTheme="majorHAnsi" w:cstheme="majorHAnsi"/>
          <w:i/>
        </w:rPr>
        <w:t>Lancet Infect. Dis.</w:t>
      </w:r>
      <w:r w:rsidRPr="001C5663">
        <w:rPr>
          <w:rFonts w:asciiTheme="majorHAnsi" w:eastAsia="Noto Sans" w:hAnsiTheme="majorHAnsi" w:cstheme="majorHAnsi"/>
        </w:rPr>
        <w:t xml:space="preserve"> 21, 482–492. https://doi.org/10.1016/S1473-3099(20)30984-1</w:t>
      </w:r>
    </w:p>
    <w:p w14:paraId="0000003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Dueñas, M., Campi, M., Olmos, L.E., 2021. Changes in mobility and socioeconomic conditions during the COVID-19 outbreak. </w:t>
      </w:r>
      <w:r w:rsidRPr="001C5663">
        <w:rPr>
          <w:rFonts w:asciiTheme="majorHAnsi" w:eastAsia="Noto Sans" w:hAnsiTheme="majorHAnsi" w:cstheme="majorHAnsi"/>
          <w:i/>
        </w:rPr>
        <w:t>Humanit. Soc. Sci. Commun</w:t>
      </w:r>
      <w:r w:rsidRPr="001C5663">
        <w:rPr>
          <w:rFonts w:asciiTheme="majorHAnsi" w:eastAsia="Noto Sans" w:hAnsiTheme="majorHAnsi" w:cstheme="majorHAnsi"/>
        </w:rPr>
        <w:t xml:space="preserve">. 8, 101. </w:t>
      </w:r>
      <w:hyperlink r:id="rId14">
        <w:r w:rsidRPr="001C5663">
          <w:rPr>
            <w:rFonts w:asciiTheme="majorHAnsi" w:eastAsia="Noto Sans" w:hAnsiTheme="majorHAnsi" w:cstheme="majorHAnsi"/>
            <w:color w:val="1155CC"/>
            <w:u w:val="single"/>
          </w:rPr>
          <w:t>https://doi.org/10.1057/s41599-021-00775-0</w:t>
        </w:r>
      </w:hyperlink>
    </w:p>
    <w:p w14:paraId="0000003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Enoch, M., Monsuur, F., Palaiologou, G., Quddus, M.A., Ellis-Chadwick, F., Morton, C., Rayner, R., 2021. When COVID-19 came to town: Measuring the impact of the coronavirus pandemic on footfall on six high streets in England. </w:t>
      </w:r>
      <w:r w:rsidRPr="001C5663">
        <w:rPr>
          <w:rFonts w:asciiTheme="majorHAnsi" w:eastAsia="Noto Sans" w:hAnsiTheme="majorHAnsi" w:cstheme="majorHAnsi"/>
          <w:i/>
        </w:rPr>
        <w:t>Environ. Plan. B Urban Anal. City Sci.</w:t>
      </w:r>
      <w:r w:rsidRPr="001C5663">
        <w:rPr>
          <w:rFonts w:asciiTheme="majorHAnsi" w:eastAsia="Noto Sans" w:hAnsiTheme="majorHAnsi" w:cstheme="majorHAnsi"/>
        </w:rPr>
        <w:t xml:space="preserve"> 49, 1091–1111. </w:t>
      </w:r>
      <w:hyperlink r:id="rId15">
        <w:r w:rsidRPr="001C5663">
          <w:rPr>
            <w:rFonts w:asciiTheme="majorHAnsi" w:eastAsia="Noto Sans" w:hAnsiTheme="majorHAnsi" w:cstheme="majorHAnsi"/>
            <w:color w:val="1155CC"/>
            <w:u w:val="single"/>
          </w:rPr>
          <w:t>https://doi.org/10.1177/23998083211048497</w:t>
        </w:r>
      </w:hyperlink>
    </w:p>
    <w:p w14:paraId="0000003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Ge, Y., Zhang, W. Bin, Wu, X., Ruktanonchai, C.W., Liu, H., Wang, J., Song, Y., Liu, M., Yan, W., Yang, J., Cleary, E., Qader, S.H., Atuhaire, F., Ruktanonchai, N.W., Tatem, A.J., Lai, S., 2022. Untangling the changing impact of non-pharmaceutical interventions and vaccination on European COVID-19 trajectories. </w:t>
      </w:r>
      <w:r w:rsidRPr="001C5663">
        <w:rPr>
          <w:rFonts w:asciiTheme="majorHAnsi" w:eastAsia="Noto Sans" w:hAnsiTheme="majorHAnsi" w:cstheme="majorHAnsi"/>
          <w:i/>
        </w:rPr>
        <w:t>Nat. Commun</w:t>
      </w:r>
      <w:r w:rsidRPr="001C5663">
        <w:rPr>
          <w:rFonts w:asciiTheme="majorHAnsi" w:eastAsia="Noto Sans" w:hAnsiTheme="majorHAnsi" w:cstheme="majorHAnsi"/>
        </w:rPr>
        <w:t xml:space="preserve">. 13, 1–9. </w:t>
      </w:r>
      <w:hyperlink r:id="rId16">
        <w:r w:rsidRPr="001C5663">
          <w:rPr>
            <w:rFonts w:asciiTheme="majorHAnsi" w:eastAsia="Noto Sans" w:hAnsiTheme="majorHAnsi" w:cstheme="majorHAnsi"/>
            <w:color w:val="1155CC"/>
            <w:u w:val="single"/>
          </w:rPr>
          <w:t>https://doi.org/10.1038/s41467-022-30897-1</w:t>
        </w:r>
      </w:hyperlink>
    </w:p>
    <w:p w14:paraId="0000003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Glodeanu, A., Gullón, P., Bilal, U., 2021. Social inequalities in mobility during and following the COVID-19 associated lockdown of the Madrid metropolitan area in Spain.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102580. https://doi.org/10.1016/j.healthplace.2021.102580</w:t>
      </w:r>
    </w:p>
    <w:p w14:paraId="0000003E"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Hale, T., Angrist, N., Goldszmidt, R., Kira, B., Petherick, A., Phillips, T., Webster, S., Cameron-Blake, E., Hallas, L., Majumdar, S., Tatlow, H., 2021. A global panel database of pandemic policies (Oxford COVID-19 Government Response Tracker). </w:t>
      </w:r>
      <w:r w:rsidRPr="001C5663">
        <w:rPr>
          <w:rFonts w:asciiTheme="majorHAnsi" w:eastAsia="Noto Sans" w:hAnsiTheme="majorHAnsi" w:cstheme="majorHAnsi"/>
          <w:i/>
        </w:rPr>
        <w:t>Nat. Hum. Behav.</w:t>
      </w:r>
      <w:r w:rsidRPr="001C5663">
        <w:rPr>
          <w:rFonts w:asciiTheme="majorHAnsi" w:eastAsia="Noto Sans" w:hAnsiTheme="majorHAnsi" w:cstheme="majorHAnsi"/>
        </w:rPr>
        <w:t xml:space="preserve"> 5, 529–538. </w:t>
      </w:r>
      <w:hyperlink r:id="rId17">
        <w:r w:rsidRPr="001C5663">
          <w:rPr>
            <w:rFonts w:asciiTheme="majorHAnsi" w:eastAsia="Noto Sans" w:hAnsiTheme="majorHAnsi" w:cstheme="majorHAnsi"/>
            <w:color w:val="1155CC"/>
            <w:u w:val="single"/>
          </w:rPr>
          <w:t>https://doi.org/10.1038/s41562-021-01079-8</w:t>
        </w:r>
      </w:hyperlink>
    </w:p>
    <w:p w14:paraId="0000003F"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lastRenderedPageBreak/>
        <w:t xml:space="preserve">Haug, N., Geyrhofer, L., Londei, A., Dervic, E., Desvars-Larrive, A., Loreto, V., Pinior, B., Thurner, S., Klimek, P., 2020. Ranking the effectiveness of worldwide COVID-19 government interventions. </w:t>
      </w:r>
      <w:r w:rsidRPr="001C5663">
        <w:rPr>
          <w:rFonts w:asciiTheme="majorHAnsi" w:eastAsia="Noto Sans" w:hAnsiTheme="majorHAnsi" w:cstheme="majorHAnsi"/>
          <w:i/>
        </w:rPr>
        <w:t>Nat. Hum. Behav.</w:t>
      </w:r>
      <w:r w:rsidRPr="001C5663">
        <w:rPr>
          <w:rFonts w:asciiTheme="majorHAnsi" w:eastAsia="Noto Sans" w:hAnsiTheme="majorHAnsi" w:cstheme="majorHAnsi"/>
        </w:rPr>
        <w:t xml:space="preserve"> 4, 1303–1312. </w:t>
      </w:r>
      <w:hyperlink r:id="rId18">
        <w:r w:rsidRPr="001C5663">
          <w:rPr>
            <w:rFonts w:asciiTheme="majorHAnsi" w:eastAsia="Noto Sans" w:hAnsiTheme="majorHAnsi" w:cstheme="majorHAnsi"/>
            <w:color w:val="1155CC"/>
            <w:u w:val="single"/>
          </w:rPr>
          <w:t>https://doi.org/10.1038/s41562-020-01009-0</w:t>
        </w:r>
      </w:hyperlink>
    </w:p>
    <w:p w14:paraId="00000040"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Hong, B., Bonczak, B.J., Gupta, A., Thorpe, L.E., Kontokosta, C.E., 2021. Exposure density and neighborhood disparities in COVID-19 infection risk.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118, e2021258118. </w:t>
      </w:r>
      <w:hyperlink r:id="rId19">
        <w:r w:rsidRPr="001C5663">
          <w:rPr>
            <w:rFonts w:asciiTheme="majorHAnsi" w:eastAsia="Noto Sans" w:hAnsiTheme="majorHAnsi" w:cstheme="majorHAnsi"/>
            <w:color w:val="1155CC"/>
            <w:u w:val="single"/>
          </w:rPr>
          <w:t>https://doi.org/10.1073/pnas.2021258118</w:t>
        </w:r>
      </w:hyperlink>
    </w:p>
    <w:p w14:paraId="00000041"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Hu, S., Xiong, C., Liu, Z., Zhang, L., 2021a. Examining spatiotemporal changing patterns of bike-sharing usage during COVID-19 pandemic.</w:t>
      </w:r>
      <w:r w:rsidRPr="001C5663">
        <w:rPr>
          <w:rFonts w:asciiTheme="majorHAnsi" w:eastAsia="Noto Sans" w:hAnsiTheme="majorHAnsi" w:cstheme="majorHAnsi"/>
          <w:i/>
        </w:rPr>
        <w:t xml:space="preserve"> J. Transp. Geogr</w:t>
      </w:r>
      <w:r w:rsidRPr="001C5663">
        <w:rPr>
          <w:rFonts w:asciiTheme="majorHAnsi" w:eastAsia="Noto Sans" w:hAnsiTheme="majorHAnsi" w:cstheme="majorHAnsi"/>
        </w:rPr>
        <w:t>. 91, 102997. https://doi.org/10.1016/j.jtrangeo.2021.102997</w:t>
      </w:r>
    </w:p>
    <w:p w14:paraId="00000042"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Hu, S., Xiong, C., Yang, M., Younes, H., Luo, W., Zhang, L., 2021b. A big-data driven approach to analyzing and modeling human mobility trend under non-pharmaceutical interventions during COVID-19 pandemic. </w:t>
      </w:r>
      <w:r w:rsidRPr="001C5663">
        <w:rPr>
          <w:rFonts w:asciiTheme="majorHAnsi" w:eastAsia="Noto Sans" w:hAnsiTheme="majorHAnsi" w:cstheme="majorHAnsi"/>
          <w:i/>
        </w:rPr>
        <w:t>Transp. Res. Part C Emerg. Technol</w:t>
      </w:r>
      <w:r w:rsidRPr="001C5663">
        <w:rPr>
          <w:rFonts w:asciiTheme="majorHAnsi" w:eastAsia="Noto Sans" w:hAnsiTheme="majorHAnsi" w:cstheme="majorHAnsi"/>
        </w:rPr>
        <w:t xml:space="preserve">. 124, 102955. </w:t>
      </w:r>
      <w:hyperlink r:id="rId20">
        <w:r w:rsidRPr="001C5663">
          <w:rPr>
            <w:rFonts w:asciiTheme="majorHAnsi" w:eastAsia="Noto Sans" w:hAnsiTheme="majorHAnsi" w:cstheme="majorHAnsi"/>
            <w:color w:val="1155CC"/>
            <w:u w:val="single"/>
          </w:rPr>
          <w:t>https://doi.org/10.1016/j.trc.2020.102955</w:t>
        </w:r>
      </w:hyperlink>
    </w:p>
    <w:p w14:paraId="0000004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Jarvis, C.I., Gimma, A., van Zandvoort, K., Wong, K.L.M., Edmunds, W.J., 2021. The impact of local and national restrictions in response to COVID-19 on social contacts in England: a longitudinal natural experiment. </w:t>
      </w:r>
      <w:r w:rsidRPr="001C5663">
        <w:rPr>
          <w:rFonts w:asciiTheme="majorHAnsi" w:eastAsia="Noto Sans" w:hAnsiTheme="majorHAnsi" w:cstheme="majorHAnsi"/>
          <w:i/>
        </w:rPr>
        <w:t>BMC Med</w:t>
      </w:r>
      <w:r w:rsidRPr="001C5663">
        <w:rPr>
          <w:rFonts w:asciiTheme="majorHAnsi" w:eastAsia="Noto Sans" w:hAnsiTheme="majorHAnsi" w:cstheme="majorHAnsi"/>
        </w:rPr>
        <w:t xml:space="preserve">. 19, 52. </w:t>
      </w:r>
      <w:hyperlink r:id="rId21">
        <w:r w:rsidRPr="001C5663">
          <w:rPr>
            <w:rFonts w:asciiTheme="majorHAnsi" w:eastAsia="Noto Sans" w:hAnsiTheme="majorHAnsi" w:cstheme="majorHAnsi"/>
            <w:color w:val="1155CC"/>
            <w:u w:val="single"/>
          </w:rPr>
          <w:t>https://doi.org/10.1186/s12916-021-01924-7</w:t>
        </w:r>
      </w:hyperlink>
    </w:p>
    <w:p w14:paraId="0000004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Kellermann, R., Sivizaca Conde, D., Rößler, D., Kliewer, N., Dienel, H.L., 2022. Mobility in pandemic times: Exploring changes and long-term effects of COVID-19 on urban mobility behavior.</w:t>
      </w:r>
      <w:r w:rsidRPr="001C5663">
        <w:rPr>
          <w:rFonts w:asciiTheme="majorHAnsi" w:eastAsia="Noto Sans" w:hAnsiTheme="majorHAnsi" w:cstheme="majorHAnsi"/>
          <w:i/>
        </w:rPr>
        <w:t xml:space="preserve"> Transp. Res. Interdiscip. Perspect.</w:t>
      </w:r>
      <w:r w:rsidRPr="001C5663">
        <w:rPr>
          <w:rFonts w:asciiTheme="majorHAnsi" w:eastAsia="Noto Sans" w:hAnsiTheme="majorHAnsi" w:cstheme="majorHAnsi"/>
        </w:rPr>
        <w:t xml:space="preserve"> 15. </w:t>
      </w:r>
      <w:hyperlink r:id="rId22">
        <w:r w:rsidRPr="001C5663">
          <w:rPr>
            <w:rFonts w:asciiTheme="majorHAnsi" w:eastAsia="Noto Sans" w:hAnsiTheme="majorHAnsi" w:cstheme="majorHAnsi"/>
            <w:color w:val="1155CC"/>
            <w:u w:val="single"/>
          </w:rPr>
          <w:t>https://doi.org/10.1016/j.trip.2022.100668</w:t>
        </w:r>
      </w:hyperlink>
    </w:p>
    <w:p w14:paraId="0000004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C., Cheon, S.H., Choi, K., Joh, C.-H., Lee, H.-J., 2017. Exposure to fear: Changes in travel behavior during MERS outbreak in Seoul.</w:t>
      </w:r>
      <w:r w:rsidRPr="001C5663">
        <w:rPr>
          <w:rFonts w:asciiTheme="majorHAnsi" w:eastAsia="Noto Sans" w:hAnsiTheme="majorHAnsi" w:cstheme="majorHAnsi"/>
          <w:i/>
        </w:rPr>
        <w:t xml:space="preserve"> KSCE J. Civ. Eng</w:t>
      </w:r>
      <w:r w:rsidRPr="001C5663">
        <w:rPr>
          <w:rFonts w:asciiTheme="majorHAnsi" w:eastAsia="Noto Sans" w:hAnsiTheme="majorHAnsi" w:cstheme="majorHAnsi"/>
        </w:rPr>
        <w:t>. 21, 2888–2895. https://doi.org/10.1007/s12205-017-0821-5</w:t>
      </w:r>
    </w:p>
    <w:p w14:paraId="0000004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J., Kwan, M.-P., 2021. The impact of the COVID-19 pandemic on people’s mobility: A longitudinal study of the U.S. from March to September of 2020.</w:t>
      </w:r>
      <w:r w:rsidRPr="001C5663">
        <w:rPr>
          <w:rFonts w:asciiTheme="majorHAnsi" w:eastAsia="Noto Sans" w:hAnsiTheme="majorHAnsi" w:cstheme="majorHAnsi"/>
          <w:i/>
        </w:rPr>
        <w:t xml:space="preserve"> J. Transp. Geogr. </w:t>
      </w:r>
      <w:r w:rsidRPr="001C5663">
        <w:rPr>
          <w:rFonts w:asciiTheme="majorHAnsi" w:eastAsia="Noto Sans" w:hAnsiTheme="majorHAnsi" w:cstheme="majorHAnsi"/>
        </w:rPr>
        <w:t>93, 103039. https://doi.org/10.1016/j.jtrangeo.2021.103039</w:t>
      </w:r>
    </w:p>
    <w:p w14:paraId="0000004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S., Jang, K., Yeo, J., 2023. Non-linear impacts of COVID-19 pandemic on human mobility: Lessons from its variations across three pandemic waves.</w:t>
      </w:r>
      <w:r w:rsidRPr="001C5663">
        <w:rPr>
          <w:rFonts w:asciiTheme="majorHAnsi" w:eastAsia="Noto Sans" w:hAnsiTheme="majorHAnsi" w:cstheme="majorHAnsi"/>
          <w:i/>
        </w:rPr>
        <w:t xml:space="preserve"> Sustain. Cities Soc</w:t>
      </w:r>
      <w:r w:rsidRPr="001C5663">
        <w:rPr>
          <w:rFonts w:asciiTheme="majorHAnsi" w:eastAsia="Noto Sans" w:hAnsiTheme="majorHAnsi" w:cstheme="majorHAnsi"/>
        </w:rPr>
        <w:t>. 97, 104769. https://doi.org/10.1016/j.scs.2023.104769</w:t>
      </w:r>
    </w:p>
    <w:p w14:paraId="0000004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Kim, S., Lee, S., Ko, E., Jang, K., Yeo, J., 2021. Changes in car and bus usage amid the COVID-19 pandemic: Relationship with land use and land price. </w:t>
      </w:r>
      <w:r w:rsidRPr="001C5663">
        <w:rPr>
          <w:rFonts w:asciiTheme="majorHAnsi" w:eastAsia="Noto Sans" w:hAnsiTheme="majorHAnsi" w:cstheme="majorHAnsi"/>
          <w:i/>
        </w:rPr>
        <w:t>J. Transp. Geogr.</w:t>
      </w:r>
      <w:r w:rsidRPr="001C5663">
        <w:rPr>
          <w:rFonts w:asciiTheme="majorHAnsi" w:eastAsia="Noto Sans" w:hAnsiTheme="majorHAnsi" w:cstheme="majorHAnsi"/>
        </w:rPr>
        <w:t xml:space="preserve"> 96, 103168. </w:t>
      </w:r>
      <w:hyperlink r:id="rId23">
        <w:r w:rsidRPr="001C5663">
          <w:rPr>
            <w:rFonts w:asciiTheme="majorHAnsi" w:eastAsia="Noto Sans" w:hAnsiTheme="majorHAnsi" w:cstheme="majorHAnsi"/>
            <w:color w:val="1155CC"/>
            <w:u w:val="single"/>
          </w:rPr>
          <w:t>https://doi.org/10.1016/j.jtrangeo.2021.103168</w:t>
        </w:r>
      </w:hyperlink>
    </w:p>
    <w:p w14:paraId="00000049"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11, 6995. https://doi.org/10.1038/s41598-021-86297-w</w:t>
      </w:r>
    </w:p>
    <w:p w14:paraId="0000004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6995. </w:t>
      </w:r>
      <w:hyperlink r:id="rId24">
        <w:r w:rsidRPr="001C5663">
          <w:rPr>
            <w:rFonts w:asciiTheme="majorHAnsi" w:eastAsia="Noto Sans" w:hAnsiTheme="majorHAnsi" w:cstheme="majorHAnsi"/>
            <w:color w:val="1155CC"/>
            <w:u w:val="single"/>
          </w:rPr>
          <w:t>https://doi.org/10.1038/s41598-021-86297-w</w:t>
        </w:r>
      </w:hyperlink>
    </w:p>
    <w:p w14:paraId="0000004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Kwan, M., 2021. The stationarity bias in research on the environmental determinants of health.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102609. https://doi.org/10.1016/j.healthplace.2021.102609</w:t>
      </w:r>
    </w:p>
    <w:p w14:paraId="0000004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Lee, W. Do, Qian, M., Schwanen, T., 2021. The association between socioeconomic status and mobility reductions in the early stage of England’s COVID-19 epidemic.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69, 102563. https://doi.org/10.1016/j.healthplace.2021.102563</w:t>
      </w:r>
    </w:p>
    <w:p w14:paraId="0000004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Li, L., Sullivan, A., Musah, A., Stavrianaki, K., Wood, C.E., Baker, P., Kostkova, P., 2022. To Zoom or not to Zoom: A longitudinal study of UK population’s activities during the COVID-19 pandemic. </w:t>
      </w:r>
      <w:r w:rsidRPr="001C5663">
        <w:rPr>
          <w:rFonts w:asciiTheme="majorHAnsi" w:eastAsia="Noto Sans" w:hAnsiTheme="majorHAnsi" w:cstheme="majorHAnsi"/>
          <w:i/>
        </w:rPr>
        <w:t>PLoS One</w:t>
      </w:r>
      <w:r w:rsidRPr="001C5663">
        <w:rPr>
          <w:rFonts w:asciiTheme="majorHAnsi" w:eastAsia="Noto Sans" w:hAnsiTheme="majorHAnsi" w:cstheme="majorHAnsi"/>
        </w:rPr>
        <w:t xml:space="preserve"> 17, 1–18. </w:t>
      </w:r>
      <w:hyperlink r:id="rId25">
        <w:r w:rsidRPr="001C5663">
          <w:rPr>
            <w:rFonts w:asciiTheme="majorHAnsi" w:eastAsia="Noto Sans" w:hAnsiTheme="majorHAnsi" w:cstheme="majorHAnsi"/>
            <w:color w:val="1155CC"/>
            <w:u w:val="single"/>
          </w:rPr>
          <w:t>https://doi.org/10.1371/journal.pone.0270207</w:t>
        </w:r>
      </w:hyperlink>
    </w:p>
    <w:p w14:paraId="0000004E"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lastRenderedPageBreak/>
        <w:t xml:space="preserve">Liu, Y., Wang, X., Song, C., Chen, J., Shu, H., Wu, M., Guo, S., Huang, Q., Pei, T., 2023. Quantifying human mobility resilience to the COVID-19 pandemic: A case study of Beijing, China. </w:t>
      </w:r>
      <w:r w:rsidRPr="001C5663">
        <w:rPr>
          <w:rFonts w:asciiTheme="majorHAnsi" w:eastAsia="Noto Sans" w:hAnsiTheme="majorHAnsi" w:cstheme="majorHAnsi"/>
          <w:i/>
        </w:rPr>
        <w:t>Sustain. Cities Soc</w:t>
      </w:r>
      <w:r w:rsidRPr="001C5663">
        <w:rPr>
          <w:rFonts w:asciiTheme="majorHAnsi" w:eastAsia="Noto Sans" w:hAnsiTheme="majorHAnsi" w:cstheme="majorHAnsi"/>
        </w:rPr>
        <w:t xml:space="preserve">. 89, 104314. </w:t>
      </w:r>
      <w:hyperlink r:id="rId26">
        <w:r w:rsidRPr="001C5663">
          <w:rPr>
            <w:rFonts w:asciiTheme="majorHAnsi" w:eastAsia="Noto Sans" w:hAnsiTheme="majorHAnsi" w:cstheme="majorHAnsi"/>
            <w:color w:val="1155CC"/>
            <w:u w:val="single"/>
          </w:rPr>
          <w:t>https://doi.org/10.1016/j.scs.2022.104314</w:t>
        </w:r>
      </w:hyperlink>
      <w:r w:rsidRPr="001C5663">
        <w:rPr>
          <w:rFonts w:asciiTheme="majorHAnsi" w:eastAsia="Noto Sans" w:hAnsiTheme="majorHAnsi" w:cstheme="majorHAnsi"/>
        </w:rPr>
        <w:t xml:space="preserve"> </w:t>
      </w:r>
    </w:p>
    <w:p w14:paraId="0000004F"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Lou, J., Shen, X., Niemeier, D., 2020. Are stay-at-home orders more difficult to follow for low-income groups?</w:t>
      </w:r>
      <w:r w:rsidRPr="001C5663">
        <w:rPr>
          <w:rFonts w:asciiTheme="majorHAnsi" w:eastAsia="Noto Sans" w:hAnsiTheme="majorHAnsi" w:cstheme="majorHAnsi"/>
          <w:i/>
        </w:rPr>
        <w:t xml:space="preserve"> J. Transp. Geogr</w:t>
      </w:r>
      <w:r w:rsidRPr="001C5663">
        <w:rPr>
          <w:rFonts w:asciiTheme="majorHAnsi" w:eastAsia="Noto Sans" w:hAnsiTheme="majorHAnsi" w:cstheme="majorHAnsi"/>
        </w:rPr>
        <w:t xml:space="preserve">. 89, 102894. </w:t>
      </w:r>
      <w:hyperlink r:id="rId27">
        <w:r w:rsidRPr="001C5663">
          <w:rPr>
            <w:rFonts w:asciiTheme="majorHAnsi" w:eastAsia="Noto Sans" w:hAnsiTheme="majorHAnsi" w:cstheme="majorHAnsi"/>
            <w:color w:val="1155CC"/>
            <w:u w:val="single"/>
          </w:rPr>
          <w:t>https://doi.org/10.1016/j.jtrangeo.2020.102894</w:t>
        </w:r>
      </w:hyperlink>
    </w:p>
    <w:p w14:paraId="00000050"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Lucchini, L., Centellegher, S., Pappalardo, L., Gallotti, R., Privitera, F., Lepri, B., De Nadai, M., 2021. Living in a pandemic: changes in mobility routines, social activity and adherence to COVID-19 protective measures.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24452. </w:t>
      </w:r>
      <w:hyperlink r:id="rId28">
        <w:r w:rsidRPr="001C5663">
          <w:rPr>
            <w:rFonts w:asciiTheme="majorHAnsi" w:eastAsia="Noto Sans" w:hAnsiTheme="majorHAnsi" w:cstheme="majorHAnsi"/>
            <w:color w:val="1155CC"/>
            <w:u w:val="single"/>
          </w:rPr>
          <w:t>https://doi.org/10.1038/s41598-021-04139-1</w:t>
        </w:r>
      </w:hyperlink>
    </w:p>
    <w:p w14:paraId="00000051"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Schatzmann, T., Schoeman, B., Tchervenkov, C., Hintermann, B., Axhausen, K.W., 2021. Observed impacts of the Covid-19 first wave on travel behaviour in Switzerland based on a large GPS panel.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104, 43–51. </w:t>
      </w:r>
      <w:hyperlink r:id="rId29">
        <w:r w:rsidRPr="001C5663">
          <w:rPr>
            <w:rFonts w:asciiTheme="majorHAnsi" w:eastAsia="Noto Sans" w:hAnsiTheme="majorHAnsi" w:cstheme="majorHAnsi"/>
            <w:color w:val="1155CC"/>
            <w:u w:val="single"/>
          </w:rPr>
          <w:t>https://doi.org/10.1016/j.tranpol.2021.01.009</w:t>
        </w:r>
      </w:hyperlink>
    </w:p>
    <w:p w14:paraId="00000052"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Tchervenkov, C., Hintermann, B., Axhausen, K.W., 2020. Tracing the Sars-CoV-2 Impact: The First Month in Switzerland. </w:t>
      </w:r>
      <w:r w:rsidRPr="001C5663">
        <w:rPr>
          <w:rFonts w:asciiTheme="majorHAnsi" w:eastAsia="Noto Sans" w:hAnsiTheme="majorHAnsi" w:cstheme="majorHAnsi"/>
          <w:i/>
        </w:rPr>
        <w:t>Findings</w:t>
      </w:r>
      <w:r w:rsidRPr="001C5663">
        <w:rPr>
          <w:rFonts w:asciiTheme="majorHAnsi" w:eastAsia="Noto Sans" w:hAnsiTheme="majorHAnsi" w:cstheme="majorHAnsi"/>
        </w:rPr>
        <w:t xml:space="preserve"> 2014. </w:t>
      </w:r>
      <w:hyperlink r:id="rId30">
        <w:r w:rsidRPr="001C5663">
          <w:rPr>
            <w:rFonts w:asciiTheme="majorHAnsi" w:eastAsia="Noto Sans" w:hAnsiTheme="majorHAnsi" w:cstheme="majorHAnsi"/>
            <w:color w:val="1155CC"/>
            <w:u w:val="single"/>
          </w:rPr>
          <w:t>https://doi.org/10.32866/001c.12903</w:t>
        </w:r>
      </w:hyperlink>
    </w:p>
    <w:p w14:paraId="0000005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Mouratidis, K., Yiannakou, A., 2022. COVID-19 and urban planning: Built environment, health, and well-being in Greek cities before and during the pandemic.</w:t>
      </w:r>
      <w:r w:rsidRPr="001C5663">
        <w:rPr>
          <w:rFonts w:asciiTheme="majorHAnsi" w:eastAsia="Noto Sans" w:hAnsiTheme="majorHAnsi" w:cstheme="majorHAnsi"/>
          <w:i/>
        </w:rPr>
        <w:t xml:space="preserve"> Cities</w:t>
      </w:r>
      <w:r w:rsidRPr="001C5663">
        <w:rPr>
          <w:rFonts w:asciiTheme="majorHAnsi" w:eastAsia="Noto Sans" w:hAnsiTheme="majorHAnsi" w:cstheme="majorHAnsi"/>
        </w:rPr>
        <w:t xml:space="preserve"> 121, 103491. </w:t>
      </w:r>
      <w:hyperlink r:id="rId31">
        <w:r w:rsidRPr="001C5663">
          <w:rPr>
            <w:rFonts w:asciiTheme="majorHAnsi" w:eastAsia="Noto Sans" w:hAnsiTheme="majorHAnsi" w:cstheme="majorHAnsi"/>
            <w:color w:val="1155CC"/>
            <w:u w:val="single"/>
          </w:rPr>
          <w:t>https://doi.org/10.1016/j.cities.2021.103491</w:t>
        </w:r>
      </w:hyperlink>
    </w:p>
    <w:p w14:paraId="0000005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Noi, E., Rudolph, A., Dodge, S., 2022. Assessing COVID-induced changes in spatiotemporal structure of mobility in the United States in 2020: a multi-source analytical framework. Int. J. Geogr. Inf. Sci. 36, 585–616. </w:t>
      </w:r>
      <w:hyperlink r:id="rId32">
        <w:r w:rsidRPr="001C5663">
          <w:rPr>
            <w:rFonts w:asciiTheme="majorHAnsi" w:eastAsia="Noto Sans" w:hAnsiTheme="majorHAnsi" w:cstheme="majorHAnsi"/>
            <w:color w:val="1155CC"/>
            <w:u w:val="single"/>
          </w:rPr>
          <w:t>https://doi.org/10.1080/13658816.2021.2005796</w:t>
        </w:r>
      </w:hyperlink>
      <w:r w:rsidRPr="001C5663">
        <w:rPr>
          <w:rFonts w:asciiTheme="majorHAnsi" w:eastAsia="Noto Sans" w:hAnsiTheme="majorHAnsi" w:cstheme="majorHAnsi"/>
        </w:rPr>
        <w:t xml:space="preserve"> </w:t>
      </w:r>
    </w:p>
    <w:p w14:paraId="0000005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Oliver, N., Lepri, B., Sterly, H., Lambiotte, R., Deletaille, S., De Nadai, M., Letouzé, E., Salah, A.A., Benjamins, R., Cattuto, C., Colizza, V., de Cordes, N., Fraiberger, S.P., Koebe, T., Lehmann, S., Murillo, J., Pentland, A., Pham, P.N., Pivetta, F., Saramäki, J., Scarpino, S. V., Tizzoni, M., Verhulst, S., Vinck, P., 2020. Mobile phone data for informing public health actions across the COVID-19 pandemic life cycle. </w:t>
      </w:r>
      <w:r w:rsidRPr="001C5663">
        <w:rPr>
          <w:rFonts w:asciiTheme="majorHAnsi" w:eastAsia="Noto Sans" w:hAnsiTheme="majorHAnsi" w:cstheme="majorHAnsi"/>
          <w:i/>
        </w:rPr>
        <w:t xml:space="preserve">Sci. Adv. </w:t>
      </w:r>
      <w:r w:rsidRPr="001C5663">
        <w:rPr>
          <w:rFonts w:asciiTheme="majorHAnsi" w:eastAsia="Noto Sans" w:hAnsiTheme="majorHAnsi" w:cstheme="majorHAnsi"/>
        </w:rPr>
        <w:t xml:space="preserve">6, eabc0764. </w:t>
      </w:r>
      <w:hyperlink r:id="rId33">
        <w:r w:rsidRPr="001C5663">
          <w:rPr>
            <w:rFonts w:asciiTheme="majorHAnsi" w:eastAsia="Noto Sans" w:hAnsiTheme="majorHAnsi" w:cstheme="majorHAnsi"/>
            <w:color w:val="1155CC"/>
            <w:u w:val="single"/>
          </w:rPr>
          <w:t>https://doi.org/10.1126/sciadv.abc0764</w:t>
        </w:r>
      </w:hyperlink>
    </w:p>
    <w:p w14:paraId="0000005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Presti, S. Lo, Mattavelli, G., Canessa, N., Gianelli, C., 2022. Risk perception and behaviour during the COVID-19 pandemic: Predicting variables of compliance with lockdown measures. </w:t>
      </w:r>
      <w:r w:rsidRPr="001C5663">
        <w:rPr>
          <w:rFonts w:asciiTheme="majorHAnsi" w:eastAsia="Noto Sans" w:hAnsiTheme="majorHAnsi" w:cstheme="majorHAnsi"/>
          <w:i/>
        </w:rPr>
        <w:t>PLoS One</w:t>
      </w:r>
      <w:r w:rsidRPr="001C5663">
        <w:rPr>
          <w:rFonts w:asciiTheme="majorHAnsi" w:eastAsia="Noto Sans" w:hAnsiTheme="majorHAnsi" w:cstheme="majorHAnsi"/>
        </w:rPr>
        <w:t xml:space="preserve"> 17, 1–18. https://doi.org/10.1371/journal.pone.0262319</w:t>
      </w:r>
    </w:p>
    <w:p w14:paraId="0000005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Rose, N., Rowe, F., Dolega, L., 2023. How consumer behaviours changed in response to COVID-19 lockdown stringency measures: A case study of Walmart.</w:t>
      </w:r>
      <w:r w:rsidRPr="001C5663">
        <w:rPr>
          <w:rFonts w:asciiTheme="majorHAnsi" w:eastAsia="Noto Sans" w:hAnsiTheme="majorHAnsi" w:cstheme="majorHAnsi"/>
          <w:i/>
        </w:rPr>
        <w:t xml:space="preserve"> Appl. Geogr. </w:t>
      </w:r>
      <w:r w:rsidRPr="001C5663">
        <w:rPr>
          <w:rFonts w:asciiTheme="majorHAnsi" w:eastAsia="Noto Sans" w:hAnsiTheme="majorHAnsi" w:cstheme="majorHAnsi"/>
        </w:rPr>
        <w:t xml:space="preserve">154, 102948. </w:t>
      </w:r>
      <w:hyperlink r:id="rId34">
        <w:r w:rsidRPr="001C5663">
          <w:rPr>
            <w:rFonts w:asciiTheme="majorHAnsi" w:eastAsia="Noto Sans" w:hAnsiTheme="majorHAnsi" w:cstheme="majorHAnsi"/>
            <w:color w:val="1155CC"/>
            <w:u w:val="single"/>
          </w:rPr>
          <w:t>https://doi.org/10.1016/j.apgeog.2023.102948</w:t>
        </w:r>
      </w:hyperlink>
    </w:p>
    <w:p w14:paraId="0000005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Ross, S., Breckenridge, G., Zhuang, M., Manley, E., 2021. Household visitation during the COVID-19 pandemic.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22871. https://doi.org/10.1038/s41598-021-02092-7</w:t>
      </w:r>
    </w:p>
    <w:p w14:paraId="00000059"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Stanesby, O., Greaves, S., Jose, K., Sharman, M., Blizzard, L., Palmer, A.J., Evans, J., Cooper, K., Morse, M., Cleland, V., 2023. A prospective study of the impact of COVID-19-related restrictions on activities and mobility upon physical activity, travel behaviour and attitudes. </w:t>
      </w:r>
      <w:r w:rsidRPr="001C5663">
        <w:rPr>
          <w:rFonts w:asciiTheme="majorHAnsi" w:eastAsia="Noto Sans" w:hAnsiTheme="majorHAnsi" w:cstheme="majorHAnsi"/>
          <w:i/>
        </w:rPr>
        <w:t>J. Transp. Heal</w:t>
      </w:r>
      <w:r w:rsidRPr="001C5663">
        <w:rPr>
          <w:rFonts w:asciiTheme="majorHAnsi" w:eastAsia="Noto Sans" w:hAnsiTheme="majorHAnsi" w:cstheme="majorHAnsi"/>
        </w:rPr>
        <w:t xml:space="preserve">. 31, 101624. </w:t>
      </w:r>
      <w:hyperlink r:id="rId35">
        <w:r w:rsidRPr="001C5663">
          <w:rPr>
            <w:rFonts w:asciiTheme="majorHAnsi" w:eastAsia="Noto Sans" w:hAnsiTheme="majorHAnsi" w:cstheme="majorHAnsi"/>
            <w:color w:val="1155CC"/>
            <w:u w:val="single"/>
          </w:rPr>
          <w:t>https://doi.org/10.1016/j.jth.2023.101624</w:t>
        </w:r>
      </w:hyperlink>
    </w:p>
    <w:p w14:paraId="0000005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Huang, J., Yang, H., Levinson, D., 2022. Resilience and recovery of public transport use during COVID-19. </w:t>
      </w:r>
      <w:r w:rsidRPr="001C5663">
        <w:rPr>
          <w:rFonts w:asciiTheme="majorHAnsi" w:eastAsia="Noto Sans" w:hAnsiTheme="majorHAnsi" w:cstheme="majorHAnsi"/>
          <w:i/>
        </w:rPr>
        <w:t>npj Urban Sustain</w:t>
      </w:r>
      <w:r w:rsidRPr="001C5663">
        <w:rPr>
          <w:rFonts w:asciiTheme="majorHAnsi" w:eastAsia="Noto Sans" w:hAnsiTheme="majorHAnsi" w:cstheme="majorHAnsi"/>
        </w:rPr>
        <w:t xml:space="preserve">. 2, 18. </w:t>
      </w:r>
      <w:hyperlink r:id="rId36">
        <w:r w:rsidRPr="001C5663">
          <w:rPr>
            <w:rFonts w:asciiTheme="majorHAnsi" w:eastAsia="Noto Sans" w:hAnsiTheme="majorHAnsi" w:cstheme="majorHAnsi"/>
            <w:color w:val="1155CC"/>
            <w:u w:val="single"/>
          </w:rPr>
          <w:t>https://doi.org/10.1038/s42949-022-00061-1</w:t>
        </w:r>
      </w:hyperlink>
    </w:p>
    <w:p w14:paraId="0000005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Kaza, N., McDonald, N.C., Khanal, K., 2022. Socio-economic disparities in activity-travel behavior adaptation during the COVID-19 pandemic in North Carolina.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125, 70–78. </w:t>
      </w:r>
      <w:hyperlink r:id="rId37">
        <w:r w:rsidRPr="001C5663">
          <w:rPr>
            <w:rFonts w:asciiTheme="majorHAnsi" w:eastAsia="Noto Sans" w:hAnsiTheme="majorHAnsi" w:cstheme="majorHAnsi"/>
            <w:color w:val="1155CC"/>
            <w:u w:val="single"/>
          </w:rPr>
          <w:t>https://doi.org/10.1016/j.tranpol.2022.05.012</w:t>
        </w:r>
      </w:hyperlink>
    </w:p>
    <w:p w14:paraId="0000005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Weill, J.A., Stigler, M., Deschenes, O., Springborn, M.R., 2020. Social distancing responses to COVID-19 emergency declarations strongly differentiated by income.</w:t>
      </w:r>
      <w:r w:rsidRPr="001C5663">
        <w:rPr>
          <w:rFonts w:asciiTheme="majorHAnsi" w:eastAsia="Noto Sans" w:hAnsiTheme="majorHAnsi" w:cstheme="majorHAnsi"/>
          <w:i/>
        </w:rPr>
        <w:t xml:space="preserve"> Proc. Natl. Acad. Sci</w:t>
      </w:r>
      <w:r w:rsidRPr="001C5663">
        <w:rPr>
          <w:rFonts w:asciiTheme="majorHAnsi" w:eastAsia="Noto Sans" w:hAnsiTheme="majorHAnsi" w:cstheme="majorHAnsi"/>
        </w:rPr>
        <w:t xml:space="preserve">. 117, 19658–19660. </w:t>
      </w:r>
      <w:hyperlink r:id="rId38">
        <w:r w:rsidRPr="001C5663">
          <w:rPr>
            <w:rFonts w:asciiTheme="majorHAnsi" w:eastAsia="Noto Sans" w:hAnsiTheme="majorHAnsi" w:cstheme="majorHAnsi"/>
            <w:color w:val="1155CC"/>
            <w:u w:val="single"/>
          </w:rPr>
          <w:t>https://doi.org/10.1073/pnas.2009412117</w:t>
        </w:r>
      </w:hyperlink>
    </w:p>
    <w:p w14:paraId="0000005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Xiong, C., Hu, S., Yang, M., Luo, W., Zhang, L., 2020. Mobile device data reveal the dynamics in a </w:t>
      </w:r>
      <w:r w:rsidRPr="001C5663">
        <w:rPr>
          <w:rFonts w:asciiTheme="majorHAnsi" w:eastAsia="Noto Sans" w:hAnsiTheme="majorHAnsi" w:cstheme="majorHAnsi"/>
        </w:rPr>
        <w:lastRenderedPageBreak/>
        <w:t xml:space="preserve">positive relationship between human mobility and COVID-19 infections.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117, 27087–27089. </w:t>
      </w:r>
      <w:hyperlink r:id="rId39">
        <w:r w:rsidRPr="001C5663">
          <w:rPr>
            <w:rFonts w:asciiTheme="majorHAnsi" w:eastAsia="Noto Sans" w:hAnsiTheme="majorHAnsi" w:cstheme="majorHAnsi"/>
            <w:color w:val="1155CC"/>
            <w:u w:val="single"/>
          </w:rPr>
          <w:t>https://doi.org/10.1073/pnas.2010836117</w:t>
        </w:r>
      </w:hyperlink>
    </w:p>
    <w:p w14:paraId="0000005E"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Yabe, T., Bueno, B.G.B., Dong, X., Pentland, A., Moro, E., 2023. Behavioral changes during the COVID-19 pandemic decreased income diversity of urban encounters. </w:t>
      </w:r>
      <w:r w:rsidRPr="001C5663">
        <w:rPr>
          <w:rFonts w:asciiTheme="majorHAnsi" w:eastAsia="Noto Sans" w:hAnsiTheme="majorHAnsi" w:cstheme="majorHAnsi"/>
          <w:i/>
        </w:rPr>
        <w:t>Nat. Commun</w:t>
      </w:r>
      <w:r w:rsidRPr="001C5663">
        <w:rPr>
          <w:rFonts w:asciiTheme="majorHAnsi" w:eastAsia="Noto Sans" w:hAnsiTheme="majorHAnsi" w:cstheme="majorHAnsi"/>
        </w:rPr>
        <w:t xml:space="preserve">. 14, 2310. </w:t>
      </w:r>
      <w:hyperlink r:id="rId40">
        <w:r w:rsidRPr="001C5663">
          <w:rPr>
            <w:rFonts w:asciiTheme="majorHAnsi" w:eastAsia="Noto Sans" w:hAnsiTheme="majorHAnsi" w:cstheme="majorHAnsi"/>
            <w:color w:val="1155CC"/>
            <w:u w:val="single"/>
          </w:rPr>
          <w:t>https://doi.org/10.1038/s41467-023-37913-y</w:t>
        </w:r>
      </w:hyperlink>
    </w:p>
    <w:p w14:paraId="0000005F"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Zhu, R., Anselin, L., Batty, M., Kwan, M.-P., Chen, M., Luo, W., Cheng, T., Lim, C.K., Santi, P., Cheng, C., Gu, Q., Wong, M.S., Zhang, K., Lü, G., Ratti, C., 2022. The effects of different travel modes and travel destinations on COVID-19 transmission in global cities. </w:t>
      </w:r>
      <w:r w:rsidRPr="001C5663">
        <w:rPr>
          <w:rFonts w:asciiTheme="majorHAnsi" w:eastAsia="Noto Sans" w:hAnsiTheme="majorHAnsi" w:cstheme="majorHAnsi"/>
          <w:i/>
        </w:rPr>
        <w:t>Sci. Bull</w:t>
      </w:r>
      <w:r w:rsidRPr="001C5663">
        <w:rPr>
          <w:rFonts w:asciiTheme="majorHAnsi" w:eastAsia="Noto Sans" w:hAnsiTheme="majorHAnsi" w:cstheme="majorHAnsi"/>
        </w:rPr>
        <w:t xml:space="preserve">. 67, 588–592. </w:t>
      </w:r>
      <w:hyperlink r:id="rId41">
        <w:r w:rsidRPr="001C5663">
          <w:rPr>
            <w:rFonts w:asciiTheme="majorHAnsi" w:eastAsia="Noto Sans" w:hAnsiTheme="majorHAnsi" w:cstheme="majorHAnsi"/>
            <w:color w:val="1155CC"/>
            <w:u w:val="single"/>
          </w:rPr>
          <w:t>https://doi.org/10.1016/j.scib.2021.11.023</w:t>
        </w:r>
      </w:hyperlink>
    </w:p>
    <w:p w14:paraId="00000060" w14:textId="77777777" w:rsidR="00822B93" w:rsidRPr="001C5663" w:rsidRDefault="00822B93" w:rsidP="001C5663">
      <w:pPr>
        <w:widowControl w:val="0"/>
        <w:pBdr>
          <w:top w:val="nil"/>
          <w:left w:val="nil"/>
          <w:bottom w:val="nil"/>
          <w:right w:val="nil"/>
          <w:between w:val="nil"/>
        </w:pBdr>
        <w:rPr>
          <w:rFonts w:asciiTheme="majorHAnsi" w:eastAsia="Noto Sans" w:hAnsiTheme="majorHAnsi" w:cstheme="majorHAnsi"/>
        </w:rPr>
      </w:pPr>
    </w:p>
    <w:p w14:paraId="00000061" w14:textId="77777777" w:rsidR="00822B93" w:rsidRPr="001C5663" w:rsidRDefault="00822B93" w:rsidP="001C5663">
      <w:pPr>
        <w:widowControl w:val="0"/>
        <w:pBdr>
          <w:top w:val="nil"/>
          <w:left w:val="nil"/>
          <w:bottom w:val="nil"/>
          <w:right w:val="nil"/>
          <w:between w:val="nil"/>
        </w:pBdr>
        <w:ind w:left="566" w:hanging="708"/>
        <w:rPr>
          <w:rFonts w:asciiTheme="majorHAnsi" w:eastAsia="Noto Sans" w:hAnsiTheme="majorHAnsi" w:cstheme="majorHAnsi"/>
        </w:rPr>
      </w:pPr>
    </w:p>
    <w:p w14:paraId="00000062" w14:textId="77777777" w:rsidR="00822B93" w:rsidRPr="001C5663" w:rsidRDefault="00000000" w:rsidP="001C5663">
      <w:pPr>
        <w:widowControl w:val="0"/>
        <w:pBdr>
          <w:top w:val="nil"/>
          <w:left w:val="nil"/>
          <w:bottom w:val="nil"/>
          <w:right w:val="nil"/>
          <w:between w:val="nil"/>
        </w:pBdr>
        <w:ind w:left="566" w:hanging="708"/>
        <w:rPr>
          <w:rFonts w:asciiTheme="majorHAnsi" w:eastAsia="Noto Sans" w:hAnsiTheme="majorHAnsi" w:cstheme="majorHAnsi"/>
        </w:rPr>
      </w:pPr>
      <w:r w:rsidRPr="001C5663">
        <w:rPr>
          <w:rFonts w:asciiTheme="majorHAnsi" w:eastAsia="Noto Sans" w:hAnsiTheme="majorHAnsi" w:cstheme="majorHAnsi"/>
        </w:rPr>
        <w:t xml:space="preserve">Sutherland, E., Headicar, J. and Delong, P., 2021. Coronavirus (COVID-19) Infection Survey technical article: waves and lags of COVID-19 in England, June 2021. London: </w:t>
      </w:r>
      <w:r w:rsidRPr="001C5663">
        <w:rPr>
          <w:rFonts w:asciiTheme="majorHAnsi" w:eastAsia="Noto Sans" w:hAnsiTheme="majorHAnsi" w:cstheme="majorHAnsi"/>
          <w:i/>
        </w:rPr>
        <w:t>Office for National Statistics.</w:t>
      </w:r>
      <w:r w:rsidRPr="001C5663">
        <w:rPr>
          <w:rFonts w:asciiTheme="majorHAnsi" w:eastAsia="Noto Sans" w:hAnsiTheme="majorHAnsi" w:cstheme="majorHAnsi"/>
        </w:rPr>
        <w:t xml:space="preserve"> [WWW Document]. URL </w:t>
      </w:r>
      <w:hyperlink r:id="rId42">
        <w:r w:rsidRPr="001C5663">
          <w:rPr>
            <w:rFonts w:asciiTheme="majorHAnsi" w:eastAsia="Noto Sans" w:hAnsiTheme="majorHAnsi" w:cstheme="majorHAnsi"/>
            <w:color w:val="1155CC"/>
            <w:u w:val="single"/>
          </w:rPr>
          <w:t>https://www.ons.gov.uk/peoplepopulationandcommunity/healthandsocialcare/conditionsanddiseases/articles/coronaviruscovid19infectionsurveytechnicalarticle/wavesandlagsofcovid19inenglandjune202</w:t>
        </w:r>
      </w:hyperlink>
      <w:r w:rsidRPr="001C5663">
        <w:rPr>
          <w:rFonts w:asciiTheme="majorHAnsi" w:eastAsia="Noto Sans" w:hAnsiTheme="majorHAnsi" w:cstheme="majorHAnsi"/>
        </w:rPr>
        <w:t xml:space="preserve"> (accessed 08.25.23).</w:t>
      </w:r>
    </w:p>
    <w:p w14:paraId="00000063" w14:textId="77777777" w:rsidR="00822B93" w:rsidRPr="001C5663" w:rsidRDefault="00822B93" w:rsidP="001C5663">
      <w:pPr>
        <w:widowControl w:val="0"/>
        <w:pBdr>
          <w:top w:val="nil"/>
          <w:left w:val="nil"/>
          <w:bottom w:val="nil"/>
          <w:right w:val="nil"/>
          <w:between w:val="nil"/>
        </w:pBdr>
        <w:rPr>
          <w:rFonts w:asciiTheme="majorHAnsi" w:eastAsia="Noto Sans" w:hAnsiTheme="majorHAnsi" w:cstheme="majorHAnsi"/>
        </w:rPr>
      </w:pPr>
    </w:p>
    <w:p w14:paraId="00000064" w14:textId="77777777" w:rsidR="00822B93" w:rsidRPr="001C5663" w:rsidRDefault="00822B93" w:rsidP="001C5663">
      <w:pPr>
        <w:widowControl w:val="0"/>
        <w:pBdr>
          <w:top w:val="nil"/>
          <w:left w:val="nil"/>
          <w:bottom w:val="nil"/>
          <w:right w:val="nil"/>
          <w:between w:val="nil"/>
        </w:pBdr>
        <w:rPr>
          <w:rFonts w:asciiTheme="majorHAnsi" w:eastAsia="Noto Sans" w:hAnsiTheme="majorHAnsi" w:cstheme="majorHAnsi"/>
        </w:rPr>
      </w:pPr>
    </w:p>
    <w:p w14:paraId="31C235ED" w14:textId="77777777" w:rsidR="00E75E8E" w:rsidRPr="001C5663" w:rsidRDefault="00E75E8E" w:rsidP="001C5663">
      <w:pPr>
        <w:widowControl w:val="0"/>
        <w:pBdr>
          <w:top w:val="nil"/>
          <w:left w:val="nil"/>
          <w:bottom w:val="nil"/>
          <w:right w:val="nil"/>
          <w:between w:val="nil"/>
        </w:pBdr>
        <w:rPr>
          <w:rFonts w:asciiTheme="majorHAnsi" w:eastAsia="Noto Sans" w:hAnsiTheme="majorHAnsi" w:cstheme="majorHAnsi"/>
        </w:rPr>
      </w:pPr>
    </w:p>
    <w:p w14:paraId="5389B88D" w14:textId="77777777" w:rsidR="001C5663" w:rsidRPr="001C5663" w:rsidRDefault="001C5663">
      <w:pPr>
        <w:widowControl w:val="0"/>
        <w:pBdr>
          <w:top w:val="nil"/>
          <w:left w:val="nil"/>
          <w:bottom w:val="nil"/>
          <w:right w:val="nil"/>
          <w:between w:val="nil"/>
        </w:pBdr>
        <w:rPr>
          <w:rFonts w:asciiTheme="majorHAnsi" w:eastAsia="Noto Sans" w:hAnsiTheme="majorHAnsi" w:cstheme="majorHAnsi"/>
        </w:rPr>
      </w:pPr>
    </w:p>
    <w:sectPr w:rsidR="001C5663" w:rsidRPr="001C566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n Do Lee" w:date="2023-09-01T07:06:00Z" w:initials="">
    <w:p w14:paraId="00000065" w14:textId="77777777" w:rsidR="00822B93" w:rsidRDefault="00000000">
      <w:pPr>
        <w:widowControl w:val="0"/>
        <w:pBdr>
          <w:top w:val="nil"/>
          <w:left w:val="nil"/>
          <w:bottom w:val="nil"/>
          <w:right w:val="nil"/>
          <w:between w:val="nil"/>
        </w:pBdr>
        <w:spacing w:line="240" w:lineRule="auto"/>
        <w:rPr>
          <w:color w:val="000000"/>
        </w:rPr>
      </w:pPr>
      <w:r>
        <w:rPr>
          <w:color w:val="000000"/>
        </w:rPr>
        <w:t>#a 1)</w:t>
      </w:r>
    </w:p>
  </w:comment>
  <w:comment w:id="1" w:author="Won Do Lee" w:date="2023-09-01T07:04:00Z" w:initials="">
    <w:p w14:paraId="00000066" w14:textId="77777777" w:rsidR="00822B93" w:rsidRDefault="00000000">
      <w:pPr>
        <w:widowControl w:val="0"/>
        <w:pBdr>
          <w:top w:val="nil"/>
          <w:left w:val="nil"/>
          <w:bottom w:val="nil"/>
          <w:right w:val="nil"/>
          <w:between w:val="nil"/>
        </w:pBdr>
        <w:spacing w:line="240" w:lineRule="auto"/>
        <w:rPr>
          <w:color w:val="000000"/>
        </w:rPr>
      </w:pPr>
      <w:r>
        <w:rPr>
          <w:color w:val="000000"/>
        </w:rPr>
        <w:t>#a 2)</w:t>
      </w:r>
    </w:p>
  </w:comment>
  <w:comment w:id="2" w:author="Won Do Lee" w:date="2023-09-01T07:06:00Z" w:initials="">
    <w:p w14:paraId="0000006B" w14:textId="77777777" w:rsidR="00822B93" w:rsidRDefault="00000000">
      <w:pPr>
        <w:widowControl w:val="0"/>
        <w:pBdr>
          <w:top w:val="nil"/>
          <w:left w:val="nil"/>
          <w:bottom w:val="nil"/>
          <w:right w:val="nil"/>
          <w:between w:val="nil"/>
        </w:pBdr>
        <w:spacing w:line="240" w:lineRule="auto"/>
        <w:rPr>
          <w:color w:val="000000"/>
        </w:rPr>
      </w:pPr>
      <w:r>
        <w:rPr>
          <w:color w:val="000000"/>
        </w:rPr>
        <w:t>#a 3)</w:t>
      </w:r>
    </w:p>
  </w:comment>
  <w:comment w:id="3" w:author="Won Do Lee" w:date="2023-09-01T07:06:00Z" w:initials="">
    <w:p w14:paraId="0000006A" w14:textId="77777777" w:rsidR="00822B93" w:rsidRDefault="00000000">
      <w:pPr>
        <w:widowControl w:val="0"/>
        <w:pBdr>
          <w:top w:val="nil"/>
          <w:left w:val="nil"/>
          <w:bottom w:val="nil"/>
          <w:right w:val="nil"/>
          <w:between w:val="nil"/>
        </w:pBdr>
        <w:spacing w:line="240" w:lineRule="auto"/>
        <w:rPr>
          <w:color w:val="000000"/>
        </w:rPr>
      </w:pPr>
      <w:r>
        <w:rPr>
          <w:color w:val="000000"/>
        </w:rPr>
        <w:t>#b</w:t>
      </w:r>
    </w:p>
  </w:comment>
  <w:comment w:id="4" w:author="Won Do Lee" w:date="2023-09-04T22:40:00Z" w:initials="WDL">
    <w:p w14:paraId="60E459B1" w14:textId="77777777" w:rsidR="00D5287F" w:rsidRDefault="00D5287F" w:rsidP="00A47118">
      <w:pPr>
        <w:pStyle w:val="CommentText"/>
      </w:pPr>
      <w:r>
        <w:rPr>
          <w:rStyle w:val="CommentReference"/>
        </w:rPr>
        <w:annotationRef/>
      </w:r>
      <w:r>
        <w:rPr>
          <w:lang w:val="en-US"/>
        </w:rPr>
        <w:t>Why we only dealt with first wave of the pandemic</w:t>
      </w:r>
    </w:p>
  </w:comment>
  <w:comment w:id="5" w:author="Won Do Lee" w:date="2023-09-01T07:09:00Z" w:initials="">
    <w:p w14:paraId="00000069" w14:textId="7F3FA629" w:rsidR="00822B93" w:rsidRDefault="00000000">
      <w:pPr>
        <w:widowControl w:val="0"/>
        <w:pBdr>
          <w:top w:val="nil"/>
          <w:left w:val="nil"/>
          <w:bottom w:val="nil"/>
          <w:right w:val="nil"/>
          <w:between w:val="nil"/>
        </w:pBdr>
        <w:spacing w:line="240" w:lineRule="auto"/>
        <w:rPr>
          <w:color w:val="000000"/>
        </w:rPr>
      </w:pPr>
      <w:r>
        <w:rPr>
          <w:color w:val="000000"/>
        </w:rPr>
        <w:t>d)</w:t>
      </w:r>
    </w:p>
  </w:comment>
  <w:comment w:id="6" w:author="Won Do Lee" w:date="2023-09-04T00:40:00Z" w:initials="">
    <w:p w14:paraId="00000068" w14:textId="77777777" w:rsidR="00822B93" w:rsidRDefault="00000000">
      <w:pPr>
        <w:widowControl w:val="0"/>
        <w:pBdr>
          <w:top w:val="nil"/>
          <w:left w:val="nil"/>
          <w:bottom w:val="nil"/>
          <w:right w:val="nil"/>
          <w:between w:val="nil"/>
        </w:pBdr>
        <w:spacing w:line="240" w:lineRule="auto"/>
        <w:rPr>
          <w:color w:val="000000"/>
        </w:rPr>
      </w:pPr>
      <w:r>
        <w:rPr>
          <w:color w:val="000000"/>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5" w15:done="0"/>
  <w15:commentEx w15:paraId="00000066" w15:done="0"/>
  <w15:commentEx w15:paraId="0000006B" w15:done="0"/>
  <w15:commentEx w15:paraId="0000006A" w15:done="0"/>
  <w15:commentEx w15:paraId="60E459B1" w15:done="0"/>
  <w15:commentEx w15:paraId="00000069" w15:done="0"/>
  <w15:commentEx w15:paraId="0000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688DE6" w16cex:dateUtc="2023-09-0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5" w16cid:durableId="55597D93"/>
  <w16cid:commentId w16cid:paraId="00000066" w16cid:durableId="4A21E3E8"/>
  <w16cid:commentId w16cid:paraId="0000006B" w16cid:durableId="51EA9DE0"/>
  <w16cid:commentId w16cid:paraId="0000006A" w16cid:durableId="181BA18E"/>
  <w16cid:commentId w16cid:paraId="60E459B1" w16cid:durableId="7E688DE6"/>
  <w16cid:commentId w16cid:paraId="00000069" w16cid:durableId="18BBCE4B"/>
  <w16cid:commentId w16cid:paraId="00000068" w16cid:durableId="374FAC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3F7B"/>
    <w:multiLevelType w:val="multilevel"/>
    <w:tmpl w:val="3666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03B88"/>
    <w:multiLevelType w:val="multilevel"/>
    <w:tmpl w:val="14DC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9638259">
    <w:abstractNumId w:val="1"/>
  </w:num>
  <w:num w:numId="2" w16cid:durableId="1510942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n Do Lee">
    <w15:presenceInfo w15:providerId="Windows Live" w15:userId="d30fb5f442c9e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93"/>
    <w:rsid w:val="001C5663"/>
    <w:rsid w:val="00386985"/>
    <w:rsid w:val="0067185E"/>
    <w:rsid w:val="00770E7B"/>
    <w:rsid w:val="00822B93"/>
    <w:rsid w:val="00943FA9"/>
    <w:rsid w:val="00B91E96"/>
    <w:rsid w:val="00CF3719"/>
    <w:rsid w:val="00D5287F"/>
    <w:rsid w:val="00E75E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AE88"/>
  <w15:docId w15:val="{7FF69277-0ABD-466C-8FE3-31622C9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5287F"/>
    <w:rPr>
      <w:b/>
      <w:bCs/>
    </w:rPr>
  </w:style>
  <w:style w:type="character" w:customStyle="1" w:styleId="CommentSubjectChar">
    <w:name w:val="Comment Subject Char"/>
    <w:basedOn w:val="CommentTextChar"/>
    <w:link w:val="CommentSubject"/>
    <w:uiPriority w:val="99"/>
    <w:semiHidden/>
    <w:rsid w:val="00D52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80/24694452.2021.1939647" TargetMode="External"/><Relationship Id="rId18" Type="http://schemas.openxmlformats.org/officeDocument/2006/relationships/hyperlink" Target="https://doi.org/10.1038/s41562-020-01009-0" TargetMode="External"/><Relationship Id="rId26" Type="http://schemas.openxmlformats.org/officeDocument/2006/relationships/hyperlink" Target="https://doi.org/10.1016/j.scs.2022.104314" TargetMode="External"/><Relationship Id="rId39" Type="http://schemas.openxmlformats.org/officeDocument/2006/relationships/hyperlink" Target="https://doi.org/10.1073/pnas.2010836117" TargetMode="External"/><Relationship Id="rId21" Type="http://schemas.openxmlformats.org/officeDocument/2006/relationships/hyperlink" Target="https://doi.org/10.1186/s12916-021-01924-7" TargetMode="External"/><Relationship Id="rId34" Type="http://schemas.openxmlformats.org/officeDocument/2006/relationships/hyperlink" Target="https://doi.org/10.1016/j.apgeog.2023.102948" TargetMode="External"/><Relationship Id="rId42" Type="http://schemas.openxmlformats.org/officeDocument/2006/relationships/hyperlink" Target="https://www.ons.gov.uk/peoplepopulationandcommunity/healthandsocialcare/conditionsanddiseases/articles/coronaviruscovid19infectionsurveytechnicalarticle/wavesandlagsofcovid19inenglandjune202"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38/s41467-022-30897-1" TargetMode="External"/><Relationship Id="rId29" Type="http://schemas.openxmlformats.org/officeDocument/2006/relationships/hyperlink" Target="https://doi.org/10.1016/j.tranpol.2021.01.00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16/j.tranpol.2021.03.013" TargetMode="External"/><Relationship Id="rId24" Type="http://schemas.openxmlformats.org/officeDocument/2006/relationships/hyperlink" Target="https://doi.org/10.1038/s41598-021-86297-w" TargetMode="External"/><Relationship Id="rId32" Type="http://schemas.openxmlformats.org/officeDocument/2006/relationships/hyperlink" Target="https://doi.org/10.1080/13658816.2021.2005796" TargetMode="External"/><Relationship Id="rId37" Type="http://schemas.openxmlformats.org/officeDocument/2006/relationships/hyperlink" Target="https://doi.org/10.1016/j.tranpol.2022.05.012" TargetMode="External"/><Relationship Id="rId40" Type="http://schemas.openxmlformats.org/officeDocument/2006/relationships/hyperlink" Target="https://doi.org/10.1038/s41467-023-37913-y"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oi.org/10.1177/23998083211048497" TargetMode="External"/><Relationship Id="rId23" Type="http://schemas.openxmlformats.org/officeDocument/2006/relationships/hyperlink" Target="https://doi.org/10.1016/j.jtrangeo.2021.103168" TargetMode="External"/><Relationship Id="rId28" Type="http://schemas.openxmlformats.org/officeDocument/2006/relationships/hyperlink" Target="https://doi.org/10.1038/s41598-021-04139-1" TargetMode="External"/><Relationship Id="rId36" Type="http://schemas.openxmlformats.org/officeDocument/2006/relationships/hyperlink" Target="https://doi.org/10.1038/s42949-022-00061-1" TargetMode="External"/><Relationship Id="rId10" Type="http://schemas.openxmlformats.org/officeDocument/2006/relationships/hyperlink" Target="https://doi.org/10.1016/j.tranpol.2020.08.004" TargetMode="External"/><Relationship Id="rId19" Type="http://schemas.openxmlformats.org/officeDocument/2006/relationships/hyperlink" Target="https://doi.org/10.1073/pnas.2021258118" TargetMode="External"/><Relationship Id="rId31" Type="http://schemas.openxmlformats.org/officeDocument/2006/relationships/hyperlink" Target="https://doi.org/10.1016/j.cities.2021.103491"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371/journal.pone.0263432" TargetMode="External"/><Relationship Id="rId14" Type="http://schemas.openxmlformats.org/officeDocument/2006/relationships/hyperlink" Target="https://doi.org/10.1057/s41599-021-00775-0" TargetMode="External"/><Relationship Id="rId22" Type="http://schemas.openxmlformats.org/officeDocument/2006/relationships/hyperlink" Target="https://doi.org/10.1016/j.trip.2022.100668" TargetMode="External"/><Relationship Id="rId27" Type="http://schemas.openxmlformats.org/officeDocument/2006/relationships/hyperlink" Target="https://doi.org/10.1016/j.jtrangeo.2020.102894" TargetMode="External"/><Relationship Id="rId30" Type="http://schemas.openxmlformats.org/officeDocument/2006/relationships/hyperlink" Target="https://doi.org/10.32866/001c.12903" TargetMode="External"/><Relationship Id="rId35" Type="http://schemas.openxmlformats.org/officeDocument/2006/relationships/hyperlink" Target="https://doi.org/10.1016/j.jth.2023.101624" TargetMode="External"/><Relationship Id="rId43"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016/j.jtrangeo.2020.102906" TargetMode="External"/><Relationship Id="rId17" Type="http://schemas.openxmlformats.org/officeDocument/2006/relationships/hyperlink" Target="https://doi.org/10.1038/s41562-021-01079-8" TargetMode="External"/><Relationship Id="rId25" Type="http://schemas.openxmlformats.org/officeDocument/2006/relationships/hyperlink" Target="https://doi.org/10.1371/journal.pone.0270207" TargetMode="External"/><Relationship Id="rId33" Type="http://schemas.openxmlformats.org/officeDocument/2006/relationships/hyperlink" Target="https://doi.org/10.1126/sciadv.abc0764" TargetMode="External"/><Relationship Id="rId38" Type="http://schemas.openxmlformats.org/officeDocument/2006/relationships/hyperlink" Target="https://doi.org/10.1073/pnas.2009412117" TargetMode="External"/><Relationship Id="rId20" Type="http://schemas.openxmlformats.org/officeDocument/2006/relationships/hyperlink" Target="https://doi.org/10.1016/j.trc.2020.102955" TargetMode="External"/><Relationship Id="rId41" Type="http://schemas.openxmlformats.org/officeDocument/2006/relationships/hyperlink" Target="https://doi.org/10.1016/j.scib.2021.11.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 Do Lee</cp:lastModifiedBy>
  <cp:revision>6</cp:revision>
  <dcterms:created xsi:type="dcterms:W3CDTF">2023-09-04T12:56:00Z</dcterms:created>
  <dcterms:modified xsi:type="dcterms:W3CDTF">2023-09-04T13:45:00Z</dcterms:modified>
</cp:coreProperties>
</file>