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36375" w14:textId="77777777" w:rsidR="00FF6349" w:rsidRPr="009508DF" w:rsidRDefault="00FF6349" w:rsidP="009508DF">
      <w:pPr>
        <w:pStyle w:val="Heading2"/>
      </w:pPr>
      <w:r w:rsidRPr="009508DF">
        <w:t>Correlates of mobility trajectory cluster membership</w:t>
      </w:r>
    </w:p>
    <w:p w14:paraId="215269C3" w14:textId="7FD88994" w:rsidR="00FF6349" w:rsidRPr="009508DF" w:rsidRDefault="00FF6349" w:rsidP="009508DF">
      <w:pPr>
        <w:spacing w:line="276" w:lineRule="auto"/>
        <w:rPr>
          <w:rFonts w:ascii="Calibri" w:hAnsi="Calibri" w:cs="Calibri"/>
          <w:b/>
          <w:bCs/>
        </w:rPr>
      </w:pPr>
    </w:p>
    <w:p w14:paraId="3122E003" w14:textId="035D87CF" w:rsidR="002D0616" w:rsidRPr="009508DF" w:rsidRDefault="00234E4E" w:rsidP="009508DF">
      <w:pPr>
        <w:spacing w:line="276" w:lineRule="auto"/>
        <w:rPr>
          <w:rFonts w:ascii="Calibri" w:hAnsi="Calibri" w:cs="Calibri"/>
          <w:b/>
          <w:bCs/>
        </w:rPr>
      </w:pPr>
      <w:r w:rsidRPr="009508DF">
        <w:rPr>
          <w:rFonts w:ascii="Calibri" w:hAnsi="Calibri" w:cs="Calibri"/>
          <w:b/>
          <w:bCs/>
        </w:rPr>
        <w:t>&lt;</w:t>
      </w:r>
      <w:r w:rsidR="002D0616" w:rsidRPr="009508DF">
        <w:rPr>
          <w:rFonts w:ascii="Calibri" w:hAnsi="Calibri" w:cs="Calibri"/>
          <w:b/>
          <w:bCs/>
        </w:rPr>
        <w:t>Contents</w:t>
      </w:r>
      <w:r w:rsidRPr="009508DF">
        <w:rPr>
          <w:rFonts w:ascii="Calibri" w:hAnsi="Calibri" w:cs="Calibri"/>
          <w:b/>
          <w:bCs/>
        </w:rPr>
        <w:t>&gt;</w:t>
      </w:r>
    </w:p>
    <w:p w14:paraId="25BA12CD" w14:textId="5B17C767" w:rsidR="00285C57" w:rsidRPr="00285C57" w:rsidRDefault="00285C57" w:rsidP="00285C57">
      <w:pPr>
        <w:spacing w:line="276" w:lineRule="auto"/>
        <w:rPr>
          <w:rFonts w:ascii="Calibri" w:hAnsi="Calibri" w:cs="Calibri"/>
          <w:bCs/>
        </w:rPr>
      </w:pPr>
      <w:r w:rsidRPr="00285C57">
        <w:rPr>
          <w:rFonts w:ascii="Calibri" w:hAnsi="Calibri" w:cs="Calibri"/>
          <w:bCs/>
        </w:rPr>
        <w:t xml:space="preserve">In the following analysis, we deployed the classification model to examine the significant factors that help us to interpret the clusters identified through the time-series clustering analysis. MLR LASSO is applied to assess the effects of socioeconomic characteristics between clusters, which grouped into similar trajectories of mobility reduction during the lockdown. MLR LASSO can take advantage of reducing the dimension of input features or variable selection. Some socioeconomic characteristics might be irrelevant to explain that interpreting trajectories of mobility over time. It also outperformed to eliminate the redundant collinear features to avoid multicollinearity (Gao et al., 2020). In MLR LASSO, estimated coefficients yielded the penalised coefficients for the standardised variables. A positive or negative sign is indicated as the direction of the relationship. </w:t>
      </w:r>
    </w:p>
    <w:p w14:paraId="6E7019C3" w14:textId="2505F5AE" w:rsidR="00285C57" w:rsidRPr="00285C57" w:rsidRDefault="00285C57" w:rsidP="00285C57">
      <w:pPr>
        <w:spacing w:line="276" w:lineRule="auto"/>
        <w:ind w:firstLine="720"/>
        <w:rPr>
          <w:rFonts w:ascii="Calibri" w:hAnsi="Calibri" w:cs="Calibri"/>
          <w:bCs/>
        </w:rPr>
      </w:pPr>
      <w:r w:rsidRPr="00285C57">
        <w:rPr>
          <w:rFonts w:ascii="Calibri" w:hAnsi="Calibri" w:cs="Calibri"/>
          <w:bCs/>
        </w:rPr>
        <w:t xml:space="preserve">The model estimation results provided the estimated coefficients for selected factors between clusters. All explanatory variables were normalised to the range of [0,1] prior to model fitting. The best λ, penalty parameter, was selected by 10-fold cross-validation (CV). Seventeen factors remain through the embedded feature selection process in MLR LASSO. The share of high-income households, self-employed workers, and households with one vehicle were the most effective variables for the classification, yet the estimated coefficients varied between clusters (see </w:t>
      </w:r>
      <w:r w:rsidR="000031C6">
        <w:rPr>
          <w:rFonts w:ascii="Calibri" w:hAnsi="Calibri" w:cs="Calibri"/>
          <w:bCs/>
        </w:rPr>
        <w:fldChar w:fldCharType="begin"/>
      </w:r>
      <w:r w:rsidR="000031C6">
        <w:rPr>
          <w:rFonts w:ascii="Calibri" w:hAnsi="Calibri" w:cs="Calibri"/>
          <w:bCs/>
        </w:rPr>
        <w:instrText xml:space="preserve"> REF _Ref141915090 \h </w:instrText>
      </w:r>
      <w:r w:rsidR="000031C6">
        <w:rPr>
          <w:rFonts w:ascii="Calibri" w:hAnsi="Calibri" w:cs="Calibri"/>
          <w:bCs/>
        </w:rPr>
      </w:r>
      <w:r w:rsidR="000031C6">
        <w:rPr>
          <w:rFonts w:ascii="Calibri" w:hAnsi="Calibri" w:cs="Calibri"/>
          <w:bCs/>
        </w:rPr>
        <w:instrText xml:space="preserve"> \* MERGEFORMAT </w:instrText>
      </w:r>
      <w:r w:rsidR="000031C6">
        <w:rPr>
          <w:rFonts w:ascii="Calibri" w:hAnsi="Calibri" w:cs="Calibri"/>
          <w:bCs/>
        </w:rPr>
        <w:fldChar w:fldCharType="separate"/>
      </w:r>
      <w:r w:rsidR="000031C6" w:rsidRPr="000031C6">
        <w:rPr>
          <w:rFonts w:ascii="Calibri" w:hAnsi="Calibri" w:cs="Calibri"/>
          <w:bCs/>
        </w:rPr>
        <w:t>Figure 1</w:t>
      </w:r>
      <w:r w:rsidR="000031C6">
        <w:rPr>
          <w:rFonts w:ascii="Calibri" w:hAnsi="Calibri" w:cs="Calibri"/>
          <w:bCs/>
        </w:rPr>
        <w:fldChar w:fldCharType="end"/>
      </w:r>
      <w:r w:rsidRPr="00285C57">
        <w:rPr>
          <w:rFonts w:ascii="Calibri" w:hAnsi="Calibri" w:cs="Calibri"/>
          <w:bCs/>
        </w:rPr>
        <w:t>). The positive coefficients for the share of high-income households and self-employed workers were observed in G1 and G2. Based on the sign of coefficients, it can be inferred that those local authorities with particularly high levels of affluent populations and self-employed workers (are more likely to be low earners in London). Conversely, negative coefficients were indicated in G3 and G4 that high-income households and self-employed workers were negligible. In addition, the positive coefficients for the share of households with one vehicle were observed in G2 and G4, while negative coefficients were indicated in G1 and G3.</w:t>
      </w:r>
    </w:p>
    <w:p w14:paraId="4E1DC059" w14:textId="3B885326" w:rsidR="00285C57" w:rsidRDefault="000031C6" w:rsidP="000031C6">
      <w:pPr>
        <w:spacing w:line="276" w:lineRule="auto"/>
        <w:ind w:firstLine="360"/>
        <w:rPr>
          <w:rFonts w:ascii="Calibri" w:hAnsi="Calibri" w:cs="Calibri"/>
          <w:b/>
          <w:bCs/>
        </w:rPr>
      </w:pPr>
      <w:r>
        <w:rPr>
          <w:rFonts w:ascii="Calibri" w:hAnsi="Calibri" w:cs="Calibri"/>
          <w:bCs/>
        </w:rPr>
        <w:fldChar w:fldCharType="begin"/>
      </w:r>
      <w:r>
        <w:rPr>
          <w:rFonts w:ascii="Calibri" w:hAnsi="Calibri" w:cs="Calibri"/>
          <w:bCs/>
        </w:rPr>
        <w:instrText xml:space="preserve"> REF _Ref141802659 \h </w:instrText>
      </w:r>
      <w:r>
        <w:rPr>
          <w:rFonts w:ascii="Calibri" w:hAnsi="Calibri" w:cs="Calibri"/>
          <w:bCs/>
        </w:rPr>
      </w:r>
      <w:r>
        <w:rPr>
          <w:rFonts w:ascii="Calibri" w:hAnsi="Calibri" w:cs="Calibri"/>
          <w:bCs/>
        </w:rPr>
        <w:fldChar w:fldCharType="separate"/>
      </w:r>
      <w:r w:rsidRPr="009508DF">
        <w:rPr>
          <w:rFonts w:ascii="Calibri" w:hAnsi="Calibri" w:cs="Calibri"/>
        </w:rPr>
        <w:t xml:space="preserve">Table </w:t>
      </w:r>
      <w:r w:rsidRPr="009508DF">
        <w:rPr>
          <w:rFonts w:ascii="Calibri" w:hAnsi="Calibri" w:cs="Calibri"/>
          <w:noProof/>
        </w:rPr>
        <w:t>1</w:t>
      </w:r>
      <w:r>
        <w:rPr>
          <w:rFonts w:ascii="Calibri" w:hAnsi="Calibri" w:cs="Calibri"/>
          <w:bCs/>
        </w:rPr>
        <w:fldChar w:fldCharType="end"/>
      </w:r>
      <w:r>
        <w:rPr>
          <w:rFonts w:ascii="Calibri" w:hAnsi="Calibri" w:cs="Calibri"/>
          <w:bCs/>
        </w:rPr>
        <w:t xml:space="preserve"> show</w:t>
      </w:r>
      <w:r w:rsidR="00285C57" w:rsidRPr="00285C57">
        <w:rPr>
          <w:rFonts w:ascii="Calibri" w:hAnsi="Calibri" w:cs="Calibri"/>
          <w:bCs/>
        </w:rPr>
        <w:t xml:space="preserve">s the estimated coefficients for selected factors correlated with the classification of generated clusters. It was generally classified as G4, where the share of households with more than three vehicles, self-employed workers, and people in the lower middle class (i.e., social grade C1) were substantially lower. In contrast, G1 was more likely located in the local </w:t>
      </w:r>
      <w:r w:rsidRPr="00285C57">
        <w:rPr>
          <w:rFonts w:ascii="Calibri" w:hAnsi="Calibri" w:cs="Calibri"/>
          <w:bCs/>
        </w:rPr>
        <w:t>authorities; the</w:t>
      </w:r>
      <w:r w:rsidR="00285C57" w:rsidRPr="00285C57">
        <w:rPr>
          <w:rFonts w:ascii="Calibri" w:hAnsi="Calibri" w:cs="Calibri"/>
          <w:bCs/>
        </w:rPr>
        <w:t xml:space="preserve"> share of high-income households, cumulative COVID-19 infection rates before the lockdown, and minority ethnic groups were comparatively high. Among the remaining clusters, high levels of the share of middle-income households, and more than three bedrooms in the house were more likely classified as G3. At the same time, G2 was more likely located in local authorities; the share of high-income households, lower middle class, and Black African were relatively higher.</w:t>
      </w:r>
    </w:p>
    <w:p w14:paraId="5CF16595" w14:textId="77777777" w:rsidR="009508DF" w:rsidRPr="009508DF" w:rsidRDefault="009508DF" w:rsidP="009508DF">
      <w:pPr>
        <w:pStyle w:val="ListParagraph"/>
        <w:numPr>
          <w:ilvl w:val="0"/>
          <w:numId w:val="1"/>
        </w:numPr>
      </w:pPr>
      <w:r w:rsidRPr="009508DF">
        <w:t>G1: Share of self-employed workers (0.71), households with one vehicle (0.35), cumulative COVID-19 infection rates before lockdown (0.24), high-income households (0.19), and percentage Other Black (0.12).</w:t>
      </w:r>
    </w:p>
    <w:p w14:paraId="33D2F320" w14:textId="77777777" w:rsidR="009508DF" w:rsidRPr="009508DF" w:rsidRDefault="009508DF" w:rsidP="009508DF">
      <w:pPr>
        <w:pStyle w:val="ListParagraph"/>
        <w:numPr>
          <w:ilvl w:val="0"/>
          <w:numId w:val="1"/>
        </w:numPr>
      </w:pPr>
      <w:r w:rsidRPr="009508DF">
        <w:t>G2: Share of high-income households (0.47), percentage Black African (0.43), households with more than three vehicles (0.39), more than three bedrooms in the house (0.30), and Hospital density per 1,000 population (0.15).</w:t>
      </w:r>
    </w:p>
    <w:p w14:paraId="3EC5DEFA" w14:textId="77777777" w:rsidR="009508DF" w:rsidRPr="009508DF" w:rsidRDefault="009508DF" w:rsidP="009508DF">
      <w:pPr>
        <w:pStyle w:val="ListParagraph"/>
        <w:numPr>
          <w:ilvl w:val="0"/>
          <w:numId w:val="1"/>
        </w:numPr>
        <w:spacing w:after="160"/>
      </w:pPr>
      <w:r w:rsidRPr="009508DF">
        <w:t xml:space="preserve">G3: Share of medium-income households (0.38), social grade C1 (0.25), high-income </w:t>
      </w:r>
      <w:r w:rsidRPr="009508DF">
        <w:lastRenderedPageBreak/>
        <w:t>households (0.23), more than three bedrooms in the house (0.25), households with one vehicle (0.04), and self-employed workers (0.02).</w:t>
      </w:r>
    </w:p>
    <w:p w14:paraId="541A5099" w14:textId="5784F85B" w:rsidR="00FE1CEE" w:rsidRPr="00FE1CEE" w:rsidRDefault="009508DF" w:rsidP="00FE1CEE">
      <w:pPr>
        <w:pStyle w:val="ListParagraph"/>
        <w:numPr>
          <w:ilvl w:val="0"/>
          <w:numId w:val="1"/>
        </w:numPr>
        <w:rPr>
          <w:b/>
          <w:bCs/>
        </w:rPr>
      </w:pPr>
      <w:r w:rsidRPr="009508DF">
        <w:t>G4: Share of households with more than three vehicles (0.64), self-employed workers (0.26), more than three bedrooms in the house (0.23), cumulative COVID-19 mortality rates before lockdown (0.20), and percentage Black Caribbean (0.19).</w:t>
      </w:r>
    </w:p>
    <w:p w14:paraId="42263C97" w14:textId="77777777" w:rsidR="00FE1CEE" w:rsidRPr="00FE1CEE" w:rsidRDefault="00FE1CEE" w:rsidP="00FE1CEE">
      <w:pPr>
        <w:spacing w:after="0"/>
        <w:rPr>
          <w:b/>
          <w:bCs/>
        </w:rPr>
      </w:pPr>
    </w:p>
    <w:p w14:paraId="556BA5AD" w14:textId="77777777" w:rsidR="00FE1CEE" w:rsidRDefault="009508DF" w:rsidP="00FE1CEE">
      <w:pPr>
        <w:keepNext/>
        <w:spacing w:line="276" w:lineRule="auto"/>
      </w:pPr>
      <w:r w:rsidRPr="009508DF">
        <w:rPr>
          <w:rFonts w:ascii="Calibri" w:hAnsi="Calibri" w:cs="Calibri"/>
          <w:noProof/>
        </w:rPr>
        <w:drawing>
          <wp:inline distT="0" distB="0" distL="0" distR="0" wp14:anchorId="75159CFC" wp14:editId="59346D6D">
            <wp:extent cx="5727700" cy="5727700"/>
            <wp:effectExtent l="0" t="0" r="6350" b="635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14:paraId="6ADFEEE3" w14:textId="48FC1423" w:rsidR="00FE1CEE" w:rsidRDefault="00FE1CEE" w:rsidP="00FE1CEE">
      <w:pPr>
        <w:pStyle w:val="Caption"/>
        <w:sectPr w:rsidR="00FE1CEE" w:rsidSect="00656A69">
          <w:pgSz w:w="11906" w:h="16838"/>
          <w:pgMar w:top="1701" w:right="1440" w:bottom="1440" w:left="1440" w:header="851" w:footer="992" w:gutter="0"/>
          <w:cols w:space="425"/>
          <w:docGrid w:linePitch="360"/>
        </w:sectPr>
      </w:pPr>
      <w:bookmarkStart w:id="0" w:name="_Ref141915090"/>
      <w:r>
        <w:t xml:space="preserve">Figure </w:t>
      </w:r>
      <w:fldSimple w:instr=" SEQ Figure \* ARABIC ">
        <w:r w:rsidR="000031C6">
          <w:rPr>
            <w:noProof/>
          </w:rPr>
          <w:t>1</w:t>
        </w:r>
      </w:fldSimple>
      <w:bookmarkEnd w:id="0"/>
      <w:r>
        <w:t>.</w:t>
      </w:r>
      <w:r w:rsidR="00285C57">
        <w:t xml:space="preserve"> </w:t>
      </w:r>
      <w:r w:rsidR="00285C57">
        <w:t>Estimated coefficients of explanatory variables to predict the clusters</w:t>
      </w:r>
      <w:r w:rsidR="00285C57">
        <w:t>.</w:t>
      </w:r>
    </w:p>
    <w:p w14:paraId="2BDC69A9" w14:textId="17037436" w:rsidR="00FE1CEE" w:rsidRPr="009508DF" w:rsidRDefault="00FE1CEE" w:rsidP="00FE1CEE">
      <w:pPr>
        <w:pStyle w:val="Caption"/>
        <w:keepNext/>
      </w:pPr>
      <w:bookmarkStart w:id="1" w:name="_Ref141802659"/>
      <w:bookmarkStart w:id="2" w:name="_Ref140146213"/>
      <w:r w:rsidRPr="009508DF">
        <w:lastRenderedPageBreak/>
        <w:t xml:space="preserve">Table </w:t>
      </w:r>
      <w:r w:rsidRPr="009508DF">
        <w:fldChar w:fldCharType="begin"/>
      </w:r>
      <w:r w:rsidRPr="009508DF">
        <w:instrText xml:space="preserve"> SEQ Table \* ARABIC </w:instrText>
      </w:r>
      <w:r w:rsidRPr="009508DF">
        <w:fldChar w:fldCharType="separate"/>
      </w:r>
      <w:r w:rsidRPr="009508DF">
        <w:rPr>
          <w:noProof/>
        </w:rPr>
        <w:t>1</w:t>
      </w:r>
      <w:r w:rsidRPr="009508DF">
        <w:rPr>
          <w:noProof/>
        </w:rPr>
        <w:fldChar w:fldCharType="end"/>
      </w:r>
      <w:bookmarkEnd w:id="1"/>
      <w:r w:rsidRPr="009508DF">
        <w:t>. Estimated coefficients of explanatory variables to classify clusters</w:t>
      </w:r>
      <w:r>
        <w:t>.</w:t>
      </w:r>
    </w:p>
    <w:tbl>
      <w:tblPr>
        <w:tblStyle w:val="GridTable1Light"/>
        <w:tblW w:w="5000" w:type="pct"/>
        <w:tblInd w:w="0" w:type="dxa"/>
        <w:tblLook w:val="04A0" w:firstRow="1" w:lastRow="0" w:firstColumn="1" w:lastColumn="0" w:noHBand="0" w:noVBand="1"/>
      </w:tblPr>
      <w:tblGrid>
        <w:gridCol w:w="2594"/>
        <w:gridCol w:w="3630"/>
        <w:gridCol w:w="4731"/>
        <w:gridCol w:w="36"/>
        <w:gridCol w:w="649"/>
        <w:gridCol w:w="27"/>
        <w:gridCol w:w="657"/>
        <w:gridCol w:w="19"/>
        <w:gridCol w:w="666"/>
        <w:gridCol w:w="11"/>
        <w:gridCol w:w="677"/>
      </w:tblGrid>
      <w:tr w:rsidR="00FE1CEE" w:rsidRPr="009508DF" w14:paraId="267D8CD6" w14:textId="77777777" w:rsidTr="00A17CA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2" w:type="pct"/>
            <w:gridSpan w:val="2"/>
            <w:tcBorders>
              <w:top w:val="single" w:sz="12" w:space="0" w:color="auto"/>
              <w:left w:val="nil"/>
              <w:bottom w:val="single" w:sz="12" w:space="0" w:color="auto"/>
              <w:right w:val="single" w:sz="4" w:space="0" w:color="999999" w:themeColor="text1" w:themeTint="66"/>
            </w:tcBorders>
            <w:shd w:val="clear" w:color="auto" w:fill="A5A5A5" w:themeFill="accent3"/>
            <w:noWrap/>
            <w:hideMark/>
          </w:tcPr>
          <w:p w14:paraId="41CE4126" w14:textId="77777777" w:rsidR="00FE1CEE" w:rsidRPr="009508DF" w:rsidRDefault="00FE1CEE" w:rsidP="00A17CA7">
            <w:pPr>
              <w:widowControl/>
              <w:wordWrap/>
              <w:autoSpaceDE/>
              <w:spacing w:line="276" w:lineRule="auto"/>
              <w:rPr>
                <w:rFonts w:ascii="Calibri" w:eastAsia="Times New Roman" w:hAnsi="Calibri" w:cs="Calibri"/>
                <w:sz w:val="18"/>
                <w:szCs w:val="18"/>
              </w:rPr>
            </w:pPr>
            <w:r w:rsidRPr="009508DF">
              <w:rPr>
                <w:rFonts w:ascii="Calibri" w:eastAsia="Times New Roman" w:hAnsi="Calibri" w:cs="Calibri"/>
                <w:sz w:val="18"/>
                <w:szCs w:val="18"/>
              </w:rPr>
              <w:t>Domains</w:t>
            </w:r>
          </w:p>
        </w:tc>
        <w:tc>
          <w:tcPr>
            <w:tcW w:w="1727" w:type="pct"/>
            <w:tcBorders>
              <w:top w:val="single" w:sz="12" w:space="0" w:color="auto"/>
              <w:left w:val="single" w:sz="4" w:space="0" w:color="999999" w:themeColor="text1" w:themeTint="66"/>
              <w:bottom w:val="single" w:sz="12" w:space="0" w:color="auto"/>
              <w:right w:val="single" w:sz="4" w:space="0" w:color="999999" w:themeColor="text1" w:themeTint="66"/>
            </w:tcBorders>
            <w:shd w:val="clear" w:color="auto" w:fill="A5A5A5" w:themeFill="accent3"/>
            <w:noWrap/>
            <w:hideMark/>
          </w:tcPr>
          <w:p w14:paraId="20A636F5" w14:textId="77777777" w:rsidR="00FE1CEE" w:rsidRPr="009508DF" w:rsidRDefault="00FE1CEE" w:rsidP="00A17CA7">
            <w:pPr>
              <w:widowControl/>
              <w:wordWrap/>
              <w:autoSpaceDE/>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9508DF">
              <w:rPr>
                <w:rFonts w:ascii="Calibri" w:eastAsia="Times New Roman" w:hAnsi="Calibri" w:cs="Calibri"/>
                <w:sz w:val="18"/>
                <w:szCs w:val="18"/>
              </w:rPr>
              <w:t>Variable</w:t>
            </w:r>
          </w:p>
        </w:tc>
        <w:tc>
          <w:tcPr>
            <w:tcW w:w="250" w:type="pct"/>
            <w:gridSpan w:val="2"/>
            <w:tcBorders>
              <w:top w:val="single" w:sz="12" w:space="0" w:color="auto"/>
              <w:left w:val="single" w:sz="4" w:space="0" w:color="999999" w:themeColor="text1" w:themeTint="66"/>
              <w:bottom w:val="single" w:sz="12" w:space="0" w:color="auto"/>
              <w:right w:val="single" w:sz="4" w:space="0" w:color="999999" w:themeColor="text1" w:themeTint="66"/>
            </w:tcBorders>
            <w:shd w:val="clear" w:color="auto" w:fill="A5A5A5" w:themeFill="accent3"/>
            <w:noWrap/>
            <w:hideMark/>
          </w:tcPr>
          <w:p w14:paraId="23971AEA" w14:textId="77777777" w:rsidR="00FE1CEE" w:rsidRPr="009508DF" w:rsidRDefault="00FE1CEE" w:rsidP="00A17CA7">
            <w:pPr>
              <w:widowControl/>
              <w:wordWrap/>
              <w:autoSpaceD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9508DF">
              <w:rPr>
                <w:rFonts w:ascii="Calibri" w:eastAsia="Times New Roman" w:hAnsi="Calibri" w:cs="Calibri"/>
                <w:sz w:val="18"/>
                <w:szCs w:val="18"/>
              </w:rPr>
              <w:t>G1</w:t>
            </w:r>
          </w:p>
        </w:tc>
        <w:tc>
          <w:tcPr>
            <w:tcW w:w="250" w:type="pct"/>
            <w:gridSpan w:val="2"/>
            <w:tcBorders>
              <w:top w:val="single" w:sz="12" w:space="0" w:color="auto"/>
              <w:left w:val="single" w:sz="4" w:space="0" w:color="999999" w:themeColor="text1" w:themeTint="66"/>
              <w:bottom w:val="single" w:sz="12" w:space="0" w:color="auto"/>
              <w:right w:val="single" w:sz="4" w:space="0" w:color="999999" w:themeColor="text1" w:themeTint="66"/>
            </w:tcBorders>
            <w:shd w:val="clear" w:color="auto" w:fill="A5A5A5" w:themeFill="accent3"/>
            <w:noWrap/>
            <w:hideMark/>
          </w:tcPr>
          <w:p w14:paraId="76F0488A" w14:textId="77777777" w:rsidR="00FE1CEE" w:rsidRPr="009508DF" w:rsidRDefault="00FE1CEE" w:rsidP="00A17CA7">
            <w:pPr>
              <w:widowControl/>
              <w:wordWrap/>
              <w:autoSpaceD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9508DF">
              <w:rPr>
                <w:rFonts w:ascii="Calibri" w:eastAsia="Times New Roman" w:hAnsi="Calibri" w:cs="Calibri"/>
                <w:sz w:val="18"/>
                <w:szCs w:val="18"/>
              </w:rPr>
              <w:t>G2</w:t>
            </w:r>
          </w:p>
        </w:tc>
        <w:tc>
          <w:tcPr>
            <w:tcW w:w="250" w:type="pct"/>
            <w:gridSpan w:val="2"/>
            <w:tcBorders>
              <w:top w:val="single" w:sz="12" w:space="0" w:color="auto"/>
              <w:left w:val="single" w:sz="4" w:space="0" w:color="999999" w:themeColor="text1" w:themeTint="66"/>
              <w:bottom w:val="single" w:sz="12" w:space="0" w:color="auto"/>
              <w:right w:val="single" w:sz="4" w:space="0" w:color="999999" w:themeColor="text1" w:themeTint="66"/>
            </w:tcBorders>
            <w:shd w:val="clear" w:color="auto" w:fill="A5A5A5" w:themeFill="accent3"/>
            <w:noWrap/>
            <w:hideMark/>
          </w:tcPr>
          <w:p w14:paraId="7B1BC58C" w14:textId="77777777" w:rsidR="00FE1CEE" w:rsidRPr="009508DF" w:rsidRDefault="00FE1CEE" w:rsidP="00A17CA7">
            <w:pPr>
              <w:widowControl/>
              <w:wordWrap/>
              <w:autoSpaceD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9508DF">
              <w:rPr>
                <w:rFonts w:ascii="Calibri" w:eastAsia="Times New Roman" w:hAnsi="Calibri" w:cs="Calibri"/>
                <w:sz w:val="18"/>
                <w:szCs w:val="18"/>
              </w:rPr>
              <w:t>G3</w:t>
            </w:r>
          </w:p>
        </w:tc>
        <w:tc>
          <w:tcPr>
            <w:tcW w:w="251" w:type="pct"/>
            <w:gridSpan w:val="2"/>
            <w:tcBorders>
              <w:top w:val="single" w:sz="12" w:space="0" w:color="auto"/>
              <w:left w:val="single" w:sz="4" w:space="0" w:color="999999" w:themeColor="text1" w:themeTint="66"/>
              <w:bottom w:val="single" w:sz="12" w:space="0" w:color="auto"/>
              <w:right w:val="nil"/>
            </w:tcBorders>
            <w:shd w:val="clear" w:color="auto" w:fill="A5A5A5" w:themeFill="accent3"/>
            <w:noWrap/>
            <w:hideMark/>
          </w:tcPr>
          <w:p w14:paraId="73768FF5" w14:textId="77777777" w:rsidR="00FE1CEE" w:rsidRPr="009508DF" w:rsidRDefault="00FE1CEE" w:rsidP="00A17CA7">
            <w:pPr>
              <w:widowControl/>
              <w:wordWrap/>
              <w:autoSpaceD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9508DF">
              <w:rPr>
                <w:rFonts w:ascii="Calibri" w:eastAsia="Times New Roman" w:hAnsi="Calibri" w:cs="Calibri"/>
                <w:sz w:val="18"/>
                <w:szCs w:val="18"/>
              </w:rPr>
              <w:t>G4</w:t>
            </w:r>
          </w:p>
        </w:tc>
      </w:tr>
      <w:tr w:rsidR="00FE1CEE" w:rsidRPr="009508DF" w14:paraId="70D327AB" w14:textId="77777777" w:rsidTr="00A17CA7">
        <w:trPr>
          <w:trHeight w:val="20"/>
        </w:trPr>
        <w:tc>
          <w:tcPr>
            <w:cnfStyle w:val="001000000000" w:firstRow="0" w:lastRow="0" w:firstColumn="1" w:lastColumn="0" w:oddVBand="0" w:evenVBand="0" w:oddHBand="0" w:evenHBand="0" w:firstRowFirstColumn="0" w:firstRowLastColumn="0" w:lastRowFirstColumn="0" w:lastRowLastColumn="0"/>
            <w:tcW w:w="3999" w:type="pct"/>
            <w:gridSpan w:val="3"/>
            <w:tcBorders>
              <w:top w:val="single" w:sz="12" w:space="0" w:color="auto"/>
              <w:left w:val="nil"/>
              <w:bottom w:val="single" w:sz="4" w:space="0" w:color="999999" w:themeColor="text1" w:themeTint="66"/>
              <w:right w:val="single" w:sz="4" w:space="0" w:color="999999" w:themeColor="text1" w:themeTint="66"/>
            </w:tcBorders>
            <w:noWrap/>
            <w:hideMark/>
          </w:tcPr>
          <w:p w14:paraId="3990B7B2" w14:textId="77777777" w:rsidR="00FE1CEE" w:rsidRPr="009508DF" w:rsidRDefault="00FE1CEE" w:rsidP="00A17CA7">
            <w:pPr>
              <w:widowControl/>
              <w:wordWrap/>
              <w:autoSpaceDE/>
              <w:spacing w:line="276" w:lineRule="auto"/>
              <w:rPr>
                <w:rFonts w:ascii="Calibri" w:eastAsia="Times New Roman" w:hAnsi="Calibri" w:cs="Calibri"/>
                <w:b w:val="0"/>
                <w:bCs w:val="0"/>
                <w:sz w:val="18"/>
                <w:szCs w:val="18"/>
              </w:rPr>
            </w:pPr>
            <w:r w:rsidRPr="009508DF">
              <w:rPr>
                <w:rFonts w:ascii="Calibri" w:eastAsia="Times New Roman" w:hAnsi="Calibri" w:cs="Calibri"/>
                <w:b w:val="0"/>
                <w:bCs w:val="0"/>
                <w:color w:val="000000"/>
                <w:sz w:val="18"/>
                <w:szCs w:val="18"/>
              </w:rPr>
              <w:t>Constant</w:t>
            </w:r>
          </w:p>
        </w:tc>
        <w:tc>
          <w:tcPr>
            <w:tcW w:w="250" w:type="pct"/>
            <w:gridSpan w:val="2"/>
            <w:tcBorders>
              <w:top w:val="single" w:sz="12"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7FE40C37"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-0.59</w:t>
            </w:r>
          </w:p>
        </w:tc>
        <w:tc>
          <w:tcPr>
            <w:tcW w:w="250" w:type="pct"/>
            <w:gridSpan w:val="2"/>
            <w:tcBorders>
              <w:top w:val="single" w:sz="12"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AB5910A"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0.41</w:t>
            </w:r>
          </w:p>
        </w:tc>
        <w:tc>
          <w:tcPr>
            <w:tcW w:w="250" w:type="pct"/>
            <w:gridSpan w:val="2"/>
            <w:tcBorders>
              <w:top w:val="single" w:sz="12"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528A1E99"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0.53</w:t>
            </w:r>
          </w:p>
        </w:tc>
        <w:tc>
          <w:tcPr>
            <w:tcW w:w="251" w:type="pct"/>
            <w:gridSpan w:val="2"/>
            <w:tcBorders>
              <w:top w:val="single" w:sz="12" w:space="0" w:color="auto"/>
              <w:left w:val="single" w:sz="4" w:space="0" w:color="999999" w:themeColor="text1" w:themeTint="66"/>
              <w:bottom w:val="single" w:sz="4" w:space="0" w:color="999999" w:themeColor="text1" w:themeTint="66"/>
              <w:right w:val="nil"/>
            </w:tcBorders>
            <w:noWrap/>
            <w:vAlign w:val="center"/>
            <w:hideMark/>
          </w:tcPr>
          <w:p w14:paraId="17C4B7FD"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-0.34</w:t>
            </w:r>
          </w:p>
        </w:tc>
      </w:tr>
      <w:tr w:rsidR="00FE1CEE" w:rsidRPr="009508DF" w14:paraId="21881001" w14:textId="77777777" w:rsidTr="00A17CA7">
        <w:trPr>
          <w:trHeight w:val="20"/>
        </w:trPr>
        <w:tc>
          <w:tcPr>
            <w:cnfStyle w:val="001000000000" w:firstRow="0" w:lastRow="0" w:firstColumn="1" w:lastColumn="0" w:oddVBand="0" w:evenVBand="0" w:oddHBand="0" w:evenHBand="0" w:firstRowFirstColumn="0" w:firstRowLastColumn="0" w:lastRowFirstColumn="0" w:lastRowLastColumn="0"/>
            <w:tcW w:w="947" w:type="pct"/>
            <w:vMerge w:val="restart"/>
            <w:tcBorders>
              <w:top w:val="single" w:sz="4" w:space="0" w:color="999999" w:themeColor="text1" w:themeTint="66"/>
              <w:left w:val="nil"/>
              <w:bottom w:val="single" w:sz="4" w:space="0" w:color="auto"/>
              <w:right w:val="single" w:sz="4" w:space="0" w:color="999999" w:themeColor="text1" w:themeTint="66"/>
            </w:tcBorders>
            <w:noWrap/>
            <w:hideMark/>
          </w:tcPr>
          <w:p w14:paraId="6FA5C540" w14:textId="77777777" w:rsidR="00FE1CEE" w:rsidRPr="009508DF" w:rsidRDefault="00FE1CEE" w:rsidP="00A17CA7">
            <w:pPr>
              <w:widowControl/>
              <w:wordWrap/>
              <w:autoSpaceDE/>
              <w:spacing w:line="276" w:lineRule="auto"/>
              <w:rPr>
                <w:rFonts w:ascii="Calibri" w:eastAsia="Times New Roman" w:hAnsi="Calibri" w:cs="Calibri"/>
                <w:b w:val="0"/>
                <w:bCs w:val="0"/>
                <w:color w:val="000000"/>
                <w:sz w:val="18"/>
                <w:szCs w:val="18"/>
              </w:rPr>
            </w:pPr>
            <w:r w:rsidRPr="009508DF">
              <w:rPr>
                <w:rFonts w:ascii="Calibri" w:eastAsia="Times New Roman" w:hAnsi="Calibri" w:cs="Calibri"/>
                <w:b w:val="0"/>
                <w:bCs w:val="0"/>
                <w:color w:val="000000"/>
                <w:sz w:val="18"/>
                <w:szCs w:val="18"/>
              </w:rPr>
              <w:t xml:space="preserve">Socioeconomic </w:t>
            </w:r>
          </w:p>
        </w:tc>
        <w:tc>
          <w:tcPr>
            <w:tcW w:w="1325" w:type="pct"/>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58D2B73"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Income</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3C8B6B7"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xml:space="preserve">Share of households in the lowest household </w:t>
            </w:r>
          </w:p>
          <w:p w14:paraId="56165F73"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income quintile at the national level</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35897DE"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8C6F85D"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432E406"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1" w:type="pct"/>
            <w:gridSpan w:val="2"/>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1F6284A9"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0.03</w:t>
            </w:r>
          </w:p>
        </w:tc>
      </w:tr>
      <w:tr w:rsidR="00FE1CEE" w:rsidRPr="009508DF" w14:paraId="5B8139EE" w14:textId="77777777" w:rsidTr="00A17CA7">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auto"/>
              <w:right w:val="single" w:sz="4" w:space="0" w:color="999999" w:themeColor="text1" w:themeTint="66"/>
            </w:tcBorders>
            <w:vAlign w:val="center"/>
            <w:hideMark/>
          </w:tcPr>
          <w:p w14:paraId="7BDAAA36" w14:textId="77777777" w:rsidR="00FE1CEE" w:rsidRPr="009508DF" w:rsidRDefault="00FE1CEE" w:rsidP="00A17CA7">
            <w:pPr>
              <w:widowControl/>
              <w:wordWrap/>
              <w:autoSpaceDE/>
              <w:autoSpaceDN/>
              <w:spacing w:line="276" w:lineRule="auto"/>
              <w:rPr>
                <w:rFonts w:ascii="Calibri" w:eastAsia="Times New Roman" w:hAnsi="Calibri" w:cs="Calibri"/>
                <w:color w:val="000000"/>
                <w:sz w:val="18"/>
                <w:szCs w:val="18"/>
              </w:rPr>
            </w:pPr>
          </w:p>
        </w:tc>
        <w:tc>
          <w:tcPr>
            <w:tcW w:w="0" w:type="auto"/>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EC0CE22" w14:textId="77777777" w:rsidR="00FE1CEE" w:rsidRPr="009508DF" w:rsidRDefault="00FE1CEE" w:rsidP="00A17CA7">
            <w:pPr>
              <w:widowControl/>
              <w:wordWrap/>
              <w:autoSpaceDE/>
              <w:autoSpaceDN/>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5B0B337"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xml:space="preserve">Share of households in median household </w:t>
            </w:r>
          </w:p>
          <w:p w14:paraId="36D7F5AF"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income quintile at the national level</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5F916F7"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-0.08</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FF2B3C9"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CE7E661"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0.38</w:t>
            </w:r>
          </w:p>
        </w:tc>
        <w:tc>
          <w:tcPr>
            <w:tcW w:w="251" w:type="pct"/>
            <w:gridSpan w:val="2"/>
            <w:tcBorders>
              <w:top w:val="single" w:sz="4" w:space="0" w:color="999999" w:themeColor="text1" w:themeTint="66"/>
              <w:left w:val="single" w:sz="4" w:space="0" w:color="999999" w:themeColor="text1" w:themeTint="66"/>
              <w:bottom w:val="single" w:sz="4" w:space="0" w:color="999999" w:themeColor="text1" w:themeTint="66"/>
              <w:right w:val="nil"/>
            </w:tcBorders>
            <w:noWrap/>
            <w:hideMark/>
          </w:tcPr>
          <w:p w14:paraId="177E1891"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r>
      <w:tr w:rsidR="00FE1CEE" w:rsidRPr="009508DF" w14:paraId="63B3651E" w14:textId="77777777" w:rsidTr="00A17CA7">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auto"/>
              <w:right w:val="single" w:sz="4" w:space="0" w:color="999999" w:themeColor="text1" w:themeTint="66"/>
            </w:tcBorders>
            <w:vAlign w:val="center"/>
            <w:hideMark/>
          </w:tcPr>
          <w:p w14:paraId="079855B4" w14:textId="77777777" w:rsidR="00FE1CEE" w:rsidRPr="009508DF" w:rsidRDefault="00FE1CEE" w:rsidP="00A17CA7">
            <w:pPr>
              <w:widowControl/>
              <w:wordWrap/>
              <w:autoSpaceDE/>
              <w:autoSpaceDN/>
              <w:spacing w:line="276" w:lineRule="auto"/>
              <w:rPr>
                <w:rFonts w:ascii="Calibri" w:eastAsia="Times New Roman" w:hAnsi="Calibri" w:cs="Calibri"/>
                <w:color w:val="000000"/>
                <w:sz w:val="18"/>
                <w:szCs w:val="18"/>
              </w:rPr>
            </w:pPr>
          </w:p>
        </w:tc>
        <w:tc>
          <w:tcPr>
            <w:tcW w:w="0" w:type="auto"/>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A1C7FA0" w14:textId="77777777" w:rsidR="00FE1CEE" w:rsidRPr="009508DF" w:rsidRDefault="00FE1CEE" w:rsidP="00A17CA7">
            <w:pPr>
              <w:widowControl/>
              <w:wordWrap/>
              <w:autoSpaceDE/>
              <w:autoSpaceDN/>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25927E5"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xml:space="preserve">Share of households in top household </w:t>
            </w:r>
          </w:p>
          <w:p w14:paraId="215C3EF4"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income quintile at national level</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AE7EA68"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0.19</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5E189AD4"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0.47</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70F8AB60"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-0.23</w:t>
            </w:r>
          </w:p>
        </w:tc>
        <w:tc>
          <w:tcPr>
            <w:tcW w:w="251" w:type="pct"/>
            <w:gridSpan w:val="2"/>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0ED38574"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-0.19</w:t>
            </w:r>
          </w:p>
        </w:tc>
      </w:tr>
      <w:tr w:rsidR="00FE1CEE" w:rsidRPr="009508DF" w14:paraId="3085ECBE" w14:textId="77777777" w:rsidTr="00A17CA7">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auto"/>
              <w:right w:val="single" w:sz="4" w:space="0" w:color="999999" w:themeColor="text1" w:themeTint="66"/>
            </w:tcBorders>
            <w:vAlign w:val="center"/>
            <w:hideMark/>
          </w:tcPr>
          <w:p w14:paraId="743B0FA7" w14:textId="77777777" w:rsidR="00FE1CEE" w:rsidRPr="009508DF" w:rsidRDefault="00FE1CEE" w:rsidP="00A17CA7">
            <w:pPr>
              <w:widowControl/>
              <w:wordWrap/>
              <w:autoSpaceDE/>
              <w:autoSpaceDN/>
              <w:spacing w:line="276" w:lineRule="auto"/>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8D47F1E"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Occupation</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B1D68B5"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Share of Social Grade C1 (lower middle class)</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246B42F"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D7B2D0B"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0.3</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97BBACA"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1" w:type="pct"/>
            <w:gridSpan w:val="2"/>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2AB9AF46"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-0.23</w:t>
            </w:r>
          </w:p>
        </w:tc>
      </w:tr>
      <w:tr w:rsidR="00FE1CEE" w:rsidRPr="009508DF" w14:paraId="60E3F125" w14:textId="77777777" w:rsidTr="00A17CA7">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auto"/>
              <w:right w:val="single" w:sz="4" w:space="0" w:color="999999" w:themeColor="text1" w:themeTint="66"/>
            </w:tcBorders>
            <w:vAlign w:val="center"/>
            <w:hideMark/>
          </w:tcPr>
          <w:p w14:paraId="1CD80679" w14:textId="77777777" w:rsidR="00FE1CEE" w:rsidRPr="009508DF" w:rsidRDefault="00FE1CEE" w:rsidP="00A17CA7">
            <w:pPr>
              <w:widowControl/>
              <w:wordWrap/>
              <w:autoSpaceDE/>
              <w:autoSpaceDN/>
              <w:spacing w:line="276" w:lineRule="auto"/>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67D1472"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Housing type</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7860DA4"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Share of dwellings with ≥3 bedrooms</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CC61735"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67522CC"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6C4BE15"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0.25</w:t>
            </w:r>
          </w:p>
        </w:tc>
        <w:tc>
          <w:tcPr>
            <w:tcW w:w="251" w:type="pct"/>
            <w:gridSpan w:val="2"/>
            <w:tcBorders>
              <w:top w:val="single" w:sz="4" w:space="0" w:color="999999" w:themeColor="text1" w:themeTint="66"/>
              <w:left w:val="single" w:sz="4" w:space="0" w:color="999999" w:themeColor="text1" w:themeTint="66"/>
              <w:bottom w:val="single" w:sz="4" w:space="0" w:color="999999" w:themeColor="text1" w:themeTint="66"/>
              <w:right w:val="nil"/>
            </w:tcBorders>
            <w:noWrap/>
            <w:hideMark/>
          </w:tcPr>
          <w:p w14:paraId="04BCFA88"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r>
      <w:tr w:rsidR="00FE1CEE" w:rsidRPr="009508DF" w14:paraId="57E56867" w14:textId="77777777" w:rsidTr="00A17CA7">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99999" w:themeColor="text1" w:themeTint="66"/>
              <w:left w:val="nil"/>
              <w:bottom w:val="single" w:sz="4" w:space="0" w:color="auto"/>
              <w:right w:val="single" w:sz="4" w:space="0" w:color="999999" w:themeColor="text1" w:themeTint="66"/>
            </w:tcBorders>
            <w:vAlign w:val="center"/>
            <w:hideMark/>
          </w:tcPr>
          <w:p w14:paraId="23A70C0F" w14:textId="77777777" w:rsidR="00FE1CEE" w:rsidRPr="009508DF" w:rsidRDefault="00FE1CEE" w:rsidP="00A17CA7">
            <w:pPr>
              <w:widowControl/>
              <w:wordWrap/>
              <w:autoSpaceDE/>
              <w:autoSpaceDN/>
              <w:spacing w:line="276" w:lineRule="auto"/>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A865957"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Residential density</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F1E39CA"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xml:space="preserve">Resident population density </w:t>
            </w:r>
          </w:p>
          <w:p w14:paraId="759BFCC1"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(1,000 inhabitants per km</w:t>
            </w:r>
            <w:r w:rsidRPr="009508DF">
              <w:rPr>
                <w:rFonts w:ascii="Calibri" w:eastAsia="Times New Roman" w:hAnsi="Calibri" w:cs="Calibri"/>
                <w:color w:val="000000"/>
                <w:sz w:val="18"/>
                <w:szCs w:val="18"/>
                <w:vertAlign w:val="superscript"/>
              </w:rPr>
              <w:t>2</w:t>
            </w:r>
            <w:r w:rsidRPr="009508DF">
              <w:rPr>
                <w:rFonts w:ascii="Calibri" w:eastAsia="Times New Roman" w:hAnsi="Calibri" w:cs="Calibri"/>
                <w:color w:val="000000"/>
                <w:sz w:val="18"/>
                <w:szCs w:val="18"/>
              </w:rPr>
              <w:t>)</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C3C7A69"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731098D"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-0.02</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F48465A"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1" w:type="pct"/>
            <w:gridSpan w:val="2"/>
            <w:tcBorders>
              <w:top w:val="single" w:sz="4" w:space="0" w:color="999999" w:themeColor="text1" w:themeTint="66"/>
              <w:left w:val="single" w:sz="4" w:space="0" w:color="999999" w:themeColor="text1" w:themeTint="66"/>
              <w:bottom w:val="single" w:sz="4" w:space="0" w:color="auto"/>
              <w:right w:val="nil"/>
            </w:tcBorders>
            <w:noWrap/>
            <w:hideMark/>
          </w:tcPr>
          <w:p w14:paraId="42BFEC9F"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r>
      <w:tr w:rsidR="00FE1CEE" w:rsidRPr="009508DF" w14:paraId="1D27C183" w14:textId="77777777" w:rsidTr="00A17CA7">
        <w:trPr>
          <w:trHeight w:val="20"/>
        </w:trPr>
        <w:tc>
          <w:tcPr>
            <w:cnfStyle w:val="001000000000" w:firstRow="0" w:lastRow="0" w:firstColumn="1" w:lastColumn="0" w:oddVBand="0" w:evenVBand="0" w:oddHBand="0" w:evenHBand="0" w:firstRowFirstColumn="0" w:firstRowLastColumn="0" w:lastRowFirstColumn="0" w:lastRowLastColumn="0"/>
            <w:tcW w:w="947" w:type="pct"/>
            <w:vMerge w:val="restart"/>
            <w:tcBorders>
              <w:top w:val="single" w:sz="4" w:space="0" w:color="auto"/>
              <w:left w:val="nil"/>
              <w:bottom w:val="single" w:sz="4" w:space="0" w:color="auto"/>
              <w:right w:val="single" w:sz="4" w:space="0" w:color="999999" w:themeColor="text1" w:themeTint="66"/>
            </w:tcBorders>
            <w:noWrap/>
            <w:hideMark/>
          </w:tcPr>
          <w:p w14:paraId="16E30CB0" w14:textId="77777777" w:rsidR="00FE1CEE" w:rsidRPr="009508DF" w:rsidRDefault="00FE1CEE" w:rsidP="00A17CA7">
            <w:pPr>
              <w:widowControl/>
              <w:wordWrap/>
              <w:autoSpaceDE/>
              <w:spacing w:line="276" w:lineRule="auto"/>
              <w:rPr>
                <w:rFonts w:ascii="Calibri" w:eastAsia="Times New Roman" w:hAnsi="Calibri" w:cs="Calibri"/>
                <w:b w:val="0"/>
                <w:bCs w:val="0"/>
                <w:color w:val="000000"/>
                <w:sz w:val="18"/>
                <w:szCs w:val="18"/>
              </w:rPr>
            </w:pPr>
            <w:r w:rsidRPr="009508DF">
              <w:rPr>
                <w:rFonts w:ascii="Calibri" w:eastAsia="Times New Roman" w:hAnsi="Calibri" w:cs="Calibri"/>
                <w:b w:val="0"/>
                <w:bCs w:val="0"/>
                <w:color w:val="000000"/>
                <w:sz w:val="18"/>
                <w:szCs w:val="18"/>
              </w:rPr>
              <w:t>Accessibility</w:t>
            </w:r>
          </w:p>
        </w:tc>
        <w:tc>
          <w:tcPr>
            <w:tcW w:w="1325" w:type="pct"/>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F6A8A8A"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Car availability</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551985D"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Share of households with 1 vehicle</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64F0585"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-0.35</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093A213"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0.04</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0ABD75D1"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-0.04</w:t>
            </w:r>
          </w:p>
        </w:tc>
        <w:tc>
          <w:tcPr>
            <w:tcW w:w="251" w:type="pct"/>
            <w:gridSpan w:val="2"/>
            <w:tcBorders>
              <w:top w:val="single" w:sz="4" w:space="0" w:color="auto"/>
              <w:left w:val="single" w:sz="4" w:space="0" w:color="999999" w:themeColor="text1" w:themeTint="66"/>
              <w:bottom w:val="single" w:sz="4" w:space="0" w:color="999999" w:themeColor="text1" w:themeTint="66"/>
              <w:right w:val="nil"/>
            </w:tcBorders>
            <w:noWrap/>
            <w:vAlign w:val="center"/>
            <w:hideMark/>
          </w:tcPr>
          <w:p w14:paraId="215D8E45"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0.18</w:t>
            </w:r>
          </w:p>
        </w:tc>
      </w:tr>
      <w:tr w:rsidR="00FE1CEE" w:rsidRPr="009508DF" w14:paraId="2CEE2936" w14:textId="77777777" w:rsidTr="00A17CA7">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nil"/>
              <w:bottom w:val="single" w:sz="4" w:space="0" w:color="auto"/>
              <w:right w:val="single" w:sz="4" w:space="0" w:color="999999" w:themeColor="text1" w:themeTint="66"/>
            </w:tcBorders>
            <w:vAlign w:val="center"/>
            <w:hideMark/>
          </w:tcPr>
          <w:p w14:paraId="19378D44" w14:textId="77777777" w:rsidR="00FE1CEE" w:rsidRPr="009508DF" w:rsidRDefault="00FE1CEE" w:rsidP="00A17CA7">
            <w:pPr>
              <w:widowControl/>
              <w:wordWrap/>
              <w:autoSpaceDE/>
              <w:autoSpaceDN/>
              <w:spacing w:line="276" w:lineRule="auto"/>
              <w:rPr>
                <w:rFonts w:ascii="Calibri" w:eastAsia="Times New Roman" w:hAnsi="Calibri" w:cs="Calibri"/>
                <w:color w:val="000000"/>
                <w:sz w:val="18"/>
                <w:szCs w:val="18"/>
              </w:rPr>
            </w:pPr>
          </w:p>
        </w:tc>
        <w:tc>
          <w:tcPr>
            <w:tcW w:w="0" w:type="auto"/>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33338E8" w14:textId="77777777" w:rsidR="00FE1CEE" w:rsidRPr="009508DF" w:rsidRDefault="00FE1CEE" w:rsidP="00A17CA7">
            <w:pPr>
              <w:widowControl/>
              <w:wordWrap/>
              <w:autoSpaceDE/>
              <w:autoSpaceDN/>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F1ACF88"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Share of households with ≥3 vehicles</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298778A"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4E2EBF86"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0.39</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2766213"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1" w:type="pct"/>
            <w:gridSpan w:val="2"/>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429D7068"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-0.64</w:t>
            </w:r>
          </w:p>
        </w:tc>
      </w:tr>
      <w:tr w:rsidR="00FE1CEE" w:rsidRPr="009508DF" w14:paraId="0834B58C" w14:textId="77777777" w:rsidTr="00A17CA7">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nil"/>
              <w:bottom w:val="single" w:sz="4" w:space="0" w:color="auto"/>
              <w:right w:val="single" w:sz="4" w:space="0" w:color="999999" w:themeColor="text1" w:themeTint="66"/>
            </w:tcBorders>
            <w:vAlign w:val="center"/>
            <w:hideMark/>
          </w:tcPr>
          <w:p w14:paraId="47AFD7E1" w14:textId="77777777" w:rsidR="00FE1CEE" w:rsidRPr="009508DF" w:rsidRDefault="00FE1CEE" w:rsidP="00A17CA7">
            <w:pPr>
              <w:widowControl/>
              <w:wordWrap/>
              <w:autoSpaceDE/>
              <w:autoSpaceDN/>
              <w:spacing w:line="276" w:lineRule="auto"/>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FF9B5B8"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Clinical capacity and Allowed premises</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9BD2BA8"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Hospitals (per 1,000 inhabitants)</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940C7BE"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0.07</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653B733A"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-0.15</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4C0628B"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1" w:type="pct"/>
            <w:gridSpan w:val="2"/>
            <w:tcBorders>
              <w:top w:val="single" w:sz="4" w:space="0" w:color="999999" w:themeColor="text1" w:themeTint="66"/>
              <w:left w:val="single" w:sz="4" w:space="0" w:color="999999" w:themeColor="text1" w:themeTint="66"/>
              <w:bottom w:val="single" w:sz="4" w:space="0" w:color="auto"/>
              <w:right w:val="nil"/>
            </w:tcBorders>
            <w:noWrap/>
            <w:hideMark/>
          </w:tcPr>
          <w:p w14:paraId="53914C9B"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r>
      <w:tr w:rsidR="00FE1CEE" w:rsidRPr="009508DF" w14:paraId="32626976" w14:textId="77777777" w:rsidTr="00A17CA7">
        <w:trPr>
          <w:trHeight w:val="20"/>
        </w:trPr>
        <w:tc>
          <w:tcPr>
            <w:cnfStyle w:val="001000000000" w:firstRow="0" w:lastRow="0" w:firstColumn="1" w:lastColumn="0" w:oddVBand="0" w:evenVBand="0" w:oddHBand="0" w:evenHBand="0" w:firstRowFirstColumn="0" w:firstRowLastColumn="0" w:lastRowFirstColumn="0" w:lastRowLastColumn="0"/>
            <w:tcW w:w="947" w:type="pct"/>
            <w:tcBorders>
              <w:top w:val="single" w:sz="4" w:space="0" w:color="auto"/>
              <w:left w:val="nil"/>
              <w:bottom w:val="single" w:sz="4" w:space="0" w:color="auto"/>
              <w:right w:val="single" w:sz="4" w:space="0" w:color="999999" w:themeColor="text1" w:themeTint="66"/>
            </w:tcBorders>
            <w:noWrap/>
            <w:hideMark/>
          </w:tcPr>
          <w:p w14:paraId="69256A2A" w14:textId="77777777" w:rsidR="00FE1CEE" w:rsidRPr="009508DF" w:rsidRDefault="00FE1CEE" w:rsidP="00A17CA7">
            <w:pPr>
              <w:widowControl/>
              <w:wordWrap/>
              <w:autoSpaceDE/>
              <w:spacing w:line="276" w:lineRule="auto"/>
              <w:rPr>
                <w:rFonts w:ascii="Calibri" w:eastAsia="Times New Roman" w:hAnsi="Calibri" w:cs="Calibri"/>
                <w:b w:val="0"/>
                <w:bCs w:val="0"/>
                <w:color w:val="000000"/>
                <w:sz w:val="18"/>
                <w:szCs w:val="18"/>
              </w:rPr>
            </w:pPr>
            <w:r w:rsidRPr="009508DF">
              <w:rPr>
                <w:rFonts w:ascii="Calibri" w:eastAsia="Times New Roman" w:hAnsi="Calibri" w:cs="Calibri"/>
                <w:b w:val="0"/>
                <w:bCs w:val="0"/>
                <w:color w:val="000000"/>
                <w:sz w:val="18"/>
                <w:szCs w:val="18"/>
              </w:rPr>
              <w:t>Activity commitment</w:t>
            </w:r>
          </w:p>
        </w:tc>
        <w:tc>
          <w:tcPr>
            <w:tcW w:w="1325" w:type="pct"/>
            <w:tcBorders>
              <w:top w:val="single" w:sz="4" w:space="0" w:color="auto"/>
              <w:left w:val="single" w:sz="4" w:space="0" w:color="999999" w:themeColor="text1" w:themeTint="66"/>
              <w:bottom w:val="single" w:sz="4" w:space="0" w:color="auto"/>
              <w:right w:val="single" w:sz="4" w:space="0" w:color="999999" w:themeColor="text1" w:themeTint="66"/>
            </w:tcBorders>
            <w:noWrap/>
            <w:hideMark/>
          </w:tcPr>
          <w:p w14:paraId="5B66B0D6"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Economic activity</w:t>
            </w:r>
          </w:p>
        </w:tc>
        <w:tc>
          <w:tcPr>
            <w:tcW w:w="1727" w:type="pct"/>
            <w:tcBorders>
              <w:top w:val="single" w:sz="4" w:space="0" w:color="auto"/>
              <w:left w:val="single" w:sz="4" w:space="0" w:color="999999" w:themeColor="text1" w:themeTint="66"/>
              <w:bottom w:val="single" w:sz="4" w:space="0" w:color="auto"/>
              <w:right w:val="single" w:sz="4" w:space="0" w:color="999999" w:themeColor="text1" w:themeTint="66"/>
            </w:tcBorders>
            <w:noWrap/>
            <w:hideMark/>
          </w:tcPr>
          <w:p w14:paraId="0D9AEAF2"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Share of self-employed workers in the resident</w:t>
            </w:r>
          </w:p>
          <w:p w14:paraId="0B33FA4B"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population aged 16-74</w:t>
            </w:r>
          </w:p>
        </w:tc>
        <w:tc>
          <w:tcPr>
            <w:tcW w:w="250" w:type="pct"/>
            <w:gridSpan w:val="2"/>
            <w:tcBorders>
              <w:top w:val="single" w:sz="4" w:space="0" w:color="auto"/>
              <w:left w:val="single" w:sz="4" w:space="0" w:color="999999" w:themeColor="text1" w:themeTint="66"/>
              <w:bottom w:val="single" w:sz="4" w:space="0" w:color="auto"/>
              <w:right w:val="single" w:sz="4" w:space="0" w:color="999999" w:themeColor="text1" w:themeTint="66"/>
            </w:tcBorders>
            <w:noWrap/>
            <w:vAlign w:val="center"/>
            <w:hideMark/>
          </w:tcPr>
          <w:p w14:paraId="6415C172"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0.71</w:t>
            </w:r>
          </w:p>
        </w:tc>
        <w:tc>
          <w:tcPr>
            <w:tcW w:w="250" w:type="pct"/>
            <w:gridSpan w:val="2"/>
            <w:tcBorders>
              <w:top w:val="single" w:sz="4" w:space="0" w:color="auto"/>
              <w:left w:val="single" w:sz="4" w:space="0" w:color="999999" w:themeColor="text1" w:themeTint="66"/>
              <w:bottom w:val="single" w:sz="4" w:space="0" w:color="auto"/>
              <w:right w:val="single" w:sz="4" w:space="0" w:color="999999" w:themeColor="text1" w:themeTint="66"/>
            </w:tcBorders>
            <w:noWrap/>
            <w:vAlign w:val="center"/>
            <w:hideMark/>
          </w:tcPr>
          <w:p w14:paraId="31AB2714"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0.02</w:t>
            </w:r>
          </w:p>
        </w:tc>
        <w:tc>
          <w:tcPr>
            <w:tcW w:w="250" w:type="pct"/>
            <w:gridSpan w:val="2"/>
            <w:tcBorders>
              <w:top w:val="single" w:sz="4" w:space="0" w:color="auto"/>
              <w:left w:val="single" w:sz="4" w:space="0" w:color="999999" w:themeColor="text1" w:themeTint="66"/>
              <w:bottom w:val="single" w:sz="4" w:space="0" w:color="auto"/>
              <w:right w:val="single" w:sz="4" w:space="0" w:color="999999" w:themeColor="text1" w:themeTint="66"/>
            </w:tcBorders>
            <w:noWrap/>
            <w:vAlign w:val="center"/>
            <w:hideMark/>
          </w:tcPr>
          <w:p w14:paraId="0E06FCFD"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-0.02</w:t>
            </w:r>
          </w:p>
        </w:tc>
        <w:tc>
          <w:tcPr>
            <w:tcW w:w="251" w:type="pct"/>
            <w:gridSpan w:val="2"/>
            <w:tcBorders>
              <w:top w:val="single" w:sz="4" w:space="0" w:color="auto"/>
              <w:left w:val="single" w:sz="4" w:space="0" w:color="999999" w:themeColor="text1" w:themeTint="66"/>
              <w:bottom w:val="single" w:sz="4" w:space="0" w:color="auto"/>
              <w:right w:val="nil"/>
            </w:tcBorders>
            <w:noWrap/>
            <w:vAlign w:val="center"/>
            <w:hideMark/>
          </w:tcPr>
          <w:p w14:paraId="3D243DC4"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-0.26</w:t>
            </w:r>
          </w:p>
        </w:tc>
      </w:tr>
      <w:tr w:rsidR="00FE1CEE" w:rsidRPr="009508DF" w14:paraId="4217CF1D" w14:textId="77777777" w:rsidTr="00A17CA7">
        <w:trPr>
          <w:trHeight w:val="20"/>
        </w:trPr>
        <w:tc>
          <w:tcPr>
            <w:cnfStyle w:val="001000000000" w:firstRow="0" w:lastRow="0" w:firstColumn="1" w:lastColumn="0" w:oddVBand="0" w:evenVBand="0" w:oddHBand="0" w:evenHBand="0" w:firstRowFirstColumn="0" w:firstRowLastColumn="0" w:lastRowFirstColumn="0" w:lastRowLastColumn="0"/>
            <w:tcW w:w="947" w:type="pct"/>
            <w:vMerge w:val="restart"/>
            <w:tcBorders>
              <w:top w:val="single" w:sz="4" w:space="0" w:color="auto"/>
              <w:left w:val="nil"/>
              <w:bottom w:val="single" w:sz="4" w:space="0" w:color="auto"/>
              <w:right w:val="single" w:sz="4" w:space="0" w:color="999999" w:themeColor="text1" w:themeTint="66"/>
            </w:tcBorders>
            <w:noWrap/>
            <w:hideMark/>
          </w:tcPr>
          <w:p w14:paraId="0474A4DE" w14:textId="77777777" w:rsidR="00FE1CEE" w:rsidRPr="009508DF" w:rsidRDefault="00FE1CEE" w:rsidP="00A17CA7">
            <w:pPr>
              <w:widowControl/>
              <w:wordWrap/>
              <w:autoSpaceDE/>
              <w:spacing w:line="276" w:lineRule="auto"/>
              <w:rPr>
                <w:rFonts w:ascii="Calibri" w:eastAsia="Times New Roman" w:hAnsi="Calibri" w:cs="Calibri"/>
                <w:b w:val="0"/>
                <w:bCs w:val="0"/>
                <w:color w:val="000000"/>
                <w:sz w:val="18"/>
                <w:szCs w:val="18"/>
              </w:rPr>
            </w:pPr>
            <w:r w:rsidRPr="009508DF">
              <w:rPr>
                <w:rFonts w:ascii="Calibri" w:eastAsia="Times New Roman" w:hAnsi="Calibri" w:cs="Calibri"/>
                <w:b w:val="0"/>
                <w:bCs w:val="0"/>
                <w:color w:val="000000"/>
                <w:sz w:val="18"/>
                <w:szCs w:val="18"/>
              </w:rPr>
              <w:t>Perceived risk of COVID-19</w:t>
            </w: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9E599B1"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Infection rates</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845C1E4"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xml:space="preserve">Cumulative COVID-19 reported cases per </w:t>
            </w:r>
            <w:proofErr w:type="gramStart"/>
            <w:r w:rsidRPr="009508DF">
              <w:rPr>
                <w:rFonts w:ascii="Calibri" w:eastAsia="Times New Roman" w:hAnsi="Calibri" w:cs="Calibri"/>
                <w:color w:val="000000"/>
                <w:sz w:val="18"/>
                <w:szCs w:val="18"/>
              </w:rPr>
              <w:t>100,000</w:t>
            </w:r>
            <w:proofErr w:type="gramEnd"/>
            <w:r w:rsidRPr="009508DF">
              <w:rPr>
                <w:rFonts w:ascii="Calibri" w:eastAsia="Times New Roman" w:hAnsi="Calibri" w:cs="Calibri"/>
                <w:color w:val="000000"/>
                <w:sz w:val="18"/>
                <w:szCs w:val="18"/>
              </w:rPr>
              <w:t xml:space="preserve"> </w:t>
            </w:r>
          </w:p>
          <w:p w14:paraId="372C1036"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resident population before lockdown</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3076ACED"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0.24</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3D4DA9C"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7D37CB2"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1" w:type="pct"/>
            <w:gridSpan w:val="2"/>
            <w:tcBorders>
              <w:top w:val="single" w:sz="4" w:space="0" w:color="auto"/>
              <w:left w:val="single" w:sz="4" w:space="0" w:color="999999" w:themeColor="text1" w:themeTint="66"/>
              <w:bottom w:val="single" w:sz="4" w:space="0" w:color="999999" w:themeColor="text1" w:themeTint="66"/>
              <w:right w:val="nil"/>
            </w:tcBorders>
            <w:noWrap/>
            <w:vAlign w:val="center"/>
            <w:hideMark/>
          </w:tcPr>
          <w:p w14:paraId="77639353"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-0.01</w:t>
            </w:r>
          </w:p>
        </w:tc>
      </w:tr>
      <w:tr w:rsidR="00FE1CEE" w:rsidRPr="009508DF" w14:paraId="454747B5" w14:textId="77777777" w:rsidTr="00A17CA7">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nil"/>
              <w:bottom w:val="single" w:sz="4" w:space="0" w:color="auto"/>
              <w:right w:val="single" w:sz="4" w:space="0" w:color="999999" w:themeColor="text1" w:themeTint="66"/>
            </w:tcBorders>
            <w:vAlign w:val="center"/>
            <w:hideMark/>
          </w:tcPr>
          <w:p w14:paraId="26715E08" w14:textId="77777777" w:rsidR="00FE1CEE" w:rsidRPr="009508DF" w:rsidRDefault="00FE1CEE" w:rsidP="00A17CA7">
            <w:pPr>
              <w:widowControl/>
              <w:wordWrap/>
              <w:autoSpaceDE/>
              <w:autoSpaceDN/>
              <w:spacing w:line="276" w:lineRule="auto"/>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6313238"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Mortality rates</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8607BF8"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xml:space="preserve">Cumulative COVID-19 reported deaths per </w:t>
            </w:r>
            <w:proofErr w:type="gramStart"/>
            <w:r w:rsidRPr="009508DF">
              <w:rPr>
                <w:rFonts w:ascii="Calibri" w:eastAsia="Times New Roman" w:hAnsi="Calibri" w:cs="Calibri"/>
                <w:color w:val="000000"/>
                <w:sz w:val="18"/>
                <w:szCs w:val="18"/>
              </w:rPr>
              <w:t>100,000</w:t>
            </w:r>
            <w:proofErr w:type="gramEnd"/>
          </w:p>
          <w:p w14:paraId="7880829A"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resident population before lockdown</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51F3FE9"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AE3B21F"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C353F6F"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1" w:type="pct"/>
            <w:gridSpan w:val="2"/>
            <w:tcBorders>
              <w:top w:val="single" w:sz="4" w:space="0" w:color="999999" w:themeColor="text1" w:themeTint="66"/>
              <w:left w:val="single" w:sz="4" w:space="0" w:color="999999" w:themeColor="text1" w:themeTint="66"/>
              <w:bottom w:val="single" w:sz="4" w:space="0" w:color="auto"/>
              <w:right w:val="nil"/>
            </w:tcBorders>
            <w:noWrap/>
            <w:vAlign w:val="center"/>
            <w:hideMark/>
          </w:tcPr>
          <w:p w14:paraId="41CF3594"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-0.2</w:t>
            </w:r>
          </w:p>
        </w:tc>
      </w:tr>
      <w:tr w:rsidR="00FE1CEE" w:rsidRPr="009508DF" w14:paraId="6037441C" w14:textId="77777777" w:rsidTr="00A17CA7">
        <w:trPr>
          <w:trHeight w:val="20"/>
        </w:trPr>
        <w:tc>
          <w:tcPr>
            <w:cnfStyle w:val="001000000000" w:firstRow="0" w:lastRow="0" w:firstColumn="1" w:lastColumn="0" w:oddVBand="0" w:evenVBand="0" w:oddHBand="0" w:evenHBand="0" w:firstRowFirstColumn="0" w:firstRowLastColumn="0" w:lastRowFirstColumn="0" w:lastRowLastColumn="0"/>
            <w:tcW w:w="947" w:type="pct"/>
            <w:vMerge w:val="restart"/>
            <w:tcBorders>
              <w:top w:val="single" w:sz="4" w:space="0" w:color="auto"/>
              <w:left w:val="nil"/>
              <w:bottom w:val="double" w:sz="4" w:space="0" w:color="auto"/>
              <w:right w:val="single" w:sz="4" w:space="0" w:color="999999" w:themeColor="text1" w:themeTint="66"/>
            </w:tcBorders>
            <w:noWrap/>
            <w:hideMark/>
          </w:tcPr>
          <w:p w14:paraId="5A96B588" w14:textId="77777777" w:rsidR="00FE1CEE" w:rsidRPr="009508DF" w:rsidRDefault="00FE1CEE" w:rsidP="00A17CA7">
            <w:pPr>
              <w:widowControl/>
              <w:wordWrap/>
              <w:autoSpaceDE/>
              <w:spacing w:line="276" w:lineRule="auto"/>
              <w:rPr>
                <w:rFonts w:ascii="Calibri" w:eastAsia="Times New Roman" w:hAnsi="Calibri" w:cs="Calibri"/>
                <w:b w:val="0"/>
                <w:bCs w:val="0"/>
                <w:color w:val="000000"/>
                <w:sz w:val="18"/>
                <w:szCs w:val="18"/>
              </w:rPr>
            </w:pPr>
            <w:r w:rsidRPr="009508DF">
              <w:rPr>
                <w:rFonts w:ascii="Calibri" w:eastAsia="Times New Roman" w:hAnsi="Calibri" w:cs="Calibri"/>
                <w:b w:val="0"/>
                <w:bCs w:val="0"/>
                <w:color w:val="000000"/>
                <w:sz w:val="18"/>
                <w:szCs w:val="18"/>
              </w:rPr>
              <w:t>Ethnic composition</w:t>
            </w: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62BF06E2"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Bangladeshi</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577FC31"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Percentage Bangladeshi</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7712D9CF"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0.08</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93ADDA0"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52550DAE"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1" w:type="pct"/>
            <w:gridSpan w:val="2"/>
            <w:tcBorders>
              <w:top w:val="single" w:sz="4" w:space="0" w:color="auto"/>
              <w:left w:val="single" w:sz="4" w:space="0" w:color="999999" w:themeColor="text1" w:themeTint="66"/>
              <w:bottom w:val="single" w:sz="4" w:space="0" w:color="999999" w:themeColor="text1" w:themeTint="66"/>
              <w:right w:val="nil"/>
            </w:tcBorders>
            <w:noWrap/>
            <w:vAlign w:val="center"/>
            <w:hideMark/>
          </w:tcPr>
          <w:p w14:paraId="23FA9BC9"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-0.06</w:t>
            </w:r>
          </w:p>
        </w:tc>
      </w:tr>
      <w:tr w:rsidR="00FE1CEE" w:rsidRPr="009508DF" w14:paraId="72C7B3E4" w14:textId="77777777" w:rsidTr="00A17CA7">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nil"/>
              <w:bottom w:val="double" w:sz="4" w:space="0" w:color="auto"/>
              <w:right w:val="single" w:sz="4" w:space="0" w:color="999999" w:themeColor="text1" w:themeTint="66"/>
            </w:tcBorders>
            <w:vAlign w:val="center"/>
            <w:hideMark/>
          </w:tcPr>
          <w:p w14:paraId="433CDB0F" w14:textId="77777777" w:rsidR="00FE1CEE" w:rsidRPr="009508DF" w:rsidRDefault="00FE1CEE" w:rsidP="00A17CA7">
            <w:pPr>
              <w:widowControl/>
              <w:wordWrap/>
              <w:autoSpaceDE/>
              <w:autoSpaceDN/>
              <w:spacing w:line="276" w:lineRule="auto"/>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0ACB614"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Other Asian</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4CD1D8C2"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Percentage Other Asian</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9756CDC"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8DDFA5B"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0.06</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6DA4503"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-0.01</w:t>
            </w:r>
          </w:p>
        </w:tc>
        <w:tc>
          <w:tcPr>
            <w:tcW w:w="251" w:type="pct"/>
            <w:gridSpan w:val="2"/>
            <w:tcBorders>
              <w:top w:val="single" w:sz="4" w:space="0" w:color="999999" w:themeColor="text1" w:themeTint="66"/>
              <w:left w:val="single" w:sz="4" w:space="0" w:color="999999" w:themeColor="text1" w:themeTint="66"/>
              <w:bottom w:val="single" w:sz="4" w:space="0" w:color="999999" w:themeColor="text1" w:themeTint="66"/>
              <w:right w:val="nil"/>
            </w:tcBorders>
            <w:noWrap/>
            <w:hideMark/>
          </w:tcPr>
          <w:p w14:paraId="4E96304C"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r>
      <w:tr w:rsidR="00FE1CEE" w:rsidRPr="009508DF" w14:paraId="498E5745" w14:textId="77777777" w:rsidTr="00A17CA7">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nil"/>
              <w:bottom w:val="double" w:sz="4" w:space="0" w:color="auto"/>
              <w:right w:val="single" w:sz="4" w:space="0" w:color="999999" w:themeColor="text1" w:themeTint="66"/>
            </w:tcBorders>
            <w:vAlign w:val="center"/>
            <w:hideMark/>
          </w:tcPr>
          <w:p w14:paraId="724D1B53" w14:textId="77777777" w:rsidR="00FE1CEE" w:rsidRPr="009508DF" w:rsidRDefault="00FE1CEE" w:rsidP="00A17CA7">
            <w:pPr>
              <w:widowControl/>
              <w:wordWrap/>
              <w:autoSpaceDE/>
              <w:autoSpaceDN/>
              <w:spacing w:line="276" w:lineRule="auto"/>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31E35C4"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African</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0901685D"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Percentage Black African</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160D6831"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B62E051"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0.43</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3B4445F6"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1" w:type="pct"/>
            <w:gridSpan w:val="2"/>
            <w:tcBorders>
              <w:top w:val="single" w:sz="4" w:space="0" w:color="999999" w:themeColor="text1" w:themeTint="66"/>
              <w:left w:val="single" w:sz="4" w:space="0" w:color="999999" w:themeColor="text1" w:themeTint="66"/>
              <w:bottom w:val="single" w:sz="4" w:space="0" w:color="999999" w:themeColor="text1" w:themeTint="66"/>
              <w:right w:val="nil"/>
            </w:tcBorders>
            <w:noWrap/>
            <w:hideMark/>
          </w:tcPr>
          <w:p w14:paraId="453CD398"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r>
      <w:tr w:rsidR="00FE1CEE" w:rsidRPr="009508DF" w14:paraId="6D33F6E4" w14:textId="77777777" w:rsidTr="00A17CA7">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nil"/>
              <w:bottom w:val="double" w:sz="4" w:space="0" w:color="auto"/>
              <w:right w:val="single" w:sz="4" w:space="0" w:color="999999" w:themeColor="text1" w:themeTint="66"/>
            </w:tcBorders>
            <w:vAlign w:val="center"/>
            <w:hideMark/>
          </w:tcPr>
          <w:p w14:paraId="74B6BEDD" w14:textId="77777777" w:rsidR="00FE1CEE" w:rsidRPr="009508DF" w:rsidRDefault="00FE1CEE" w:rsidP="00A17CA7">
            <w:pPr>
              <w:widowControl/>
              <w:wordWrap/>
              <w:autoSpaceDE/>
              <w:autoSpaceDN/>
              <w:spacing w:line="276" w:lineRule="auto"/>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1C52B75"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Caribbean</w:t>
            </w:r>
          </w:p>
        </w:tc>
        <w:tc>
          <w:tcPr>
            <w:tcW w:w="172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420F50F"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Percentage Black Caribbean</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vAlign w:val="center"/>
            <w:hideMark/>
          </w:tcPr>
          <w:p w14:paraId="1F65F3DA"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0.09</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2548BCE7"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14:paraId="7283A110"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1" w:type="pct"/>
            <w:gridSpan w:val="2"/>
            <w:tcBorders>
              <w:top w:val="single" w:sz="4" w:space="0" w:color="999999" w:themeColor="text1" w:themeTint="66"/>
              <w:left w:val="single" w:sz="4" w:space="0" w:color="999999" w:themeColor="text1" w:themeTint="66"/>
              <w:bottom w:val="single" w:sz="4" w:space="0" w:color="999999" w:themeColor="text1" w:themeTint="66"/>
              <w:right w:val="nil"/>
            </w:tcBorders>
            <w:noWrap/>
            <w:vAlign w:val="center"/>
            <w:hideMark/>
          </w:tcPr>
          <w:p w14:paraId="3EC6D707"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-0.19</w:t>
            </w:r>
          </w:p>
        </w:tc>
      </w:tr>
      <w:tr w:rsidR="00FE1CEE" w:rsidRPr="009508DF" w14:paraId="3004D478" w14:textId="77777777" w:rsidTr="00A17CA7">
        <w:trPr>
          <w:trHeight w:val="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nil"/>
              <w:bottom w:val="double" w:sz="4" w:space="0" w:color="auto"/>
              <w:right w:val="single" w:sz="4" w:space="0" w:color="999999" w:themeColor="text1" w:themeTint="66"/>
            </w:tcBorders>
            <w:vAlign w:val="center"/>
            <w:hideMark/>
          </w:tcPr>
          <w:p w14:paraId="7D937060" w14:textId="77777777" w:rsidR="00FE1CEE" w:rsidRPr="009508DF" w:rsidRDefault="00FE1CEE" w:rsidP="00A17CA7">
            <w:pPr>
              <w:widowControl/>
              <w:wordWrap/>
              <w:autoSpaceDE/>
              <w:autoSpaceDN/>
              <w:spacing w:line="276" w:lineRule="auto"/>
              <w:rPr>
                <w:rFonts w:ascii="Calibri" w:eastAsia="Times New Roman" w:hAnsi="Calibri" w:cs="Calibri"/>
                <w:color w:val="000000"/>
                <w:sz w:val="18"/>
                <w:szCs w:val="18"/>
              </w:rPr>
            </w:pPr>
          </w:p>
        </w:tc>
        <w:tc>
          <w:tcPr>
            <w:tcW w:w="1325" w:type="pct"/>
            <w:tcBorders>
              <w:top w:val="single" w:sz="4" w:space="0" w:color="999999" w:themeColor="text1" w:themeTint="66"/>
              <w:left w:val="single" w:sz="4" w:space="0" w:color="999999" w:themeColor="text1" w:themeTint="66"/>
              <w:bottom w:val="double" w:sz="4" w:space="0" w:color="999999" w:themeColor="text1" w:themeTint="66"/>
              <w:right w:val="single" w:sz="4" w:space="0" w:color="999999" w:themeColor="text1" w:themeTint="66"/>
            </w:tcBorders>
            <w:noWrap/>
            <w:hideMark/>
          </w:tcPr>
          <w:p w14:paraId="1C4B1447"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Other Black</w:t>
            </w:r>
          </w:p>
        </w:tc>
        <w:tc>
          <w:tcPr>
            <w:tcW w:w="1727" w:type="pct"/>
            <w:tcBorders>
              <w:top w:val="single" w:sz="4" w:space="0" w:color="999999" w:themeColor="text1" w:themeTint="66"/>
              <w:left w:val="single" w:sz="4" w:space="0" w:color="999999" w:themeColor="text1" w:themeTint="66"/>
              <w:bottom w:val="double" w:sz="4" w:space="0" w:color="999999" w:themeColor="text1" w:themeTint="66"/>
              <w:right w:val="single" w:sz="4" w:space="0" w:color="999999" w:themeColor="text1" w:themeTint="66"/>
            </w:tcBorders>
            <w:noWrap/>
            <w:hideMark/>
          </w:tcPr>
          <w:p w14:paraId="0755B5F2" w14:textId="77777777" w:rsidR="00FE1CEE" w:rsidRPr="009508DF" w:rsidRDefault="00FE1CEE" w:rsidP="00A17CA7">
            <w:pPr>
              <w:widowControl/>
              <w:wordWrap/>
              <w:autoSpaceDE/>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Percentage Other Black</w:t>
            </w:r>
          </w:p>
        </w:tc>
        <w:tc>
          <w:tcPr>
            <w:tcW w:w="250" w:type="pct"/>
            <w:gridSpan w:val="2"/>
            <w:tcBorders>
              <w:top w:val="single" w:sz="4" w:space="0" w:color="999999" w:themeColor="text1" w:themeTint="66"/>
              <w:left w:val="single" w:sz="4" w:space="0" w:color="999999" w:themeColor="text1" w:themeTint="66"/>
              <w:bottom w:val="double" w:sz="4" w:space="0" w:color="999999" w:themeColor="text1" w:themeTint="66"/>
              <w:right w:val="single" w:sz="4" w:space="0" w:color="999999" w:themeColor="text1" w:themeTint="66"/>
            </w:tcBorders>
            <w:noWrap/>
            <w:vAlign w:val="center"/>
            <w:hideMark/>
          </w:tcPr>
          <w:p w14:paraId="7E31C9B2"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0.12</w:t>
            </w:r>
          </w:p>
        </w:tc>
        <w:tc>
          <w:tcPr>
            <w:tcW w:w="250" w:type="pct"/>
            <w:gridSpan w:val="2"/>
            <w:tcBorders>
              <w:top w:val="single" w:sz="4" w:space="0" w:color="999999" w:themeColor="text1" w:themeTint="66"/>
              <w:left w:val="single" w:sz="4" w:space="0" w:color="999999" w:themeColor="text1" w:themeTint="66"/>
              <w:bottom w:val="double" w:sz="4" w:space="0" w:color="999999" w:themeColor="text1" w:themeTint="66"/>
              <w:right w:val="single" w:sz="4" w:space="0" w:color="999999" w:themeColor="text1" w:themeTint="66"/>
            </w:tcBorders>
            <w:noWrap/>
            <w:hideMark/>
          </w:tcPr>
          <w:p w14:paraId="5713A820"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0" w:type="pct"/>
            <w:gridSpan w:val="2"/>
            <w:tcBorders>
              <w:top w:val="single" w:sz="4" w:space="0" w:color="999999" w:themeColor="text1" w:themeTint="66"/>
              <w:left w:val="single" w:sz="4" w:space="0" w:color="999999" w:themeColor="text1" w:themeTint="66"/>
              <w:bottom w:val="double" w:sz="4" w:space="0" w:color="999999" w:themeColor="text1" w:themeTint="66"/>
              <w:right w:val="single" w:sz="4" w:space="0" w:color="999999" w:themeColor="text1" w:themeTint="66"/>
            </w:tcBorders>
            <w:noWrap/>
            <w:hideMark/>
          </w:tcPr>
          <w:p w14:paraId="2825B436"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 </w:t>
            </w:r>
          </w:p>
        </w:tc>
        <w:tc>
          <w:tcPr>
            <w:tcW w:w="251" w:type="pct"/>
            <w:gridSpan w:val="2"/>
            <w:tcBorders>
              <w:top w:val="single" w:sz="4" w:space="0" w:color="999999" w:themeColor="text1" w:themeTint="66"/>
              <w:left w:val="single" w:sz="4" w:space="0" w:color="999999" w:themeColor="text1" w:themeTint="66"/>
              <w:bottom w:val="double" w:sz="4" w:space="0" w:color="auto"/>
              <w:right w:val="nil"/>
            </w:tcBorders>
            <w:noWrap/>
            <w:vAlign w:val="center"/>
            <w:hideMark/>
          </w:tcPr>
          <w:p w14:paraId="497F3443"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9508DF">
              <w:rPr>
                <w:rFonts w:ascii="Calibri" w:eastAsia="Times New Roman" w:hAnsi="Calibri" w:cs="Calibri"/>
                <w:color w:val="000000"/>
                <w:sz w:val="18"/>
                <w:szCs w:val="18"/>
              </w:rPr>
              <w:t>-0.03</w:t>
            </w:r>
          </w:p>
        </w:tc>
      </w:tr>
      <w:tr w:rsidR="00FE1CEE" w:rsidRPr="009508DF" w14:paraId="76CD850F" w14:textId="77777777" w:rsidTr="00A17CA7">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11"/>
            <w:tcBorders>
              <w:top w:val="double" w:sz="4" w:space="0" w:color="auto"/>
              <w:left w:val="nil"/>
              <w:bottom w:val="single" w:sz="4" w:space="0" w:color="999999" w:themeColor="text1" w:themeTint="66"/>
              <w:right w:val="nil"/>
            </w:tcBorders>
            <w:noWrap/>
            <w:hideMark/>
          </w:tcPr>
          <w:p w14:paraId="4457C92C" w14:textId="77777777" w:rsidR="00FE1CEE" w:rsidRPr="009508DF" w:rsidRDefault="00FE1CEE" w:rsidP="00A17CA7">
            <w:pPr>
              <w:widowControl/>
              <w:wordWrap/>
              <w:autoSpaceDE/>
              <w:spacing w:line="276" w:lineRule="auto"/>
              <w:rPr>
                <w:rFonts w:ascii="Calibri" w:eastAsia="Times New Roman" w:hAnsi="Calibri" w:cs="Calibri"/>
                <w:sz w:val="18"/>
                <w:szCs w:val="18"/>
              </w:rPr>
            </w:pPr>
            <w:r w:rsidRPr="009508DF">
              <w:rPr>
                <w:rFonts w:ascii="Calibri" w:eastAsia="Times New Roman" w:hAnsi="Calibri" w:cs="Calibri"/>
                <w:color w:val="000000"/>
                <w:sz w:val="18"/>
                <w:szCs w:val="18"/>
              </w:rPr>
              <w:t>Model criteria information</w:t>
            </w:r>
          </w:p>
        </w:tc>
      </w:tr>
      <w:tr w:rsidR="00FE1CEE" w:rsidRPr="009508DF" w14:paraId="5F776B66" w14:textId="77777777" w:rsidTr="00A17CA7">
        <w:trPr>
          <w:trHeight w:val="20"/>
        </w:trPr>
        <w:tc>
          <w:tcPr>
            <w:cnfStyle w:val="001000000000" w:firstRow="0" w:lastRow="0" w:firstColumn="1" w:lastColumn="0" w:oddVBand="0" w:evenVBand="0" w:oddHBand="0" w:evenHBand="0" w:firstRowFirstColumn="0" w:firstRowLastColumn="0" w:lastRowFirstColumn="0" w:lastRowLastColumn="0"/>
            <w:tcW w:w="2272" w:type="pct"/>
            <w:gridSpan w:val="2"/>
            <w:tcBorders>
              <w:top w:val="single" w:sz="4" w:space="0" w:color="999999" w:themeColor="text1" w:themeTint="66"/>
              <w:left w:val="nil"/>
              <w:bottom w:val="single" w:sz="4" w:space="0" w:color="999999" w:themeColor="text1" w:themeTint="66"/>
              <w:right w:val="single" w:sz="4" w:space="0" w:color="999999" w:themeColor="text1" w:themeTint="66"/>
            </w:tcBorders>
            <w:noWrap/>
          </w:tcPr>
          <w:p w14:paraId="457675C1" w14:textId="77777777" w:rsidR="00FE1CEE" w:rsidRPr="009508DF" w:rsidRDefault="00FE1CEE" w:rsidP="00A17CA7">
            <w:pPr>
              <w:widowControl/>
              <w:wordWrap/>
              <w:autoSpaceDE/>
              <w:spacing w:line="276" w:lineRule="auto"/>
              <w:rPr>
                <w:rFonts w:ascii="Calibri" w:eastAsia="Times New Roman" w:hAnsi="Calibri" w:cs="Calibri"/>
                <w:b w:val="0"/>
                <w:bCs w:val="0"/>
                <w:color w:val="000000"/>
                <w:sz w:val="18"/>
                <w:szCs w:val="18"/>
              </w:rPr>
            </w:pPr>
            <w:r w:rsidRPr="009508DF">
              <w:rPr>
                <w:rFonts w:ascii="Calibri" w:eastAsia="Times New Roman" w:hAnsi="Calibri" w:cs="Calibri"/>
                <w:b w:val="0"/>
                <w:bCs w:val="0"/>
                <w:color w:val="000000"/>
                <w:sz w:val="18"/>
                <w:szCs w:val="18"/>
              </w:rPr>
              <w:t>10</w:t>
            </w:r>
            <w:r>
              <w:rPr>
                <w:rFonts w:ascii="Calibri" w:eastAsia="Times New Roman" w:hAnsi="Calibri" w:cs="Calibri"/>
                <w:b w:val="0"/>
                <w:bCs w:val="0"/>
                <w:color w:val="000000"/>
                <w:sz w:val="18"/>
                <w:szCs w:val="18"/>
              </w:rPr>
              <w:t>-fold cross validation accuracy (%)</w:t>
            </w:r>
          </w:p>
        </w:tc>
        <w:tc>
          <w:tcPr>
            <w:tcW w:w="1740" w:type="pct"/>
            <w:gridSpan w:val="2"/>
            <w:tcBorders>
              <w:top w:val="single" w:sz="4" w:space="0" w:color="999999" w:themeColor="text1" w:themeTint="66"/>
              <w:left w:val="single" w:sz="4" w:space="0" w:color="999999" w:themeColor="text1" w:themeTint="66"/>
              <w:bottom w:val="single" w:sz="4" w:space="0" w:color="999999" w:themeColor="text1" w:themeTint="66"/>
              <w:right w:val="nil"/>
            </w:tcBorders>
            <w:noWrap/>
          </w:tcPr>
          <w:p w14:paraId="6C9036C4"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c>
          <w:tcPr>
            <w:tcW w:w="247" w:type="pct"/>
            <w:gridSpan w:val="2"/>
            <w:tcBorders>
              <w:top w:val="single" w:sz="4" w:space="0" w:color="999999" w:themeColor="text1" w:themeTint="66"/>
              <w:left w:val="single" w:sz="4" w:space="0" w:color="999999" w:themeColor="text1" w:themeTint="66"/>
              <w:bottom w:val="single" w:sz="4" w:space="0" w:color="999999" w:themeColor="text1" w:themeTint="66"/>
              <w:right w:val="nil"/>
            </w:tcBorders>
            <w:vAlign w:val="bottom"/>
          </w:tcPr>
          <w:p w14:paraId="7391EC3E"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E1CEE">
              <w:rPr>
                <w:rFonts w:ascii="Calibri" w:eastAsia="Times New Roman" w:hAnsi="Calibri" w:cs="Calibri"/>
                <w:color w:val="000000"/>
                <w:sz w:val="18"/>
                <w:szCs w:val="18"/>
              </w:rPr>
              <w:t>44.4</w:t>
            </w:r>
          </w:p>
        </w:tc>
        <w:tc>
          <w:tcPr>
            <w:tcW w:w="247" w:type="pct"/>
            <w:gridSpan w:val="2"/>
            <w:tcBorders>
              <w:top w:val="single" w:sz="4" w:space="0" w:color="999999" w:themeColor="text1" w:themeTint="66"/>
              <w:left w:val="single" w:sz="4" w:space="0" w:color="999999" w:themeColor="text1" w:themeTint="66"/>
              <w:bottom w:val="single" w:sz="4" w:space="0" w:color="999999" w:themeColor="text1" w:themeTint="66"/>
              <w:right w:val="nil"/>
            </w:tcBorders>
            <w:vAlign w:val="bottom"/>
          </w:tcPr>
          <w:p w14:paraId="40210E38"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E1CEE">
              <w:rPr>
                <w:rFonts w:ascii="Calibri" w:eastAsia="Times New Roman" w:hAnsi="Calibri" w:cs="Calibri"/>
                <w:color w:val="000000"/>
                <w:sz w:val="18"/>
                <w:szCs w:val="18"/>
              </w:rPr>
              <w:t>15.8</w:t>
            </w:r>
          </w:p>
        </w:tc>
        <w:tc>
          <w:tcPr>
            <w:tcW w:w="247" w:type="pct"/>
            <w:gridSpan w:val="2"/>
            <w:tcBorders>
              <w:top w:val="single" w:sz="4" w:space="0" w:color="999999" w:themeColor="text1" w:themeTint="66"/>
              <w:left w:val="single" w:sz="4" w:space="0" w:color="999999" w:themeColor="text1" w:themeTint="66"/>
              <w:bottom w:val="single" w:sz="4" w:space="0" w:color="999999" w:themeColor="text1" w:themeTint="66"/>
              <w:right w:val="nil"/>
            </w:tcBorders>
            <w:vAlign w:val="bottom"/>
          </w:tcPr>
          <w:p w14:paraId="4F2B5262"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E1CEE">
              <w:rPr>
                <w:rFonts w:ascii="Calibri" w:eastAsia="Times New Roman" w:hAnsi="Calibri" w:cs="Calibri"/>
                <w:color w:val="000000"/>
                <w:sz w:val="18"/>
                <w:szCs w:val="18"/>
              </w:rPr>
              <w:t>55.2</w:t>
            </w:r>
          </w:p>
        </w:tc>
        <w:tc>
          <w:tcPr>
            <w:tcW w:w="247" w:type="pct"/>
            <w:tcBorders>
              <w:top w:val="single" w:sz="4" w:space="0" w:color="999999" w:themeColor="text1" w:themeTint="66"/>
              <w:left w:val="single" w:sz="4" w:space="0" w:color="999999" w:themeColor="text1" w:themeTint="66"/>
              <w:bottom w:val="single" w:sz="4" w:space="0" w:color="999999" w:themeColor="text1" w:themeTint="66"/>
              <w:right w:val="nil"/>
            </w:tcBorders>
            <w:vAlign w:val="bottom"/>
          </w:tcPr>
          <w:p w14:paraId="4C0463D9"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FE1CEE">
              <w:rPr>
                <w:rFonts w:ascii="Calibri" w:eastAsia="Times New Roman" w:hAnsi="Calibri" w:cs="Calibri"/>
                <w:color w:val="000000"/>
                <w:sz w:val="18"/>
                <w:szCs w:val="18"/>
              </w:rPr>
              <w:t>70.1</w:t>
            </w:r>
          </w:p>
        </w:tc>
      </w:tr>
      <w:tr w:rsidR="00FE1CEE" w:rsidRPr="009508DF" w14:paraId="57A722C3" w14:textId="77777777" w:rsidTr="00A17CA7">
        <w:trPr>
          <w:trHeight w:val="20"/>
        </w:trPr>
        <w:tc>
          <w:tcPr>
            <w:cnfStyle w:val="001000000000" w:firstRow="0" w:lastRow="0" w:firstColumn="1" w:lastColumn="0" w:oddVBand="0" w:evenVBand="0" w:oddHBand="0" w:evenHBand="0" w:firstRowFirstColumn="0" w:firstRowLastColumn="0" w:lastRowFirstColumn="0" w:lastRowLastColumn="0"/>
            <w:tcW w:w="2272" w:type="pct"/>
            <w:gridSpan w:val="2"/>
            <w:tcBorders>
              <w:top w:val="single" w:sz="4" w:space="0" w:color="999999" w:themeColor="text1" w:themeTint="66"/>
              <w:left w:val="nil"/>
              <w:bottom w:val="single" w:sz="4" w:space="0" w:color="999999" w:themeColor="text1" w:themeTint="66"/>
              <w:right w:val="single" w:sz="4" w:space="0" w:color="999999" w:themeColor="text1" w:themeTint="66"/>
            </w:tcBorders>
            <w:noWrap/>
            <w:hideMark/>
          </w:tcPr>
          <w:p w14:paraId="036013A8" w14:textId="77777777" w:rsidR="00FE1CEE" w:rsidRPr="009508DF" w:rsidRDefault="00FE1CEE" w:rsidP="00A17CA7">
            <w:pPr>
              <w:widowControl/>
              <w:wordWrap/>
              <w:autoSpaceDE/>
              <w:spacing w:line="276" w:lineRule="auto"/>
              <w:rPr>
                <w:rFonts w:ascii="Calibri" w:eastAsia="Times New Roman" w:hAnsi="Calibri" w:cs="Calibri"/>
                <w:b w:val="0"/>
                <w:bCs w:val="0"/>
                <w:color w:val="000000"/>
                <w:sz w:val="18"/>
                <w:szCs w:val="18"/>
              </w:rPr>
            </w:pPr>
            <w:proofErr w:type="spellStart"/>
            <w:r w:rsidRPr="009508DF">
              <w:rPr>
                <w:rFonts w:ascii="Calibri" w:eastAsia="Times New Roman" w:hAnsi="Calibri" w:cs="Calibri"/>
                <w:b w:val="0"/>
                <w:bCs w:val="0"/>
                <w:color w:val="000000"/>
                <w:sz w:val="18"/>
                <w:szCs w:val="18"/>
              </w:rPr>
              <w:t>AICc</w:t>
            </w:r>
            <w:proofErr w:type="spellEnd"/>
            <w:r w:rsidRPr="009508DF">
              <w:rPr>
                <w:rFonts w:ascii="Calibri" w:eastAsia="Times New Roman" w:hAnsi="Calibri" w:cs="Calibri"/>
                <w:b w:val="0"/>
                <w:bCs w:val="0"/>
                <w:color w:val="000000"/>
                <w:sz w:val="18"/>
                <w:szCs w:val="18"/>
              </w:rPr>
              <w:t xml:space="preserve"> (Akaike's Information Corrected Criterion)</w:t>
            </w:r>
          </w:p>
        </w:tc>
        <w:tc>
          <w:tcPr>
            <w:tcW w:w="2728" w:type="pct"/>
            <w:gridSpan w:val="9"/>
            <w:tcBorders>
              <w:top w:val="single" w:sz="4" w:space="0" w:color="999999" w:themeColor="text1" w:themeTint="66"/>
              <w:left w:val="single" w:sz="4" w:space="0" w:color="999999" w:themeColor="text1" w:themeTint="66"/>
              <w:bottom w:val="single" w:sz="4" w:space="0" w:color="999999" w:themeColor="text1" w:themeTint="66"/>
              <w:right w:val="nil"/>
            </w:tcBorders>
            <w:noWrap/>
            <w:hideMark/>
          </w:tcPr>
          <w:p w14:paraId="17DEC137"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9508DF">
              <w:rPr>
                <w:rFonts w:ascii="Calibri" w:eastAsia="Times New Roman" w:hAnsi="Calibri" w:cs="Calibri"/>
                <w:color w:val="000000"/>
                <w:sz w:val="18"/>
                <w:szCs w:val="18"/>
              </w:rPr>
              <w:t>-222.91</w:t>
            </w:r>
          </w:p>
        </w:tc>
      </w:tr>
      <w:tr w:rsidR="00FE1CEE" w:rsidRPr="009508DF" w14:paraId="73F3D2D5" w14:textId="77777777" w:rsidTr="00A17CA7">
        <w:trPr>
          <w:trHeight w:val="20"/>
        </w:trPr>
        <w:tc>
          <w:tcPr>
            <w:cnfStyle w:val="001000000000" w:firstRow="0" w:lastRow="0" w:firstColumn="1" w:lastColumn="0" w:oddVBand="0" w:evenVBand="0" w:oddHBand="0" w:evenHBand="0" w:firstRowFirstColumn="0" w:firstRowLastColumn="0" w:lastRowFirstColumn="0" w:lastRowLastColumn="0"/>
            <w:tcW w:w="2272" w:type="pct"/>
            <w:gridSpan w:val="2"/>
            <w:tcBorders>
              <w:top w:val="single" w:sz="4" w:space="0" w:color="999999" w:themeColor="text1" w:themeTint="66"/>
              <w:left w:val="nil"/>
              <w:bottom w:val="single" w:sz="12" w:space="0" w:color="auto"/>
              <w:right w:val="single" w:sz="4" w:space="0" w:color="999999" w:themeColor="text1" w:themeTint="66"/>
            </w:tcBorders>
            <w:noWrap/>
            <w:hideMark/>
          </w:tcPr>
          <w:p w14:paraId="41ED6D21" w14:textId="77777777" w:rsidR="00FE1CEE" w:rsidRPr="009508DF" w:rsidRDefault="00FE1CEE" w:rsidP="00A17CA7">
            <w:pPr>
              <w:widowControl/>
              <w:wordWrap/>
              <w:autoSpaceDE/>
              <w:spacing w:line="276" w:lineRule="auto"/>
              <w:rPr>
                <w:rFonts w:ascii="Calibri" w:eastAsia="Times New Roman" w:hAnsi="Calibri" w:cs="Calibri"/>
                <w:b w:val="0"/>
                <w:bCs w:val="0"/>
                <w:color w:val="000000"/>
                <w:sz w:val="18"/>
                <w:szCs w:val="18"/>
              </w:rPr>
            </w:pPr>
            <w:r w:rsidRPr="009508DF">
              <w:rPr>
                <w:rFonts w:ascii="Calibri" w:eastAsia="Times New Roman" w:hAnsi="Calibri" w:cs="Calibri"/>
                <w:b w:val="0"/>
                <w:bCs w:val="0"/>
                <w:color w:val="000000"/>
                <w:sz w:val="18"/>
                <w:szCs w:val="18"/>
              </w:rPr>
              <w:t>BIC (Bayesian information criterion)</w:t>
            </w:r>
          </w:p>
        </w:tc>
        <w:tc>
          <w:tcPr>
            <w:tcW w:w="2728" w:type="pct"/>
            <w:gridSpan w:val="9"/>
            <w:tcBorders>
              <w:top w:val="single" w:sz="4" w:space="0" w:color="999999" w:themeColor="text1" w:themeTint="66"/>
              <w:left w:val="single" w:sz="4" w:space="0" w:color="999999" w:themeColor="text1" w:themeTint="66"/>
              <w:bottom w:val="single" w:sz="12" w:space="0" w:color="auto"/>
              <w:right w:val="nil"/>
            </w:tcBorders>
            <w:noWrap/>
            <w:hideMark/>
          </w:tcPr>
          <w:p w14:paraId="4C80601B" w14:textId="77777777" w:rsidR="00FE1CEE" w:rsidRPr="009508DF" w:rsidRDefault="00FE1CEE" w:rsidP="00A17CA7">
            <w:pPr>
              <w:widowControl/>
              <w:wordWrap/>
              <w:autoSpaceDE/>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9508DF">
              <w:rPr>
                <w:rFonts w:ascii="Calibri" w:eastAsia="Times New Roman" w:hAnsi="Calibri" w:cs="Calibri"/>
                <w:color w:val="000000"/>
                <w:sz w:val="18"/>
                <w:szCs w:val="18"/>
              </w:rPr>
              <w:t>-161.18</w:t>
            </w:r>
          </w:p>
        </w:tc>
      </w:tr>
      <w:bookmarkEnd w:id="2"/>
    </w:tbl>
    <w:p w14:paraId="1B957BA0" w14:textId="5B0AF347" w:rsidR="00FF6349" w:rsidRPr="009508DF" w:rsidRDefault="00FF6349" w:rsidP="00FE1CEE"/>
    <w:sectPr w:rsidR="00FF6349" w:rsidRPr="009508DF" w:rsidSect="00FE1CEE">
      <w:pgSz w:w="16838" w:h="11906" w:orient="landscape"/>
      <w:pgMar w:top="1440" w:right="1701"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310FC" w14:textId="77777777" w:rsidR="00EB72F7" w:rsidRDefault="00EB72F7" w:rsidP="00FE1CEE">
      <w:pPr>
        <w:spacing w:after="0" w:line="240" w:lineRule="auto"/>
      </w:pPr>
      <w:r>
        <w:separator/>
      </w:r>
    </w:p>
  </w:endnote>
  <w:endnote w:type="continuationSeparator" w:id="0">
    <w:p w14:paraId="2BD2AA65" w14:textId="77777777" w:rsidR="00EB72F7" w:rsidRDefault="00EB72F7" w:rsidP="00FE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C1916" w14:textId="77777777" w:rsidR="00EB72F7" w:rsidRDefault="00EB72F7" w:rsidP="00FE1CEE">
      <w:pPr>
        <w:spacing w:after="0" w:line="240" w:lineRule="auto"/>
      </w:pPr>
      <w:r>
        <w:separator/>
      </w:r>
    </w:p>
  </w:footnote>
  <w:footnote w:type="continuationSeparator" w:id="0">
    <w:p w14:paraId="66A7F343" w14:textId="77777777" w:rsidR="00EB72F7" w:rsidRDefault="00EB72F7" w:rsidP="00FE1C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349D4"/>
    <w:multiLevelType w:val="hybridMultilevel"/>
    <w:tmpl w:val="EA708690"/>
    <w:lvl w:ilvl="0" w:tplc="C22A64A8">
      <w:start w:val="1"/>
      <w:numFmt w:val="bullet"/>
      <w:lvlText w:val="-"/>
      <w:lvlJc w:val="left"/>
      <w:rPr>
        <w:rFonts w:ascii="Calibri" w:eastAsia="맑은 고딕"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5618FD"/>
    <w:multiLevelType w:val="hybridMultilevel"/>
    <w:tmpl w:val="9B1AB15E"/>
    <w:lvl w:ilvl="0" w:tplc="08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2C80BED"/>
    <w:multiLevelType w:val="hybridMultilevel"/>
    <w:tmpl w:val="78A49D6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8B359B3"/>
    <w:multiLevelType w:val="hybridMultilevel"/>
    <w:tmpl w:val="C3AE6D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3876470">
    <w:abstractNumId w:val="3"/>
  </w:num>
  <w:num w:numId="2" w16cid:durableId="758791512">
    <w:abstractNumId w:val="0"/>
  </w:num>
  <w:num w:numId="3" w16cid:durableId="1476995355">
    <w:abstractNumId w:val="2"/>
  </w:num>
  <w:num w:numId="4" w16cid:durableId="445544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2sbAwMTU0MzOzNDFX0lEKTi0uzszPAykwrAUA9aFdrSwAAAA="/>
  </w:docVars>
  <w:rsids>
    <w:rsidRoot w:val="00FF6349"/>
    <w:rsid w:val="000031C6"/>
    <w:rsid w:val="00036FC1"/>
    <w:rsid w:val="0017038C"/>
    <w:rsid w:val="001D4C6F"/>
    <w:rsid w:val="00234E4E"/>
    <w:rsid w:val="00285C57"/>
    <w:rsid w:val="00296182"/>
    <w:rsid w:val="002D0616"/>
    <w:rsid w:val="0036033C"/>
    <w:rsid w:val="0041281E"/>
    <w:rsid w:val="004A4C26"/>
    <w:rsid w:val="00554962"/>
    <w:rsid w:val="00567CAD"/>
    <w:rsid w:val="00593096"/>
    <w:rsid w:val="00656A69"/>
    <w:rsid w:val="006D51C6"/>
    <w:rsid w:val="006D7757"/>
    <w:rsid w:val="007D0128"/>
    <w:rsid w:val="00851DC8"/>
    <w:rsid w:val="008F3431"/>
    <w:rsid w:val="009508DF"/>
    <w:rsid w:val="009F5599"/>
    <w:rsid w:val="00B611A1"/>
    <w:rsid w:val="00BC5C42"/>
    <w:rsid w:val="00C85260"/>
    <w:rsid w:val="00CB6AF6"/>
    <w:rsid w:val="00D92F1B"/>
    <w:rsid w:val="00DC525C"/>
    <w:rsid w:val="00E05CEA"/>
    <w:rsid w:val="00E71C1E"/>
    <w:rsid w:val="00EB72F7"/>
    <w:rsid w:val="00EF54B0"/>
    <w:rsid w:val="00FE1CEE"/>
    <w:rsid w:val="00FE6175"/>
    <w:rsid w:val="00FF634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AF776"/>
  <w15:chartTrackingRefBased/>
  <w15:docId w15:val="{464805A0-97B0-40F1-B77E-88A377DE8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FF6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FF6349"/>
    <w:pPr>
      <w:spacing w:before="0" w:line="276" w:lineRule="auto"/>
      <w:outlineLvl w:val="1"/>
    </w:pPr>
    <w:rPr>
      <w:rFonts w:ascii="Calibri" w:eastAsia="맑은 고딕" w:hAnsi="Calibri" w:cs="Calibri"/>
      <w:b/>
      <w:bCs/>
      <w:i/>
      <w:iCs/>
      <w:color w:val="aut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349"/>
    <w:pPr>
      <w:spacing w:after="0" w:line="276" w:lineRule="auto"/>
      <w:ind w:left="720"/>
      <w:contextualSpacing/>
    </w:pPr>
    <w:rPr>
      <w:rFonts w:ascii="Calibri" w:hAnsi="Calibri" w:cs="Calibri"/>
      <w14:ligatures w14:val="none"/>
    </w:rPr>
  </w:style>
  <w:style w:type="character" w:customStyle="1" w:styleId="Heading2Char">
    <w:name w:val="Heading 2 Char"/>
    <w:basedOn w:val="DefaultParagraphFont"/>
    <w:link w:val="Heading2"/>
    <w:uiPriority w:val="9"/>
    <w:rsid w:val="00FF6349"/>
    <w:rPr>
      <w:rFonts w:ascii="Calibri" w:eastAsia="맑은 고딕" w:hAnsi="Calibri" w:cs="Calibri"/>
      <w:b/>
      <w:bCs/>
      <w:i/>
      <w:iCs/>
      <w:sz w:val="32"/>
      <w:szCs w:val="32"/>
      <w14:ligatures w14:val="none"/>
    </w:rPr>
  </w:style>
  <w:style w:type="character" w:styleId="CommentReference">
    <w:name w:val="annotation reference"/>
    <w:uiPriority w:val="99"/>
    <w:semiHidden/>
    <w:unhideWhenUsed/>
    <w:rsid w:val="00FF6349"/>
    <w:rPr>
      <w:sz w:val="16"/>
      <w:szCs w:val="16"/>
    </w:rPr>
  </w:style>
  <w:style w:type="paragraph" w:styleId="CommentText">
    <w:name w:val="annotation text"/>
    <w:basedOn w:val="Normal"/>
    <w:link w:val="CommentTextChar"/>
    <w:uiPriority w:val="99"/>
    <w:unhideWhenUsed/>
    <w:rsid w:val="00FF6349"/>
    <w:pPr>
      <w:spacing w:after="0" w:line="240" w:lineRule="auto"/>
    </w:pPr>
    <w:rPr>
      <w:rFonts w:ascii="Calibri" w:eastAsia="맑은 고딕" w:hAnsi="Calibri" w:cs="Calibri"/>
      <w:sz w:val="20"/>
      <w:szCs w:val="20"/>
      <w14:ligatures w14:val="none"/>
    </w:rPr>
  </w:style>
  <w:style w:type="character" w:customStyle="1" w:styleId="CommentTextChar">
    <w:name w:val="Comment Text Char"/>
    <w:basedOn w:val="DefaultParagraphFont"/>
    <w:link w:val="CommentText"/>
    <w:uiPriority w:val="99"/>
    <w:rsid w:val="00FF6349"/>
    <w:rPr>
      <w:rFonts w:ascii="Calibri" w:eastAsia="맑은 고딕" w:hAnsi="Calibri" w:cs="Calibri"/>
      <w:sz w:val="20"/>
      <w:szCs w:val="20"/>
      <w14:ligatures w14:val="none"/>
    </w:rPr>
  </w:style>
  <w:style w:type="character" w:customStyle="1" w:styleId="Heading1Char">
    <w:name w:val="Heading 1 Char"/>
    <w:basedOn w:val="DefaultParagraphFont"/>
    <w:link w:val="Heading1"/>
    <w:uiPriority w:val="9"/>
    <w:rsid w:val="00FF634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567CAD"/>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67CAD"/>
    <w:rPr>
      <w:rFonts w:asciiTheme="majorHAnsi" w:eastAsiaTheme="majorEastAsia" w:hAnsiTheme="majorHAnsi" w:cstheme="majorBidi"/>
      <w:sz w:val="18"/>
      <w:szCs w:val="18"/>
    </w:rPr>
  </w:style>
  <w:style w:type="table" w:styleId="TableGrid">
    <w:name w:val="Table Grid"/>
    <w:basedOn w:val="TableNormal"/>
    <w:uiPriority w:val="39"/>
    <w:rsid w:val="002D0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D0616"/>
    <w:pPr>
      <w:spacing w:after="0" w:line="276" w:lineRule="auto"/>
    </w:pPr>
    <w:rPr>
      <w:rFonts w:ascii="Calibri" w:hAnsi="Calibri" w:cs="Calibri"/>
      <w:b/>
      <w:bCs/>
      <w14:ligatures w14:val="none"/>
    </w:rPr>
  </w:style>
  <w:style w:type="table" w:styleId="GridTable1Light">
    <w:name w:val="Grid Table 1 Light"/>
    <w:basedOn w:val="TableNormal"/>
    <w:uiPriority w:val="46"/>
    <w:rsid w:val="00D92F1B"/>
    <w:pPr>
      <w:spacing w:after="0" w:line="240" w:lineRule="auto"/>
    </w:pPr>
    <w:rPr>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E1C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CEE"/>
  </w:style>
  <w:style w:type="paragraph" w:styleId="Footer">
    <w:name w:val="footer"/>
    <w:basedOn w:val="Normal"/>
    <w:link w:val="FooterChar"/>
    <w:uiPriority w:val="99"/>
    <w:unhideWhenUsed/>
    <w:rsid w:val="00FE1C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4895">
      <w:bodyDiv w:val="1"/>
      <w:marLeft w:val="0"/>
      <w:marRight w:val="0"/>
      <w:marTop w:val="0"/>
      <w:marBottom w:val="0"/>
      <w:divBdr>
        <w:top w:val="none" w:sz="0" w:space="0" w:color="auto"/>
        <w:left w:val="none" w:sz="0" w:space="0" w:color="auto"/>
        <w:bottom w:val="none" w:sz="0" w:space="0" w:color="auto"/>
        <w:right w:val="none" w:sz="0" w:space="0" w:color="auto"/>
      </w:divBdr>
    </w:div>
    <w:div w:id="32392838">
      <w:bodyDiv w:val="1"/>
      <w:marLeft w:val="0"/>
      <w:marRight w:val="0"/>
      <w:marTop w:val="0"/>
      <w:marBottom w:val="0"/>
      <w:divBdr>
        <w:top w:val="none" w:sz="0" w:space="0" w:color="auto"/>
        <w:left w:val="none" w:sz="0" w:space="0" w:color="auto"/>
        <w:bottom w:val="none" w:sz="0" w:space="0" w:color="auto"/>
        <w:right w:val="none" w:sz="0" w:space="0" w:color="auto"/>
      </w:divBdr>
    </w:div>
    <w:div w:id="119610536">
      <w:bodyDiv w:val="1"/>
      <w:marLeft w:val="0"/>
      <w:marRight w:val="0"/>
      <w:marTop w:val="0"/>
      <w:marBottom w:val="0"/>
      <w:divBdr>
        <w:top w:val="none" w:sz="0" w:space="0" w:color="auto"/>
        <w:left w:val="none" w:sz="0" w:space="0" w:color="auto"/>
        <w:bottom w:val="none" w:sz="0" w:space="0" w:color="auto"/>
        <w:right w:val="none" w:sz="0" w:space="0" w:color="auto"/>
      </w:divBdr>
    </w:div>
    <w:div w:id="227882115">
      <w:bodyDiv w:val="1"/>
      <w:marLeft w:val="0"/>
      <w:marRight w:val="0"/>
      <w:marTop w:val="0"/>
      <w:marBottom w:val="0"/>
      <w:divBdr>
        <w:top w:val="none" w:sz="0" w:space="0" w:color="auto"/>
        <w:left w:val="none" w:sz="0" w:space="0" w:color="auto"/>
        <w:bottom w:val="none" w:sz="0" w:space="0" w:color="auto"/>
        <w:right w:val="none" w:sz="0" w:space="0" w:color="auto"/>
      </w:divBdr>
    </w:div>
    <w:div w:id="262538739">
      <w:bodyDiv w:val="1"/>
      <w:marLeft w:val="0"/>
      <w:marRight w:val="0"/>
      <w:marTop w:val="0"/>
      <w:marBottom w:val="0"/>
      <w:divBdr>
        <w:top w:val="none" w:sz="0" w:space="0" w:color="auto"/>
        <w:left w:val="none" w:sz="0" w:space="0" w:color="auto"/>
        <w:bottom w:val="none" w:sz="0" w:space="0" w:color="auto"/>
        <w:right w:val="none" w:sz="0" w:space="0" w:color="auto"/>
      </w:divBdr>
    </w:div>
    <w:div w:id="435909967">
      <w:bodyDiv w:val="1"/>
      <w:marLeft w:val="0"/>
      <w:marRight w:val="0"/>
      <w:marTop w:val="0"/>
      <w:marBottom w:val="0"/>
      <w:divBdr>
        <w:top w:val="none" w:sz="0" w:space="0" w:color="auto"/>
        <w:left w:val="none" w:sz="0" w:space="0" w:color="auto"/>
        <w:bottom w:val="none" w:sz="0" w:space="0" w:color="auto"/>
        <w:right w:val="none" w:sz="0" w:space="0" w:color="auto"/>
      </w:divBdr>
    </w:div>
    <w:div w:id="1245844440">
      <w:bodyDiv w:val="1"/>
      <w:marLeft w:val="0"/>
      <w:marRight w:val="0"/>
      <w:marTop w:val="0"/>
      <w:marBottom w:val="0"/>
      <w:divBdr>
        <w:top w:val="none" w:sz="0" w:space="0" w:color="auto"/>
        <w:left w:val="none" w:sz="0" w:space="0" w:color="auto"/>
        <w:bottom w:val="none" w:sz="0" w:space="0" w:color="auto"/>
        <w:right w:val="none" w:sz="0" w:space="0" w:color="auto"/>
      </w:divBdr>
    </w:div>
    <w:div w:id="1759208556">
      <w:bodyDiv w:val="1"/>
      <w:marLeft w:val="0"/>
      <w:marRight w:val="0"/>
      <w:marTop w:val="0"/>
      <w:marBottom w:val="0"/>
      <w:divBdr>
        <w:top w:val="none" w:sz="0" w:space="0" w:color="auto"/>
        <w:left w:val="none" w:sz="0" w:space="0" w:color="auto"/>
        <w:bottom w:val="none" w:sz="0" w:space="0" w:color="auto"/>
        <w:right w:val="none" w:sz="0" w:space="0" w:color="auto"/>
      </w:divBdr>
    </w:div>
    <w:div w:id="205950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78BE6-2E4F-41AE-99DB-8B69CD15B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876</Words>
  <Characters>4996</Characters>
  <Application>Microsoft Office Word</Application>
  <DocSecurity>0</DocSecurity>
  <Lines>41</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 Do Lee</dc:creator>
  <cp:keywords/>
  <dc:description/>
  <cp:lastModifiedBy>Won Do Lee</cp:lastModifiedBy>
  <cp:revision>3</cp:revision>
  <dcterms:created xsi:type="dcterms:W3CDTF">2023-08-02T15:27:00Z</dcterms:created>
  <dcterms:modified xsi:type="dcterms:W3CDTF">2023-08-02T15:31:00Z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7b997934-ce16-4917-ae45-6f589bb41157</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http://www.zotero.org/styles/sustainable-cities-and-society</vt:lpwstr>
  </property>
  <property fmtid="{D5CDD505-2E9C-101B-9397-08002B2CF9AE}" pid="22" name="Mendeley Recent Style Name 9_1">
    <vt:lpwstr>Sustainable Cities and Society</vt:lpwstr>
  </property>
</Properties>
</file>