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E405" w14:textId="5EA45DA8" w:rsidR="00066292" w:rsidRPr="00C30A80" w:rsidRDefault="00066292" w:rsidP="00C30A80">
      <w:pPr>
        <w:spacing w:after="0" w:line="276" w:lineRule="auto"/>
        <w:rPr>
          <w:rFonts w:ascii="Calibri" w:hAnsi="Calibri" w:cs="Calibri"/>
          <w:b/>
          <w:bCs/>
        </w:rPr>
      </w:pPr>
      <w:r w:rsidRPr="00C30A80">
        <w:rPr>
          <w:rFonts w:ascii="Calibri" w:hAnsi="Calibri" w:cs="Calibri"/>
          <w:b/>
          <w:bCs/>
        </w:rPr>
        <w:t>Journal preferences</w:t>
      </w:r>
    </w:p>
    <w:p w14:paraId="2A1869C7" w14:textId="30EA33BA" w:rsidR="00066292" w:rsidRPr="00C30A80" w:rsidRDefault="006D7A5D" w:rsidP="00C30A80">
      <w:pPr>
        <w:spacing w:after="0" w:line="276" w:lineRule="auto"/>
        <w:rPr>
          <w:rFonts w:ascii="Calibri" w:hAnsi="Calibri" w:cs="Calibri"/>
        </w:rPr>
      </w:pPr>
      <w:r w:rsidRPr="00C30A80">
        <w:rPr>
          <w:rFonts w:ascii="Calibri" w:hAnsi="Calibri" w:cs="Calibri"/>
        </w:rPr>
        <w:t xml:space="preserve">We would </w:t>
      </w:r>
      <w:r w:rsidR="00544A6E" w:rsidRPr="00C30A80">
        <w:rPr>
          <w:rFonts w:ascii="Calibri" w:hAnsi="Calibri" w:cs="Calibri"/>
        </w:rPr>
        <w:t>think</w:t>
      </w:r>
      <w:r w:rsidRPr="00C30A80">
        <w:rPr>
          <w:rFonts w:ascii="Calibri" w:hAnsi="Calibri" w:cs="Calibri"/>
        </w:rPr>
        <w:t xml:space="preserve"> about what </w:t>
      </w:r>
      <w:r w:rsidR="00544A6E" w:rsidRPr="00C30A80">
        <w:rPr>
          <w:rFonts w:ascii="Calibri" w:hAnsi="Calibri" w:cs="Calibri"/>
        </w:rPr>
        <w:t>the most significant outcomes of this paper in would be</w:t>
      </w:r>
      <w:r w:rsidR="00FB1B23" w:rsidRPr="00C30A80">
        <w:rPr>
          <w:rFonts w:ascii="Calibri" w:hAnsi="Calibri" w:cs="Calibri"/>
        </w:rPr>
        <w:t xml:space="preserve"> </w:t>
      </w:r>
      <w:r w:rsidR="00544A6E" w:rsidRPr="00C30A80">
        <w:rPr>
          <w:rFonts w:ascii="Calibri" w:hAnsi="Calibri" w:cs="Calibri"/>
        </w:rPr>
        <w:t>addressing</w:t>
      </w:r>
      <w:r w:rsidR="00FB1B23" w:rsidRPr="00C30A80">
        <w:rPr>
          <w:rFonts w:ascii="Calibri" w:hAnsi="Calibri" w:cs="Calibri"/>
        </w:rPr>
        <w:t xml:space="preserve"> our </w:t>
      </w:r>
      <w:r w:rsidR="00FB1B23" w:rsidRPr="00C30A80">
        <w:rPr>
          <w:rFonts w:ascii="Calibri" w:hAnsi="Calibri" w:cs="Calibri"/>
          <w:b/>
          <w:bCs/>
        </w:rPr>
        <w:t>specific research questions and discussion points</w:t>
      </w:r>
      <w:r w:rsidRPr="00C30A80">
        <w:rPr>
          <w:rFonts w:ascii="Calibri" w:hAnsi="Calibri" w:cs="Calibri"/>
          <w:b/>
          <w:bCs/>
        </w:rPr>
        <w:t xml:space="preserve"> </w:t>
      </w:r>
      <w:r w:rsidRPr="00C30A80">
        <w:rPr>
          <w:rFonts w:ascii="Calibri" w:hAnsi="Calibri" w:cs="Calibri"/>
        </w:rPr>
        <w:t>(which needs to be more concise by our following work)</w:t>
      </w:r>
      <w:r w:rsidRPr="00C30A80">
        <w:rPr>
          <w:rFonts w:ascii="Calibri" w:hAnsi="Calibri" w:cs="Calibri"/>
        </w:rPr>
        <w:t xml:space="preserve">. </w:t>
      </w:r>
      <w:r w:rsidR="00FB1B23" w:rsidRPr="00C30A80">
        <w:rPr>
          <w:rFonts w:ascii="Calibri" w:hAnsi="Calibri" w:cs="Calibri"/>
        </w:rPr>
        <w:t xml:space="preserve">Do let me know your thoughts which </w:t>
      </w:r>
      <w:r w:rsidR="00544A6E" w:rsidRPr="00C30A80">
        <w:rPr>
          <w:rFonts w:ascii="Calibri" w:hAnsi="Calibri" w:cs="Calibri"/>
        </w:rPr>
        <w:t>the best option is as</w:t>
      </w:r>
      <w:r w:rsidRPr="00C30A80">
        <w:rPr>
          <w:rFonts w:ascii="Calibri" w:hAnsi="Calibri" w:cs="Calibri"/>
        </w:rPr>
        <w:t xml:space="preserve"> follows: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69"/>
        <w:gridCol w:w="6130"/>
        <w:gridCol w:w="1327"/>
      </w:tblGrid>
      <w:tr w:rsidR="00544A6E" w:rsidRPr="00C30A80" w14:paraId="4E3BAEC5" w14:textId="77777777" w:rsidTr="00544A6E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5A5A5" w:themeFill="accent3"/>
          </w:tcPr>
          <w:p w14:paraId="7A14937B" w14:textId="772FBA43" w:rsidR="00066292" w:rsidRPr="00C30A80" w:rsidRDefault="00066292" w:rsidP="00C30A80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C30A80">
              <w:rPr>
                <w:rFonts w:ascii="Calibri" w:hAnsi="Calibri" w:cs="Calibri"/>
                <w:b/>
                <w:bCs/>
              </w:rPr>
              <w:t>Journals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</w:tcPr>
          <w:p w14:paraId="026AD750" w14:textId="195520DA" w:rsidR="00066292" w:rsidRPr="00C30A80" w:rsidRDefault="00066292" w:rsidP="00C30A80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C30A80">
              <w:rPr>
                <w:rFonts w:ascii="Calibri" w:hAnsi="Calibri" w:cs="Calibri"/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5A5A5" w:themeFill="accent3"/>
          </w:tcPr>
          <w:p w14:paraId="57D2D4D4" w14:textId="27FAD366" w:rsidR="00066292" w:rsidRPr="00C30A80" w:rsidRDefault="00FB1B23" w:rsidP="00C30A80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C30A80">
              <w:rPr>
                <w:rFonts w:ascii="Calibri" w:hAnsi="Calibri" w:cs="Calibri"/>
                <w:b/>
                <w:bCs/>
              </w:rPr>
              <w:t>Key reference</w:t>
            </w:r>
          </w:p>
        </w:tc>
      </w:tr>
      <w:tr w:rsidR="00544A6E" w:rsidRPr="00C30A80" w14:paraId="60D45269" w14:textId="77777777" w:rsidTr="00544A6E"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BFBFBF" w:themeColor="background1" w:themeShade="BF"/>
            </w:tcBorders>
          </w:tcPr>
          <w:p w14:paraId="5143A3AB" w14:textId="77777777" w:rsidR="00066292" w:rsidRPr="00C30A80" w:rsidRDefault="00066292" w:rsidP="00C30A80">
            <w:pPr>
              <w:spacing w:after="0" w:line="276" w:lineRule="auto"/>
              <w:rPr>
                <w:rFonts w:ascii="Calibri" w:hAnsi="Calibri" w:cs="Calibri"/>
              </w:rPr>
            </w:pPr>
            <w:r w:rsidRPr="00C30A80">
              <w:rPr>
                <w:rFonts w:ascii="Calibri" w:hAnsi="Calibri" w:cs="Calibri"/>
              </w:rPr>
              <w:t xml:space="preserve">Sustainable Cities and Society </w:t>
            </w:r>
          </w:p>
          <w:p w14:paraId="62AC9FAB" w14:textId="77777777" w:rsidR="00066292" w:rsidRPr="00C30A80" w:rsidRDefault="00066292" w:rsidP="00C30A80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BFBFBF" w:themeColor="background1" w:themeShade="BF"/>
            </w:tcBorders>
          </w:tcPr>
          <w:p w14:paraId="46C3213C" w14:textId="0B2DFB8D" w:rsidR="006D7A5D" w:rsidRPr="00C30A80" w:rsidRDefault="006D7A5D" w:rsidP="00C30A80">
            <w:pPr>
              <w:spacing w:line="276" w:lineRule="auto"/>
              <w:rPr>
                <w:rFonts w:ascii="Calibri" w:hAnsi="Calibri" w:cs="Calibri"/>
              </w:rPr>
            </w:pPr>
            <w:r w:rsidRPr="00C30A80">
              <w:rPr>
                <w:rFonts w:ascii="Calibri" w:hAnsi="Calibri" w:cs="Calibri"/>
              </w:rPr>
              <w:t>Discussion item (combat future pandemic and resilient and sustainable urban management)</w:t>
            </w:r>
          </w:p>
          <w:p w14:paraId="137656BD" w14:textId="0B358C1F" w:rsidR="006D7A5D" w:rsidRPr="00C30A80" w:rsidRDefault="006D7A5D" w:rsidP="00C30A8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</w:rPr>
            </w:pPr>
            <w:r w:rsidRPr="00C30A80">
              <w:rPr>
                <w:rFonts w:ascii="Calibri" w:hAnsi="Calibri" w:cs="Calibri"/>
              </w:rPr>
              <w:t>M</w:t>
            </w:r>
            <w:r w:rsidRPr="00C30A80">
              <w:rPr>
                <w:rFonts w:ascii="Calibri" w:hAnsi="Calibri" w:cs="Calibri"/>
              </w:rPr>
              <w:t xml:space="preserve">ore flexible and </w:t>
            </w:r>
            <w:r w:rsidRPr="00C30A80">
              <w:rPr>
                <w:rFonts w:ascii="Calibri" w:hAnsi="Calibri" w:cs="Calibri"/>
              </w:rPr>
              <w:t>regional-oriented policy implications</w:t>
            </w:r>
            <w:r w:rsidRPr="00C30A80">
              <w:rPr>
                <w:rFonts w:ascii="Calibri" w:hAnsi="Calibri" w:cs="Calibri"/>
              </w:rPr>
              <w:t>,</w:t>
            </w:r>
            <w:r w:rsidRPr="00C30A80">
              <w:rPr>
                <w:rFonts w:ascii="Calibri" w:hAnsi="Calibri" w:cs="Calibri"/>
              </w:rPr>
              <w:t xml:space="preserve"> which</w:t>
            </w:r>
            <w:r w:rsidRPr="00C30A80">
              <w:rPr>
                <w:rFonts w:ascii="Calibri" w:hAnsi="Calibri" w:cs="Calibri"/>
              </w:rPr>
              <w:t xml:space="preserve"> </w:t>
            </w:r>
            <w:r w:rsidR="00544A6E" w:rsidRPr="00C30A80">
              <w:rPr>
                <w:rFonts w:ascii="Calibri" w:hAnsi="Calibri" w:cs="Calibri"/>
              </w:rPr>
              <w:t>considering</w:t>
            </w:r>
            <w:r w:rsidRPr="00C30A80">
              <w:rPr>
                <w:rFonts w:ascii="Calibri" w:hAnsi="Calibri" w:cs="Calibri"/>
              </w:rPr>
              <w:t xml:space="preserve"> </w:t>
            </w:r>
            <w:r w:rsidR="00544A6E" w:rsidRPr="00C30A80">
              <w:rPr>
                <w:rFonts w:ascii="Calibri" w:hAnsi="Calibri" w:cs="Calibri"/>
              </w:rPr>
              <w:t>s</w:t>
            </w:r>
            <w:r w:rsidRPr="00C30A80">
              <w:rPr>
                <w:rFonts w:ascii="Calibri" w:hAnsi="Calibri" w:cs="Calibri"/>
              </w:rPr>
              <w:t xml:space="preserve">ocioeconomic characteristics with </w:t>
            </w:r>
            <w:r w:rsidR="00544A6E" w:rsidRPr="00C30A80">
              <w:rPr>
                <w:rFonts w:ascii="Calibri" w:hAnsi="Calibri" w:cs="Calibri"/>
              </w:rPr>
              <w:t xml:space="preserve">their </w:t>
            </w:r>
            <w:r w:rsidRPr="00C30A80">
              <w:rPr>
                <w:rFonts w:ascii="Calibri" w:hAnsi="Calibri" w:cs="Calibri"/>
              </w:rPr>
              <w:t>adjacent areas</w:t>
            </w:r>
            <w:r w:rsidRPr="00C30A80">
              <w:rPr>
                <w:rFonts w:ascii="Calibri" w:hAnsi="Calibri" w:cs="Calibri"/>
              </w:rPr>
              <w:t>, would be needed to prevent future pandemic</w:t>
            </w:r>
            <w:r w:rsidR="00544A6E" w:rsidRPr="00C30A80">
              <w:rPr>
                <w:rFonts w:ascii="Calibri" w:hAnsi="Calibri" w:cs="Calibri"/>
              </w:rPr>
              <w:t>s</w:t>
            </w:r>
            <w:r w:rsidRPr="00C30A80">
              <w:rPr>
                <w:rFonts w:ascii="Calibri" w:hAnsi="Calibri" w:cs="Calibri"/>
              </w:rPr>
              <w:t xml:space="preserve"> and epidemic</w:t>
            </w:r>
            <w:r w:rsidR="00544A6E" w:rsidRPr="00C30A80">
              <w:rPr>
                <w:rFonts w:ascii="Calibri" w:hAnsi="Calibri" w:cs="Calibri"/>
              </w:rPr>
              <w:t xml:space="preserve">s while </w:t>
            </w:r>
            <w:r w:rsidRPr="00C30A80">
              <w:rPr>
                <w:rFonts w:ascii="Calibri" w:hAnsi="Calibri" w:cs="Calibri"/>
              </w:rPr>
              <w:t>promot</w:t>
            </w:r>
            <w:r w:rsidR="00544A6E" w:rsidRPr="00C30A80">
              <w:rPr>
                <w:rFonts w:ascii="Calibri" w:hAnsi="Calibri" w:cs="Calibri"/>
              </w:rPr>
              <w:t>ing</w:t>
            </w:r>
            <w:r w:rsidRPr="00C30A80">
              <w:rPr>
                <w:rFonts w:ascii="Calibri" w:hAnsi="Calibri" w:cs="Calibri"/>
              </w:rPr>
              <w:t xml:space="preserve"> resilient and sustainable urban management.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BFBFBF" w:themeColor="background1" w:themeShade="BF"/>
              <w:right w:val="nil"/>
            </w:tcBorders>
          </w:tcPr>
          <w:p w14:paraId="3DEA4E8D" w14:textId="611FA088" w:rsidR="00066292" w:rsidRPr="00C30A80" w:rsidRDefault="00FB1B23" w:rsidP="00C30A80">
            <w:pPr>
              <w:spacing w:line="276" w:lineRule="auto"/>
              <w:rPr>
                <w:rFonts w:ascii="Calibri" w:hAnsi="Calibri" w:cs="Calibri"/>
              </w:rPr>
            </w:pPr>
            <w:hyperlink r:id="rId5" w:history="1">
              <w:r w:rsidRPr="00C30A80">
                <w:rPr>
                  <w:rStyle w:val="Hyperlink"/>
                  <w:rFonts w:ascii="Calibri" w:hAnsi="Calibri" w:cs="Calibri"/>
                </w:rPr>
                <w:t>Liu</w:t>
              </w:r>
              <w:r w:rsidRPr="00C30A80">
                <w:rPr>
                  <w:rStyle w:val="Hyperlink"/>
                  <w:rFonts w:ascii="Calibri" w:hAnsi="Calibri" w:cs="Calibri"/>
                </w:rPr>
                <w:t xml:space="preserve"> </w:t>
              </w:r>
              <w:r w:rsidRPr="00C30A80">
                <w:rPr>
                  <w:rStyle w:val="Hyperlink"/>
                  <w:rFonts w:ascii="Calibri" w:hAnsi="Calibri" w:cs="Calibri"/>
                </w:rPr>
                <w:t>et al., (2023)</w:t>
              </w:r>
            </w:hyperlink>
            <w:r w:rsidR="00544A6E" w:rsidRPr="00C30A80">
              <w:rPr>
                <w:rFonts w:ascii="Calibri" w:hAnsi="Calibri" w:cs="Calibri"/>
              </w:rPr>
              <w:t>.</w:t>
            </w:r>
          </w:p>
        </w:tc>
      </w:tr>
      <w:tr w:rsidR="00544A6E" w:rsidRPr="00C30A80" w14:paraId="3B971167" w14:textId="77777777" w:rsidTr="00544A6E">
        <w:tc>
          <w:tcPr>
            <w:tcW w:w="0" w:type="auto"/>
            <w:tcBorders>
              <w:left w:val="nil"/>
              <w:bottom w:val="single" w:sz="12" w:space="0" w:color="auto"/>
            </w:tcBorders>
          </w:tcPr>
          <w:p w14:paraId="783CD7C7" w14:textId="78B4A245" w:rsidR="00FB1B23" w:rsidRPr="00C30A80" w:rsidRDefault="00FB1B23" w:rsidP="00C30A80">
            <w:pPr>
              <w:spacing w:after="0" w:line="276" w:lineRule="auto"/>
              <w:rPr>
                <w:rFonts w:ascii="Calibri" w:hAnsi="Calibri" w:cs="Calibri"/>
              </w:rPr>
            </w:pPr>
            <w:r w:rsidRPr="00C30A80">
              <w:rPr>
                <w:rFonts w:ascii="Calibri" w:hAnsi="Calibri" w:cs="Calibri"/>
              </w:rPr>
              <w:t>Journal of Transport Geography</w:t>
            </w:r>
          </w:p>
          <w:p w14:paraId="4C6A6228" w14:textId="77777777" w:rsidR="00066292" w:rsidRPr="00C30A80" w:rsidRDefault="00066292" w:rsidP="00C30A80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32D860F" w14:textId="76DE577F" w:rsidR="006D7A5D" w:rsidRPr="00C30A80" w:rsidRDefault="006D7A5D" w:rsidP="00C30A80">
            <w:pPr>
              <w:spacing w:line="276" w:lineRule="auto"/>
              <w:rPr>
                <w:rFonts w:ascii="Calibri" w:hAnsi="Calibri" w:cs="Calibri"/>
              </w:rPr>
            </w:pPr>
            <w:r w:rsidRPr="00C30A80">
              <w:rPr>
                <w:rFonts w:ascii="Calibri" w:hAnsi="Calibri" w:cs="Calibri"/>
              </w:rPr>
              <w:t>Methods (data mining techniques; clustering and classification)</w:t>
            </w:r>
          </w:p>
          <w:p w14:paraId="498CF5C6" w14:textId="375FAFA0" w:rsidR="006D7A5D" w:rsidRPr="00C30A80" w:rsidRDefault="006D7A5D" w:rsidP="00C30A8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</w:rPr>
            </w:pPr>
            <w:r w:rsidRPr="00C30A80">
              <w:rPr>
                <w:rFonts w:ascii="Calibri" w:hAnsi="Calibri" w:cs="Calibri"/>
              </w:rPr>
              <w:t>longitudinal time-series data</w:t>
            </w:r>
            <w:r w:rsidRPr="00C30A80">
              <w:rPr>
                <w:rFonts w:ascii="Calibri" w:hAnsi="Calibri" w:cs="Calibri"/>
              </w:rPr>
              <w:t xml:space="preserve"> is used to identify the similar trajectories of mobility reduction in times of UK first national lockdown.</w:t>
            </w:r>
          </w:p>
          <w:p w14:paraId="28447478" w14:textId="5EA29B33" w:rsidR="006D7A5D" w:rsidRPr="00C30A80" w:rsidRDefault="006D7A5D" w:rsidP="00C30A8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</w:rPr>
            </w:pPr>
            <w:r w:rsidRPr="00C30A80">
              <w:rPr>
                <w:rFonts w:ascii="Calibri" w:hAnsi="Calibri" w:cs="Calibri"/>
              </w:rPr>
              <w:t>C</w:t>
            </w:r>
            <w:r w:rsidRPr="00C30A80">
              <w:rPr>
                <w:rFonts w:ascii="Calibri" w:hAnsi="Calibri" w:cs="Calibri"/>
              </w:rPr>
              <w:t>lassification modelling</w:t>
            </w:r>
            <w:r w:rsidRPr="00C30A80">
              <w:rPr>
                <w:rFonts w:ascii="Calibri" w:hAnsi="Calibri" w:cs="Calibri"/>
              </w:rPr>
              <w:t xml:space="preserve"> is employed to explore variations in </w:t>
            </w:r>
            <w:r w:rsidRPr="00C30A80">
              <w:rPr>
                <w:rFonts w:ascii="Calibri" w:hAnsi="Calibri" w:cs="Calibri"/>
              </w:rPr>
              <w:t>the significant factors</w:t>
            </w:r>
            <w:r w:rsidRPr="00C30A80">
              <w:rPr>
                <w:rFonts w:ascii="Calibri" w:hAnsi="Calibri" w:cs="Calibri"/>
              </w:rPr>
              <w:t xml:space="preserve"> and their effects on</w:t>
            </w:r>
            <w:r w:rsidRPr="00C30A80">
              <w:rPr>
                <w:rFonts w:ascii="Calibri" w:hAnsi="Calibri" w:cs="Calibri"/>
              </w:rPr>
              <w:t xml:space="preserve"> determining temporal mobility patterns</w:t>
            </w:r>
            <w:r w:rsidRPr="00C30A80">
              <w:rPr>
                <w:rFonts w:ascii="Calibri" w:hAnsi="Calibri" w:cs="Calibri"/>
              </w:rPr>
              <w:t xml:space="preserve"> between the identified clusters.</w:t>
            </w:r>
          </w:p>
        </w:tc>
        <w:tc>
          <w:tcPr>
            <w:tcW w:w="0" w:type="auto"/>
            <w:tcBorders>
              <w:bottom w:val="single" w:sz="12" w:space="0" w:color="auto"/>
              <w:right w:val="nil"/>
            </w:tcBorders>
          </w:tcPr>
          <w:p w14:paraId="6B93F2B1" w14:textId="1A1BA5A6" w:rsidR="00544A6E" w:rsidRPr="00C30A80" w:rsidRDefault="00544A6E" w:rsidP="00C30A80">
            <w:pPr>
              <w:spacing w:line="276" w:lineRule="auto"/>
              <w:rPr>
                <w:rFonts w:ascii="Calibri" w:hAnsi="Calibri" w:cs="Calibri"/>
              </w:rPr>
            </w:pPr>
            <w:hyperlink r:id="rId6" w:history="1">
              <w:r w:rsidRPr="00C30A80">
                <w:rPr>
                  <w:rStyle w:val="Hyperlink"/>
                  <w:rFonts w:ascii="Calibri" w:hAnsi="Calibri" w:cs="Calibri"/>
                </w:rPr>
                <w:t>B</w:t>
              </w:r>
              <w:r w:rsidRPr="00C30A80">
                <w:rPr>
                  <w:rStyle w:val="Hyperlink"/>
                  <w:rFonts w:ascii="Calibri" w:hAnsi="Calibri" w:cs="Calibri"/>
                </w:rPr>
                <w:t>u</w:t>
              </w:r>
              <w:r w:rsidRPr="00C30A80">
                <w:rPr>
                  <w:rStyle w:val="Hyperlink"/>
                  <w:rFonts w:ascii="Calibri" w:hAnsi="Calibri" w:cs="Calibri"/>
                </w:rPr>
                <w:t xml:space="preserve">dnitz &amp; </w:t>
              </w:r>
              <w:proofErr w:type="spellStart"/>
              <w:r w:rsidRPr="00C30A80">
                <w:rPr>
                  <w:rStyle w:val="Hyperlink"/>
                  <w:rFonts w:ascii="Calibri" w:hAnsi="Calibri" w:cs="Calibri"/>
                </w:rPr>
                <w:t>Tranos</w:t>
              </w:r>
              <w:proofErr w:type="spellEnd"/>
              <w:r w:rsidRPr="00C30A80">
                <w:rPr>
                  <w:rStyle w:val="Hyperlink"/>
                  <w:rFonts w:ascii="Calibri" w:hAnsi="Calibri" w:cs="Calibri"/>
                </w:rPr>
                <w:t xml:space="preserve"> (2021)</w:t>
              </w:r>
            </w:hyperlink>
            <w:r w:rsidRPr="00C30A80">
              <w:rPr>
                <w:rFonts w:ascii="Calibri" w:hAnsi="Calibri" w:cs="Calibri"/>
              </w:rPr>
              <w:t xml:space="preserve"> </w:t>
            </w:r>
          </w:p>
          <w:p w14:paraId="6534F48F" w14:textId="51BD708F" w:rsidR="00066292" w:rsidRPr="00C30A80" w:rsidRDefault="00544A6E" w:rsidP="00C30A80">
            <w:pPr>
              <w:spacing w:line="276" w:lineRule="auto"/>
              <w:rPr>
                <w:rFonts w:ascii="Calibri" w:hAnsi="Calibri" w:cs="Calibri"/>
              </w:rPr>
            </w:pPr>
            <w:hyperlink r:id="rId7" w:history="1">
              <w:r w:rsidRPr="00C30A80">
                <w:rPr>
                  <w:rStyle w:val="Hyperlink"/>
                  <w:rFonts w:ascii="Calibri" w:hAnsi="Calibri" w:cs="Calibri"/>
                </w:rPr>
                <w:t>Kim (2018).</w:t>
              </w:r>
            </w:hyperlink>
          </w:p>
        </w:tc>
      </w:tr>
    </w:tbl>
    <w:p w14:paraId="60F80D0A" w14:textId="6109BEC1" w:rsidR="00544A6E" w:rsidRPr="00C30A80" w:rsidRDefault="00544A6E" w:rsidP="00C30A80">
      <w:pPr>
        <w:spacing w:after="0" w:line="276" w:lineRule="auto"/>
        <w:rPr>
          <w:rFonts w:ascii="Calibri" w:hAnsi="Calibri" w:cs="Calibri"/>
        </w:rPr>
      </w:pPr>
    </w:p>
    <w:p w14:paraId="4DE7CE59" w14:textId="26175B1B" w:rsidR="00544A6E" w:rsidRPr="00C30A80" w:rsidRDefault="00FD3CB5" w:rsidP="00C30A80">
      <w:pPr>
        <w:spacing w:after="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>Response</w:t>
      </w:r>
      <w:r w:rsidR="00544A6E" w:rsidRPr="00C30A80">
        <w:rPr>
          <w:rFonts w:ascii="Calibri" w:hAnsi="Calibri" w:cs="Calibri"/>
          <w:b/>
          <w:bCs/>
        </w:rPr>
        <w:t xml:space="preserve"> #1</w:t>
      </w:r>
    </w:p>
    <w:p w14:paraId="434971F9" w14:textId="01C1FF3D" w:rsidR="00544A6E" w:rsidRPr="00C30A80" w:rsidRDefault="00544A6E" w:rsidP="00C30A80">
      <w:pPr>
        <w:pStyle w:val="ListParagraph"/>
        <w:numPr>
          <w:ilvl w:val="0"/>
          <w:numId w:val="10"/>
        </w:numPr>
        <w:spacing w:after="0" w:line="276" w:lineRule="auto"/>
        <w:rPr>
          <w:rFonts w:ascii="Calibri" w:hAnsi="Calibri" w:cs="Calibri"/>
        </w:rPr>
      </w:pPr>
      <w:r w:rsidRPr="00C30A80">
        <w:rPr>
          <w:rFonts w:ascii="Calibri" w:hAnsi="Calibri" w:cs="Calibri"/>
        </w:rPr>
        <w:t xml:space="preserve">Thank you for your kind suggestion. I briefly noted the cluster name </w:t>
      </w:r>
      <w:r w:rsidR="00C30A80">
        <w:rPr>
          <w:rFonts w:ascii="Calibri" w:hAnsi="Calibri" w:cs="Calibri"/>
        </w:rPr>
        <w:t xml:space="preserve">by </w:t>
      </w:r>
      <w:r w:rsidRPr="00C30A80">
        <w:rPr>
          <w:rFonts w:ascii="Calibri" w:hAnsi="Calibri" w:cs="Calibri"/>
        </w:rPr>
        <w:t xml:space="preserve">your suggestion (pace of reduction – extent of reduction – pace of bounce-back). Please check the following </w:t>
      </w:r>
      <w:r w:rsidR="00C30A80">
        <w:rPr>
          <w:rFonts w:ascii="Calibri" w:hAnsi="Calibri" w:cs="Calibri"/>
        </w:rPr>
        <w:t xml:space="preserve">graph and </w:t>
      </w:r>
      <w:r w:rsidRPr="00C30A80">
        <w:rPr>
          <w:rFonts w:ascii="Calibri" w:hAnsi="Calibri" w:cs="Calibri"/>
        </w:rPr>
        <w:t>table.</w:t>
      </w:r>
    </w:p>
    <w:p w14:paraId="58493762" w14:textId="0BDE8E7C" w:rsidR="00AA554E" w:rsidRPr="00C30A80" w:rsidRDefault="00AA554E" w:rsidP="00C30A80">
      <w:pPr>
        <w:spacing w:after="0" w:line="276" w:lineRule="auto"/>
        <w:rPr>
          <w:rFonts w:ascii="Calibri" w:hAnsi="Calibri" w:cs="Calibri"/>
        </w:rPr>
      </w:pPr>
      <w:r w:rsidRPr="00C30A80">
        <w:rPr>
          <w:rFonts w:ascii="Calibri" w:hAnsi="Calibri" w:cs="Calibri"/>
          <w:noProof/>
        </w:rPr>
        <w:drawing>
          <wp:inline distT="0" distB="0" distL="0" distR="0" wp14:anchorId="740CE364" wp14:editId="780B14F6">
            <wp:extent cx="5731510" cy="3462020"/>
            <wp:effectExtent l="0" t="0" r="254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DFA57F-79F7-C9B3-1798-30FA573808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964"/>
        <w:gridCol w:w="1006"/>
        <w:gridCol w:w="1008"/>
        <w:gridCol w:w="1006"/>
        <w:gridCol w:w="1009"/>
        <w:gridCol w:w="2033"/>
      </w:tblGrid>
      <w:tr w:rsidR="00C30A80" w:rsidRPr="00C30A80" w14:paraId="5C6EE6C2" w14:textId="77777777" w:rsidTr="00C30A80">
        <w:trPr>
          <w:trHeight w:val="300"/>
        </w:trPr>
        <w:tc>
          <w:tcPr>
            <w:tcW w:w="105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1DEADFEB" w14:textId="77777777" w:rsidR="00C30A80" w:rsidRPr="00C30A80" w:rsidRDefault="00AA554E" w:rsidP="00C30A80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C30A80">
              <w:rPr>
                <w:rFonts w:ascii="Calibri" w:eastAsia="Times New Roman" w:hAnsi="Calibri" w:cs="Calibri"/>
                <w:color w:val="000000"/>
                <w14:ligatures w14:val="none"/>
              </w:rPr>
              <w:lastRenderedPageBreak/>
              <w:t xml:space="preserve">Average of mobility reductions </w:t>
            </w:r>
          </w:p>
          <w:p w14:paraId="6A2265B9" w14:textId="03BA5210" w:rsidR="00544A6E" w:rsidRPr="00544A6E" w:rsidRDefault="00AA554E" w:rsidP="00C30A80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C30A80">
              <w:rPr>
                <w:rFonts w:ascii="Calibri" w:eastAsia="Times New Roman" w:hAnsi="Calibri" w:cs="Calibri"/>
                <w:color w:val="000000"/>
                <w14:ligatures w14:val="none"/>
              </w:rPr>
              <w:t>by clusters over Months</w:t>
            </w:r>
          </w:p>
        </w:tc>
        <w:tc>
          <w:tcPr>
            <w:tcW w:w="67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44A54B8A" w14:textId="77777777" w:rsidR="00544A6E" w:rsidRPr="00544A6E" w:rsidRDefault="00544A6E" w:rsidP="00C30A80">
            <w:pPr>
              <w:widowControl/>
              <w:wordWrap/>
              <w:autoSpaceDE/>
              <w:autoSpaceDN/>
              <w:spacing w:after="0" w:line="276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G1</w:t>
            </w:r>
          </w:p>
        </w:tc>
        <w:tc>
          <w:tcPr>
            <w:tcW w:w="6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144FC51A" w14:textId="77777777" w:rsidR="00544A6E" w:rsidRPr="00544A6E" w:rsidRDefault="00544A6E" w:rsidP="00C30A80">
            <w:pPr>
              <w:widowControl/>
              <w:wordWrap/>
              <w:autoSpaceDE/>
              <w:autoSpaceDN/>
              <w:spacing w:after="0" w:line="276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G2</w:t>
            </w:r>
          </w:p>
        </w:tc>
        <w:tc>
          <w:tcPr>
            <w:tcW w:w="67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5349335C" w14:textId="77777777" w:rsidR="00544A6E" w:rsidRPr="00544A6E" w:rsidRDefault="00544A6E" w:rsidP="00C30A80">
            <w:pPr>
              <w:widowControl/>
              <w:wordWrap/>
              <w:autoSpaceDE/>
              <w:autoSpaceDN/>
              <w:spacing w:after="0" w:line="276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G3</w:t>
            </w:r>
          </w:p>
        </w:tc>
        <w:tc>
          <w:tcPr>
            <w:tcW w:w="6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3A44441D" w14:textId="77777777" w:rsidR="00544A6E" w:rsidRPr="00544A6E" w:rsidRDefault="00544A6E" w:rsidP="00C30A80">
            <w:pPr>
              <w:widowControl/>
              <w:wordWrap/>
              <w:autoSpaceDE/>
              <w:autoSpaceDN/>
              <w:spacing w:after="0" w:line="276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G4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5A5A5" w:themeFill="accent3"/>
            <w:noWrap/>
            <w:hideMark/>
          </w:tcPr>
          <w:p w14:paraId="67F5D164" w14:textId="7F70318F" w:rsidR="00544A6E" w:rsidRPr="00544A6E" w:rsidRDefault="00AA554E" w:rsidP="00C30A80">
            <w:pPr>
              <w:widowControl/>
              <w:wordWrap/>
              <w:autoSpaceDE/>
              <w:autoSpaceDN/>
              <w:spacing w:after="0" w:line="276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C30A80">
              <w:rPr>
                <w:rFonts w:ascii="Calibri" w:eastAsia="Times New Roman" w:hAnsi="Calibri" w:cs="Calibri"/>
                <w:color w:val="000000"/>
                <w14:ligatures w14:val="none"/>
              </w:rPr>
              <w:t>National level</w:t>
            </w:r>
          </w:p>
        </w:tc>
      </w:tr>
      <w:tr w:rsidR="00C30A80" w:rsidRPr="00C30A80" w14:paraId="5BD92F47" w14:textId="77777777" w:rsidTr="00C30A80">
        <w:trPr>
          <w:trHeight w:val="300"/>
        </w:trPr>
        <w:tc>
          <w:tcPr>
            <w:tcW w:w="1050" w:type="pct"/>
            <w:tcBorders>
              <w:top w:val="single" w:sz="12" w:space="0" w:color="auto"/>
              <w:left w:val="nil"/>
            </w:tcBorders>
            <w:noWrap/>
            <w:hideMark/>
          </w:tcPr>
          <w:p w14:paraId="25977CDD" w14:textId="77777777" w:rsidR="00544A6E" w:rsidRPr="00544A6E" w:rsidRDefault="00544A6E" w:rsidP="00C30A80">
            <w:pPr>
              <w:widowControl/>
              <w:wordWrap/>
              <w:autoSpaceDE/>
              <w:autoSpaceDN/>
              <w:spacing w:after="0" w:line="276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Mar</w:t>
            </w:r>
          </w:p>
        </w:tc>
        <w:tc>
          <w:tcPr>
            <w:tcW w:w="676" w:type="pct"/>
            <w:tcBorders>
              <w:top w:val="single" w:sz="12" w:space="0" w:color="auto"/>
            </w:tcBorders>
            <w:noWrap/>
            <w:hideMark/>
          </w:tcPr>
          <w:p w14:paraId="3F9E02B3" w14:textId="77777777" w:rsidR="00544A6E" w:rsidRPr="00544A6E" w:rsidRDefault="00544A6E" w:rsidP="00C30A80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-59.35</w:t>
            </w:r>
          </w:p>
        </w:tc>
        <w:tc>
          <w:tcPr>
            <w:tcW w:w="677" w:type="pct"/>
            <w:tcBorders>
              <w:top w:val="single" w:sz="12" w:space="0" w:color="auto"/>
            </w:tcBorders>
            <w:noWrap/>
            <w:hideMark/>
          </w:tcPr>
          <w:p w14:paraId="2BDA73C1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-52.77</w:t>
            </w:r>
          </w:p>
        </w:tc>
        <w:tc>
          <w:tcPr>
            <w:tcW w:w="676" w:type="pct"/>
            <w:tcBorders>
              <w:top w:val="single" w:sz="12" w:space="0" w:color="auto"/>
            </w:tcBorders>
            <w:noWrap/>
            <w:hideMark/>
          </w:tcPr>
          <w:p w14:paraId="76978E13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-43.15</w:t>
            </w:r>
          </w:p>
        </w:tc>
        <w:tc>
          <w:tcPr>
            <w:tcW w:w="677" w:type="pct"/>
            <w:tcBorders>
              <w:top w:val="single" w:sz="12" w:space="0" w:color="auto"/>
            </w:tcBorders>
            <w:noWrap/>
            <w:hideMark/>
          </w:tcPr>
          <w:p w14:paraId="2F325C60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-35.65</w:t>
            </w:r>
          </w:p>
        </w:tc>
        <w:tc>
          <w:tcPr>
            <w:tcW w:w="1245" w:type="pct"/>
            <w:tcBorders>
              <w:top w:val="single" w:sz="12" w:space="0" w:color="auto"/>
              <w:right w:val="nil"/>
            </w:tcBorders>
            <w:noWrap/>
            <w:hideMark/>
          </w:tcPr>
          <w:p w14:paraId="3A0E90E3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-47.73</w:t>
            </w:r>
          </w:p>
        </w:tc>
      </w:tr>
      <w:tr w:rsidR="00C30A80" w:rsidRPr="00C30A80" w14:paraId="60232401" w14:textId="77777777" w:rsidTr="00C30A80">
        <w:trPr>
          <w:trHeight w:val="300"/>
        </w:trPr>
        <w:tc>
          <w:tcPr>
            <w:tcW w:w="1050" w:type="pct"/>
            <w:tcBorders>
              <w:left w:val="nil"/>
            </w:tcBorders>
            <w:noWrap/>
            <w:hideMark/>
          </w:tcPr>
          <w:p w14:paraId="35F79654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Apr</w:t>
            </w:r>
          </w:p>
        </w:tc>
        <w:tc>
          <w:tcPr>
            <w:tcW w:w="676" w:type="pct"/>
            <w:noWrap/>
            <w:hideMark/>
          </w:tcPr>
          <w:p w14:paraId="764EDEB1" w14:textId="77777777" w:rsidR="00544A6E" w:rsidRPr="00544A6E" w:rsidRDefault="00544A6E" w:rsidP="00C30A80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-79.31</w:t>
            </w:r>
          </w:p>
        </w:tc>
        <w:tc>
          <w:tcPr>
            <w:tcW w:w="677" w:type="pct"/>
            <w:noWrap/>
            <w:hideMark/>
          </w:tcPr>
          <w:p w14:paraId="4AC225C2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-70.99</w:t>
            </w:r>
          </w:p>
        </w:tc>
        <w:tc>
          <w:tcPr>
            <w:tcW w:w="676" w:type="pct"/>
            <w:noWrap/>
            <w:hideMark/>
          </w:tcPr>
          <w:p w14:paraId="152F6E41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-60.78</w:t>
            </w:r>
          </w:p>
        </w:tc>
        <w:tc>
          <w:tcPr>
            <w:tcW w:w="677" w:type="pct"/>
            <w:noWrap/>
            <w:hideMark/>
          </w:tcPr>
          <w:p w14:paraId="57A560DE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-50.07</w:t>
            </w:r>
          </w:p>
        </w:tc>
        <w:tc>
          <w:tcPr>
            <w:tcW w:w="1245" w:type="pct"/>
            <w:tcBorders>
              <w:right w:val="nil"/>
            </w:tcBorders>
            <w:noWrap/>
            <w:hideMark/>
          </w:tcPr>
          <w:p w14:paraId="7E8219C2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-65.29</w:t>
            </w:r>
          </w:p>
        </w:tc>
      </w:tr>
      <w:tr w:rsidR="00C30A80" w:rsidRPr="00C30A80" w14:paraId="633A87C1" w14:textId="77777777" w:rsidTr="00C30A80">
        <w:trPr>
          <w:trHeight w:val="300"/>
        </w:trPr>
        <w:tc>
          <w:tcPr>
            <w:tcW w:w="1050" w:type="pct"/>
            <w:tcBorders>
              <w:left w:val="nil"/>
              <w:bottom w:val="single" w:sz="4" w:space="0" w:color="BFBFBF" w:themeColor="background1" w:themeShade="BF"/>
            </w:tcBorders>
            <w:noWrap/>
            <w:hideMark/>
          </w:tcPr>
          <w:p w14:paraId="3F29365F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May</w:t>
            </w:r>
          </w:p>
        </w:tc>
        <w:tc>
          <w:tcPr>
            <w:tcW w:w="676" w:type="pct"/>
            <w:tcBorders>
              <w:bottom w:val="single" w:sz="4" w:space="0" w:color="BFBFBF" w:themeColor="background1" w:themeShade="BF"/>
            </w:tcBorders>
            <w:noWrap/>
            <w:hideMark/>
          </w:tcPr>
          <w:p w14:paraId="2B17A597" w14:textId="77777777" w:rsidR="00544A6E" w:rsidRPr="00544A6E" w:rsidRDefault="00544A6E" w:rsidP="00C30A80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-68.31</w:t>
            </w:r>
          </w:p>
        </w:tc>
        <w:tc>
          <w:tcPr>
            <w:tcW w:w="677" w:type="pct"/>
            <w:tcBorders>
              <w:bottom w:val="single" w:sz="4" w:space="0" w:color="BFBFBF" w:themeColor="background1" w:themeShade="BF"/>
            </w:tcBorders>
            <w:noWrap/>
            <w:hideMark/>
          </w:tcPr>
          <w:p w14:paraId="45386BD8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-58.52</w:t>
            </w:r>
          </w:p>
        </w:tc>
        <w:tc>
          <w:tcPr>
            <w:tcW w:w="676" w:type="pct"/>
            <w:tcBorders>
              <w:bottom w:val="single" w:sz="4" w:space="0" w:color="BFBFBF" w:themeColor="background1" w:themeShade="BF"/>
            </w:tcBorders>
            <w:noWrap/>
            <w:hideMark/>
          </w:tcPr>
          <w:p w14:paraId="208E1D14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-46.35</w:t>
            </w:r>
          </w:p>
        </w:tc>
        <w:tc>
          <w:tcPr>
            <w:tcW w:w="677" w:type="pct"/>
            <w:tcBorders>
              <w:bottom w:val="single" w:sz="4" w:space="0" w:color="BFBFBF" w:themeColor="background1" w:themeShade="BF"/>
            </w:tcBorders>
            <w:noWrap/>
            <w:hideMark/>
          </w:tcPr>
          <w:p w14:paraId="06FE596B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-35.01</w:t>
            </w:r>
          </w:p>
        </w:tc>
        <w:tc>
          <w:tcPr>
            <w:tcW w:w="1245" w:type="pct"/>
            <w:tcBorders>
              <w:bottom w:val="single" w:sz="4" w:space="0" w:color="BFBFBF" w:themeColor="background1" w:themeShade="BF"/>
              <w:right w:val="nil"/>
            </w:tcBorders>
            <w:noWrap/>
            <w:hideMark/>
          </w:tcPr>
          <w:p w14:paraId="66B9067B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-52.05</w:t>
            </w:r>
          </w:p>
        </w:tc>
      </w:tr>
      <w:tr w:rsidR="00C30A80" w:rsidRPr="00C30A80" w14:paraId="31649CB7" w14:textId="77777777" w:rsidTr="00C30A80">
        <w:trPr>
          <w:trHeight w:val="300"/>
        </w:trPr>
        <w:tc>
          <w:tcPr>
            <w:tcW w:w="1050" w:type="pct"/>
            <w:tcBorders>
              <w:left w:val="nil"/>
              <w:bottom w:val="single" w:sz="12" w:space="0" w:color="auto"/>
            </w:tcBorders>
            <w:noWrap/>
            <w:hideMark/>
          </w:tcPr>
          <w:p w14:paraId="5776E69B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Jun</w:t>
            </w:r>
          </w:p>
        </w:tc>
        <w:tc>
          <w:tcPr>
            <w:tcW w:w="676" w:type="pct"/>
            <w:tcBorders>
              <w:bottom w:val="single" w:sz="12" w:space="0" w:color="auto"/>
            </w:tcBorders>
            <w:noWrap/>
            <w:hideMark/>
          </w:tcPr>
          <w:p w14:paraId="0779ACF1" w14:textId="77777777" w:rsidR="00544A6E" w:rsidRPr="00544A6E" w:rsidRDefault="00544A6E" w:rsidP="00C30A80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-52.92</w:t>
            </w:r>
          </w:p>
        </w:tc>
        <w:tc>
          <w:tcPr>
            <w:tcW w:w="677" w:type="pct"/>
            <w:tcBorders>
              <w:bottom w:val="single" w:sz="12" w:space="0" w:color="auto"/>
            </w:tcBorders>
            <w:noWrap/>
            <w:hideMark/>
          </w:tcPr>
          <w:p w14:paraId="61EC4ADA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-42.37</w:t>
            </w:r>
          </w:p>
        </w:tc>
        <w:tc>
          <w:tcPr>
            <w:tcW w:w="676" w:type="pct"/>
            <w:tcBorders>
              <w:bottom w:val="single" w:sz="12" w:space="0" w:color="auto"/>
            </w:tcBorders>
            <w:noWrap/>
            <w:hideMark/>
          </w:tcPr>
          <w:p w14:paraId="41007AF7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-32.67</w:t>
            </w:r>
          </w:p>
        </w:tc>
        <w:tc>
          <w:tcPr>
            <w:tcW w:w="677" w:type="pct"/>
            <w:tcBorders>
              <w:bottom w:val="single" w:sz="12" w:space="0" w:color="auto"/>
            </w:tcBorders>
            <w:noWrap/>
            <w:hideMark/>
          </w:tcPr>
          <w:p w14:paraId="4A7A338A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-22.94</w:t>
            </w:r>
          </w:p>
        </w:tc>
        <w:tc>
          <w:tcPr>
            <w:tcW w:w="1245" w:type="pct"/>
            <w:tcBorders>
              <w:bottom w:val="single" w:sz="12" w:space="0" w:color="auto"/>
              <w:right w:val="nil"/>
            </w:tcBorders>
            <w:noWrap/>
            <w:hideMark/>
          </w:tcPr>
          <w:p w14:paraId="4D181EDB" w14:textId="77777777" w:rsidR="00544A6E" w:rsidRPr="00544A6E" w:rsidRDefault="00544A6E" w:rsidP="00C30A80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544A6E">
              <w:rPr>
                <w:rFonts w:ascii="Calibri" w:eastAsia="Times New Roman" w:hAnsi="Calibri" w:cs="Calibri"/>
                <w:color w:val="000000"/>
                <w14:ligatures w14:val="none"/>
              </w:rPr>
              <w:t>-37.73</w:t>
            </w:r>
          </w:p>
        </w:tc>
      </w:tr>
    </w:tbl>
    <w:p w14:paraId="44C2AC57" w14:textId="21966328" w:rsidR="00544A6E" w:rsidRPr="00C30A80" w:rsidRDefault="00544A6E" w:rsidP="00C30A80">
      <w:pPr>
        <w:spacing w:after="0" w:line="276" w:lineRule="auto"/>
        <w:rPr>
          <w:rFonts w:ascii="Calibri" w:hAnsi="Calibri" w:cs="Calibri"/>
        </w:rPr>
      </w:pPr>
    </w:p>
    <w:p w14:paraId="676BCC58" w14:textId="48B75B19" w:rsidR="00544A6E" w:rsidRPr="00C30A80" w:rsidRDefault="00C30A80" w:rsidP="00C30A80">
      <w:pPr>
        <w:spacing w:after="0" w:line="276" w:lineRule="auto"/>
        <w:rPr>
          <w:rFonts w:ascii="Calibri" w:hAnsi="Calibri" w:cs="Calibri"/>
        </w:rPr>
      </w:pPr>
      <w:r w:rsidRPr="00C30A80">
        <w:rPr>
          <w:rFonts w:ascii="Calibri" w:hAnsi="Calibri" w:cs="Calibri"/>
        </w:rPr>
        <w:t>According to the characteristics of temporal patterns, in terms of variations in evolving mobility reductions over time, between clusters, I can put the cluster name as follows.</w:t>
      </w:r>
    </w:p>
    <w:p w14:paraId="774C16EF" w14:textId="77777777" w:rsidR="00C30A80" w:rsidRPr="00C30A80" w:rsidRDefault="00C30A80" w:rsidP="00C30A80">
      <w:pPr>
        <w:pStyle w:val="pf0"/>
        <w:numPr>
          <w:ilvl w:val="0"/>
          <w:numId w:val="11"/>
        </w:numPr>
        <w:spacing w:after="0" w:afterAutospacing="0" w:line="276" w:lineRule="auto"/>
        <w:rPr>
          <w:rFonts w:ascii="Calibri" w:hAnsi="Calibri" w:cs="Calibri"/>
          <w:sz w:val="22"/>
          <w:szCs w:val="22"/>
        </w:rPr>
      </w:pPr>
      <w:r w:rsidRPr="00C30A80">
        <w:rPr>
          <w:rStyle w:val="cf01"/>
          <w:rFonts w:ascii="Calibri" w:hAnsi="Calibri" w:cs="Calibri"/>
          <w:sz w:val="22"/>
          <w:szCs w:val="22"/>
        </w:rPr>
        <w:t>G1: fast-large-slow (FLS)</w:t>
      </w:r>
    </w:p>
    <w:p w14:paraId="3D18B3AE" w14:textId="77777777" w:rsidR="00C30A80" w:rsidRPr="00C30A80" w:rsidRDefault="00C30A80" w:rsidP="00C30A80">
      <w:pPr>
        <w:pStyle w:val="pf0"/>
        <w:numPr>
          <w:ilvl w:val="0"/>
          <w:numId w:val="11"/>
        </w:numPr>
        <w:spacing w:after="0" w:afterAutospacing="0" w:line="276" w:lineRule="auto"/>
        <w:rPr>
          <w:rFonts w:ascii="Calibri" w:hAnsi="Calibri" w:cs="Calibri"/>
          <w:sz w:val="22"/>
          <w:szCs w:val="22"/>
        </w:rPr>
      </w:pPr>
      <w:r w:rsidRPr="00C30A80">
        <w:rPr>
          <w:rStyle w:val="cf01"/>
          <w:rFonts w:ascii="Calibri" w:hAnsi="Calibri" w:cs="Calibri"/>
          <w:sz w:val="22"/>
          <w:szCs w:val="22"/>
        </w:rPr>
        <w:t>G2: fast-moderate-moderate (FMM)</w:t>
      </w:r>
    </w:p>
    <w:p w14:paraId="77B1E091" w14:textId="581C74CD" w:rsidR="00C30A80" w:rsidRPr="00C30A80" w:rsidRDefault="00C30A80" w:rsidP="00C30A80">
      <w:pPr>
        <w:pStyle w:val="pf0"/>
        <w:numPr>
          <w:ilvl w:val="0"/>
          <w:numId w:val="11"/>
        </w:numPr>
        <w:spacing w:after="0" w:afterAutospacing="0" w:line="276" w:lineRule="auto"/>
        <w:rPr>
          <w:rFonts w:ascii="Calibri" w:hAnsi="Calibri" w:cs="Calibri"/>
          <w:sz w:val="22"/>
          <w:szCs w:val="22"/>
        </w:rPr>
      </w:pPr>
      <w:r w:rsidRPr="00C30A80">
        <w:rPr>
          <w:rStyle w:val="cf01"/>
          <w:rFonts w:ascii="Calibri" w:hAnsi="Calibri" w:cs="Calibri"/>
          <w:sz w:val="22"/>
          <w:szCs w:val="22"/>
        </w:rPr>
        <w:t>G3: moderate-moderate-moderate (MMM)</w:t>
      </w:r>
      <w:r>
        <w:rPr>
          <w:rStyle w:val="cf01"/>
          <w:rFonts w:ascii="Calibri" w:hAnsi="Calibri" w:cs="Calibri"/>
          <w:sz w:val="22"/>
          <w:szCs w:val="22"/>
        </w:rPr>
        <w:t xml:space="preserve">; </w:t>
      </w:r>
      <w:proofErr w:type="gramStart"/>
      <w:r>
        <w:rPr>
          <w:rStyle w:val="cf01"/>
          <w:rFonts w:ascii="Calibri" w:hAnsi="Calibri" w:cs="Calibri"/>
          <w:sz w:val="22"/>
          <w:szCs w:val="22"/>
        </w:rPr>
        <w:t>similar to</w:t>
      </w:r>
      <w:proofErr w:type="gramEnd"/>
      <w:r>
        <w:rPr>
          <w:rStyle w:val="cf01"/>
          <w:rFonts w:ascii="Calibri" w:hAnsi="Calibri" w:cs="Calibri"/>
          <w:sz w:val="22"/>
          <w:szCs w:val="22"/>
        </w:rPr>
        <w:t xml:space="preserve"> the </w:t>
      </w:r>
      <w:r w:rsidRPr="00C30A80">
        <w:rPr>
          <w:rStyle w:val="cf01"/>
          <w:rFonts w:ascii="Calibri" w:hAnsi="Calibri" w:cs="Calibri"/>
          <w:sz w:val="22"/>
          <w:szCs w:val="22"/>
        </w:rPr>
        <w:t>national average</w:t>
      </w:r>
    </w:p>
    <w:p w14:paraId="7E010A04" w14:textId="77777777" w:rsidR="00C30A80" w:rsidRPr="00C30A80" w:rsidRDefault="00C30A80" w:rsidP="00C30A80">
      <w:pPr>
        <w:pStyle w:val="pf0"/>
        <w:numPr>
          <w:ilvl w:val="0"/>
          <w:numId w:val="11"/>
        </w:numPr>
        <w:spacing w:after="0" w:afterAutospacing="0" w:line="276" w:lineRule="auto"/>
        <w:rPr>
          <w:rFonts w:ascii="Calibri" w:hAnsi="Calibri" w:cs="Calibri"/>
          <w:sz w:val="22"/>
          <w:szCs w:val="22"/>
        </w:rPr>
      </w:pPr>
      <w:r w:rsidRPr="00C30A80">
        <w:rPr>
          <w:rStyle w:val="cf01"/>
          <w:rFonts w:ascii="Calibri" w:hAnsi="Calibri" w:cs="Calibri"/>
          <w:sz w:val="22"/>
          <w:szCs w:val="22"/>
        </w:rPr>
        <w:t>G4: slow-small-fast (SSF)</w:t>
      </w:r>
    </w:p>
    <w:p w14:paraId="63A50ACD" w14:textId="77777777" w:rsidR="00C30A80" w:rsidRPr="00C30A80" w:rsidRDefault="00C30A80" w:rsidP="00C30A80">
      <w:pPr>
        <w:spacing w:after="0" w:line="276" w:lineRule="auto"/>
        <w:rPr>
          <w:rFonts w:ascii="Calibri" w:hAnsi="Calibri" w:cs="Calibri"/>
        </w:rPr>
      </w:pPr>
    </w:p>
    <w:p w14:paraId="767C9F4B" w14:textId="4FCC2762" w:rsidR="00066292" w:rsidRDefault="00544A6E" w:rsidP="00C30A80">
      <w:pPr>
        <w:pStyle w:val="ListParagraph"/>
        <w:numPr>
          <w:ilvl w:val="0"/>
          <w:numId w:val="10"/>
        </w:numPr>
        <w:spacing w:after="0" w:line="276" w:lineRule="auto"/>
        <w:rPr>
          <w:rFonts w:ascii="Calibri" w:hAnsi="Calibri" w:cs="Calibri"/>
        </w:rPr>
      </w:pPr>
      <w:r w:rsidRPr="00C30A80">
        <w:rPr>
          <w:rFonts w:ascii="Calibri" w:hAnsi="Calibri" w:cs="Calibri"/>
        </w:rPr>
        <w:t>I have updated the cluster names (from 1, 2, 3, 4 to G4, G3, G1, G2) in the revised manuscript with tables and maps</w:t>
      </w:r>
      <w:r w:rsidR="001060F4">
        <w:rPr>
          <w:rFonts w:ascii="Calibri" w:hAnsi="Calibri" w:cs="Calibri"/>
        </w:rPr>
        <w:t>, please check.</w:t>
      </w:r>
    </w:p>
    <w:p w14:paraId="2C7495A4" w14:textId="60F47F3E" w:rsidR="00C30A80" w:rsidRDefault="00C30A80" w:rsidP="00C30A80">
      <w:pPr>
        <w:spacing w:after="0" w:line="276" w:lineRule="auto"/>
        <w:rPr>
          <w:rFonts w:ascii="Calibri" w:hAnsi="Calibri" w:cs="Calibri"/>
        </w:rPr>
      </w:pPr>
    </w:p>
    <w:p w14:paraId="1EC25B72" w14:textId="5EB3D2EB" w:rsidR="00C30A80" w:rsidRPr="00C30A80" w:rsidRDefault="00C30A80" w:rsidP="00C30A80">
      <w:pPr>
        <w:pStyle w:val="ListParagraph"/>
        <w:numPr>
          <w:ilvl w:val="0"/>
          <w:numId w:val="1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</w:t>
      </w:r>
      <w:r w:rsidR="001060F4">
        <w:rPr>
          <w:rFonts w:ascii="Calibri" w:hAnsi="Calibri" w:cs="Calibri"/>
        </w:rPr>
        <w:t>added up</w:t>
      </w:r>
      <w:r>
        <w:rPr>
          <w:rFonts w:ascii="Calibri" w:hAnsi="Calibri" w:cs="Calibri"/>
        </w:rPr>
        <w:t xml:space="preserve"> the table </w:t>
      </w:r>
      <w:r w:rsidR="001060F4">
        <w:rPr>
          <w:rFonts w:ascii="Calibri" w:hAnsi="Calibri" w:cs="Calibri"/>
        </w:rPr>
        <w:t xml:space="preserve">2 in the following </w:t>
      </w:r>
      <w:r>
        <w:rPr>
          <w:rFonts w:ascii="Calibri" w:hAnsi="Calibri" w:cs="Calibri"/>
        </w:rPr>
        <w:t xml:space="preserve">to describe the share of clusters across regions in England. </w:t>
      </w:r>
      <w:r w:rsidR="00575668">
        <w:rPr>
          <w:rFonts w:ascii="Calibri" w:hAnsi="Calibri" w:cs="Calibri"/>
        </w:rPr>
        <w:t xml:space="preserve">It provides what is </w:t>
      </w:r>
      <w:proofErr w:type="gramStart"/>
      <w:r w:rsidR="00575668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vast majority of</w:t>
      </w:r>
      <w:proofErr w:type="gramEnd"/>
      <w:r>
        <w:rPr>
          <w:rFonts w:ascii="Calibri" w:hAnsi="Calibri" w:cs="Calibri"/>
        </w:rPr>
        <w:t xml:space="preserve"> cluster types </w:t>
      </w:r>
      <w:r w:rsidR="00575668">
        <w:rPr>
          <w:rFonts w:ascii="Calibri" w:hAnsi="Calibri" w:cs="Calibri"/>
        </w:rPr>
        <w:t>in each region</w:t>
      </w:r>
      <w:r>
        <w:rPr>
          <w:rFonts w:ascii="Calibri" w:hAnsi="Calibri" w:cs="Calibri"/>
        </w:rPr>
        <w:t xml:space="preserve"> </w:t>
      </w:r>
      <w:r w:rsidR="00575668">
        <w:rPr>
          <w:rFonts w:ascii="Calibri" w:hAnsi="Calibri" w:cs="Calibri"/>
        </w:rPr>
        <w:t>of</w:t>
      </w:r>
      <w:r>
        <w:rPr>
          <w:rFonts w:ascii="Calibri" w:hAnsi="Calibri" w:cs="Calibri"/>
        </w:rPr>
        <w:t xml:space="preserve"> England, such as G1 and G2 for London while G3 and G4 for North East. Also, G3 dominated in Midlands.</w:t>
      </w:r>
    </w:p>
    <w:p w14:paraId="7F298F5D" w14:textId="13FFF3A4" w:rsidR="00C30A80" w:rsidRDefault="00C30A80" w:rsidP="00C30A80">
      <w:pPr>
        <w:spacing w:after="0" w:line="276" w:lineRule="auto"/>
        <w:rPr>
          <w:rFonts w:ascii="Calibri" w:hAnsi="Calibri" w:cs="Calibri"/>
        </w:rPr>
      </w:pPr>
    </w:p>
    <w:p w14:paraId="5D32A940" w14:textId="27F029C2" w:rsidR="00C30A80" w:rsidRPr="00C30A80" w:rsidRDefault="00C30A80" w:rsidP="00C30A80">
      <w:pPr>
        <w:spacing w:after="0" w:line="276" w:lineRule="auto"/>
        <w:rPr>
          <w:rFonts w:ascii="Calibri" w:hAnsi="Calibri" w:cs="Calibri"/>
          <w:b/>
          <w:bCs/>
        </w:rPr>
      </w:pPr>
      <w:r w:rsidRPr="00C30A80">
        <w:rPr>
          <w:rFonts w:ascii="Calibri" w:hAnsi="Calibri" w:cs="Calibri"/>
          <w:b/>
          <w:bCs/>
        </w:rPr>
        <w:t>Table 2. Share of clusters across regions in England.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554"/>
        <w:gridCol w:w="1368"/>
        <w:gridCol w:w="1368"/>
        <w:gridCol w:w="1368"/>
        <w:gridCol w:w="1368"/>
      </w:tblGrid>
      <w:tr w:rsidR="00C30A80" w:rsidRPr="0058519B" w14:paraId="49EAB723" w14:textId="77777777" w:rsidTr="005B2554">
        <w:trPr>
          <w:trHeight w:val="285"/>
        </w:trPr>
        <w:tc>
          <w:tcPr>
            <w:tcW w:w="1968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5A5A5" w:themeFill="accent3"/>
            <w:noWrap/>
          </w:tcPr>
          <w:p w14:paraId="58CCAD5C" w14:textId="77777777" w:rsidR="00C30A80" w:rsidRPr="00C30A80" w:rsidRDefault="00C30A80" w:rsidP="005B2554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hAnsi="Calibri" w:cs="Calibri"/>
                <w:b/>
                <w:bCs/>
                <w:color w:val="000000"/>
              </w:rPr>
              <w:t>Regions</w:t>
            </w:r>
            <w:r w:rsidRPr="00C30A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C30A80">
              <w:rPr>
                <w:rFonts w:ascii="Calibri" w:hAnsi="Calibri" w:cs="Calibri"/>
                <w:b/>
                <w:bCs/>
                <w:color w:val="000000"/>
              </w:rPr>
              <w:t>in</w:t>
            </w:r>
            <w:r w:rsidRPr="00C30A8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C30A80">
              <w:rPr>
                <w:rFonts w:ascii="Calibri" w:hAnsi="Calibri" w:cs="Calibri"/>
                <w:b/>
                <w:bCs/>
                <w:color w:val="000000"/>
              </w:rPr>
              <w:t>England</w:t>
            </w:r>
          </w:p>
        </w:tc>
        <w:tc>
          <w:tcPr>
            <w:tcW w:w="75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</w:tcPr>
          <w:p w14:paraId="3F238A6C" w14:textId="77777777" w:rsidR="00C30A80" w:rsidRPr="00C30A80" w:rsidRDefault="00C30A80" w:rsidP="005B255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hAnsi="Calibri" w:cs="Calibri"/>
                <w:b/>
                <w:bCs/>
                <w:color w:val="000000"/>
              </w:rPr>
              <w:t>G1</w:t>
            </w:r>
          </w:p>
        </w:tc>
        <w:tc>
          <w:tcPr>
            <w:tcW w:w="75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</w:tcPr>
          <w:p w14:paraId="51822F91" w14:textId="77777777" w:rsidR="00C30A80" w:rsidRPr="00C30A80" w:rsidRDefault="00C30A80" w:rsidP="005B255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C30A80">
              <w:rPr>
                <w:rFonts w:ascii="Calibri" w:hAnsi="Calibri" w:cs="Calibri"/>
                <w:b/>
                <w:bCs/>
              </w:rPr>
              <w:t>G2</w:t>
            </w:r>
          </w:p>
        </w:tc>
        <w:tc>
          <w:tcPr>
            <w:tcW w:w="75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</w:tcPr>
          <w:p w14:paraId="0A67C1D1" w14:textId="77777777" w:rsidR="00C30A80" w:rsidRPr="00C30A80" w:rsidRDefault="00C30A80" w:rsidP="005B2554">
            <w:pPr>
              <w:widowControl/>
              <w:wordWrap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hAnsi="Calibri" w:cs="Calibri"/>
                <w:b/>
                <w:bCs/>
                <w:color w:val="000000"/>
              </w:rPr>
              <w:t>G3</w:t>
            </w:r>
          </w:p>
        </w:tc>
        <w:tc>
          <w:tcPr>
            <w:tcW w:w="758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5A5A5" w:themeFill="accent3"/>
            <w:noWrap/>
          </w:tcPr>
          <w:p w14:paraId="4983373B" w14:textId="77777777" w:rsidR="00C30A80" w:rsidRPr="00C30A80" w:rsidRDefault="00C30A80" w:rsidP="005B2554">
            <w:pPr>
              <w:widowControl/>
              <w:wordWrap/>
              <w:autoSpaceDE/>
              <w:autoSpaceDN/>
              <w:ind w:right="11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hAnsi="Calibri" w:cs="Calibri"/>
                <w:b/>
                <w:bCs/>
                <w:color w:val="000000"/>
              </w:rPr>
              <w:t>G4</w:t>
            </w:r>
          </w:p>
        </w:tc>
      </w:tr>
      <w:tr w:rsidR="00C30A80" w:rsidRPr="0058519B" w14:paraId="7D1BFB5D" w14:textId="77777777" w:rsidTr="005B2554">
        <w:trPr>
          <w:trHeight w:val="285"/>
        </w:trPr>
        <w:tc>
          <w:tcPr>
            <w:tcW w:w="1968" w:type="pct"/>
            <w:tcBorders>
              <w:top w:val="single" w:sz="12" w:space="0" w:color="auto"/>
              <w:left w:val="nil"/>
            </w:tcBorders>
            <w:noWrap/>
            <w:hideMark/>
          </w:tcPr>
          <w:p w14:paraId="4C809859" w14:textId="77777777" w:rsidR="00C30A80" w:rsidRPr="00C30A80" w:rsidRDefault="00C30A80" w:rsidP="005B2554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30A80">
              <w:rPr>
                <w:rFonts w:ascii="Calibri" w:eastAsia="Times New Roman" w:hAnsi="Calibri" w:cs="Calibri"/>
                <w:color w:val="000000"/>
              </w:rPr>
              <w:t>North East</w:t>
            </w:r>
            <w:proofErr w:type="gramEnd"/>
          </w:p>
        </w:tc>
        <w:tc>
          <w:tcPr>
            <w:tcW w:w="758" w:type="pct"/>
            <w:tcBorders>
              <w:top w:val="single" w:sz="12" w:space="0" w:color="auto"/>
            </w:tcBorders>
            <w:noWrap/>
            <w:hideMark/>
          </w:tcPr>
          <w:p w14:paraId="7C6177FA" w14:textId="77777777" w:rsidR="00C30A80" w:rsidRPr="00C30A80" w:rsidRDefault="00C30A80" w:rsidP="005B2554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8" w:type="pct"/>
            <w:tcBorders>
              <w:top w:val="single" w:sz="12" w:space="0" w:color="auto"/>
            </w:tcBorders>
            <w:noWrap/>
            <w:hideMark/>
          </w:tcPr>
          <w:p w14:paraId="4244B65E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758" w:type="pct"/>
            <w:tcBorders>
              <w:top w:val="single" w:sz="12" w:space="0" w:color="auto"/>
            </w:tcBorders>
            <w:noWrap/>
            <w:hideMark/>
          </w:tcPr>
          <w:p w14:paraId="61151A6D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eastAsia="Times New Roman" w:hAnsi="Calibri" w:cs="Calibri"/>
                <w:b/>
                <w:bCs/>
                <w:color w:val="000000"/>
              </w:rPr>
              <w:t>6 (50%)</w:t>
            </w:r>
          </w:p>
        </w:tc>
        <w:tc>
          <w:tcPr>
            <w:tcW w:w="758" w:type="pct"/>
            <w:tcBorders>
              <w:top w:val="single" w:sz="12" w:space="0" w:color="auto"/>
              <w:right w:val="nil"/>
            </w:tcBorders>
            <w:noWrap/>
            <w:hideMark/>
          </w:tcPr>
          <w:p w14:paraId="01A39F1E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eastAsia="Times New Roman" w:hAnsi="Calibri" w:cs="Calibri"/>
                <w:b/>
                <w:bCs/>
                <w:color w:val="000000"/>
              </w:rPr>
              <w:t>6 (50%)</w:t>
            </w:r>
          </w:p>
        </w:tc>
      </w:tr>
      <w:tr w:rsidR="00C30A80" w:rsidRPr="0058519B" w14:paraId="090999CE" w14:textId="77777777" w:rsidTr="005B2554">
        <w:trPr>
          <w:trHeight w:val="285"/>
        </w:trPr>
        <w:tc>
          <w:tcPr>
            <w:tcW w:w="1968" w:type="pct"/>
            <w:tcBorders>
              <w:left w:val="nil"/>
            </w:tcBorders>
            <w:noWrap/>
            <w:hideMark/>
          </w:tcPr>
          <w:p w14:paraId="35872B34" w14:textId="77777777" w:rsidR="00C30A80" w:rsidRPr="00C30A80" w:rsidRDefault="00C30A80" w:rsidP="005B2554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30A80">
              <w:rPr>
                <w:rFonts w:ascii="Calibri" w:eastAsia="Times New Roman" w:hAnsi="Calibri" w:cs="Calibri"/>
                <w:color w:val="000000"/>
              </w:rPr>
              <w:t>North West</w:t>
            </w:r>
            <w:proofErr w:type="gramEnd"/>
          </w:p>
        </w:tc>
        <w:tc>
          <w:tcPr>
            <w:tcW w:w="758" w:type="pct"/>
            <w:noWrap/>
            <w:hideMark/>
          </w:tcPr>
          <w:p w14:paraId="1D91380B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3 (8%)</w:t>
            </w:r>
          </w:p>
        </w:tc>
        <w:tc>
          <w:tcPr>
            <w:tcW w:w="758" w:type="pct"/>
            <w:noWrap/>
            <w:hideMark/>
          </w:tcPr>
          <w:p w14:paraId="671FC2C7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6 (15%)</w:t>
            </w:r>
          </w:p>
        </w:tc>
        <w:tc>
          <w:tcPr>
            <w:tcW w:w="758" w:type="pct"/>
            <w:noWrap/>
            <w:hideMark/>
          </w:tcPr>
          <w:p w14:paraId="488042C1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eastAsia="Times New Roman" w:hAnsi="Calibri" w:cs="Calibri"/>
                <w:b/>
                <w:bCs/>
                <w:color w:val="000000"/>
              </w:rPr>
              <w:t>17 (44%)</w:t>
            </w:r>
          </w:p>
        </w:tc>
        <w:tc>
          <w:tcPr>
            <w:tcW w:w="758" w:type="pct"/>
            <w:tcBorders>
              <w:right w:val="nil"/>
            </w:tcBorders>
            <w:noWrap/>
            <w:hideMark/>
          </w:tcPr>
          <w:p w14:paraId="7B8DC69E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eastAsia="Times New Roman" w:hAnsi="Calibri" w:cs="Calibri"/>
                <w:b/>
                <w:bCs/>
                <w:color w:val="000000"/>
              </w:rPr>
              <w:t>13 (33%)</w:t>
            </w:r>
          </w:p>
        </w:tc>
      </w:tr>
      <w:tr w:rsidR="00C30A80" w:rsidRPr="0058519B" w14:paraId="29A69990" w14:textId="77777777" w:rsidTr="005B2554">
        <w:trPr>
          <w:trHeight w:val="285"/>
        </w:trPr>
        <w:tc>
          <w:tcPr>
            <w:tcW w:w="1968" w:type="pct"/>
            <w:tcBorders>
              <w:left w:val="nil"/>
            </w:tcBorders>
            <w:noWrap/>
            <w:hideMark/>
          </w:tcPr>
          <w:p w14:paraId="505E37CC" w14:textId="77777777" w:rsidR="00C30A80" w:rsidRPr="00C30A80" w:rsidRDefault="00C30A80" w:rsidP="005B2554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Yorkshire and The Humber</w:t>
            </w:r>
          </w:p>
        </w:tc>
        <w:tc>
          <w:tcPr>
            <w:tcW w:w="758" w:type="pct"/>
            <w:noWrap/>
            <w:hideMark/>
          </w:tcPr>
          <w:p w14:paraId="498F5D48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2 (10%)</w:t>
            </w:r>
          </w:p>
        </w:tc>
        <w:tc>
          <w:tcPr>
            <w:tcW w:w="758" w:type="pct"/>
            <w:noWrap/>
            <w:hideMark/>
          </w:tcPr>
          <w:p w14:paraId="1BFA7AA2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1 (5%)</w:t>
            </w:r>
          </w:p>
        </w:tc>
        <w:tc>
          <w:tcPr>
            <w:tcW w:w="758" w:type="pct"/>
            <w:noWrap/>
            <w:hideMark/>
          </w:tcPr>
          <w:p w14:paraId="733F6CC5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4 (19%)</w:t>
            </w:r>
          </w:p>
        </w:tc>
        <w:tc>
          <w:tcPr>
            <w:tcW w:w="758" w:type="pct"/>
            <w:tcBorders>
              <w:right w:val="nil"/>
            </w:tcBorders>
            <w:noWrap/>
            <w:hideMark/>
          </w:tcPr>
          <w:p w14:paraId="633CAC30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eastAsia="Times New Roman" w:hAnsi="Calibri" w:cs="Calibri"/>
                <w:b/>
                <w:bCs/>
                <w:color w:val="000000"/>
              </w:rPr>
              <w:t>14 (67%)</w:t>
            </w:r>
          </w:p>
        </w:tc>
      </w:tr>
      <w:tr w:rsidR="00C30A80" w:rsidRPr="0058519B" w14:paraId="39F66412" w14:textId="77777777" w:rsidTr="005B2554">
        <w:trPr>
          <w:trHeight w:val="285"/>
        </w:trPr>
        <w:tc>
          <w:tcPr>
            <w:tcW w:w="1968" w:type="pct"/>
            <w:tcBorders>
              <w:left w:val="nil"/>
            </w:tcBorders>
            <w:noWrap/>
            <w:hideMark/>
          </w:tcPr>
          <w:p w14:paraId="775DE0E8" w14:textId="77777777" w:rsidR="00C30A80" w:rsidRPr="00C30A80" w:rsidRDefault="00C30A80" w:rsidP="005B2554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East Midlands</w:t>
            </w:r>
          </w:p>
        </w:tc>
        <w:tc>
          <w:tcPr>
            <w:tcW w:w="758" w:type="pct"/>
            <w:noWrap/>
            <w:hideMark/>
          </w:tcPr>
          <w:p w14:paraId="678A1BF1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3 (8%)</w:t>
            </w:r>
          </w:p>
        </w:tc>
        <w:tc>
          <w:tcPr>
            <w:tcW w:w="758" w:type="pct"/>
            <w:noWrap/>
            <w:hideMark/>
          </w:tcPr>
          <w:p w14:paraId="385EC98A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6 (15%)</w:t>
            </w:r>
          </w:p>
        </w:tc>
        <w:tc>
          <w:tcPr>
            <w:tcW w:w="758" w:type="pct"/>
            <w:noWrap/>
            <w:hideMark/>
          </w:tcPr>
          <w:p w14:paraId="27667692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eastAsia="Times New Roman" w:hAnsi="Calibri" w:cs="Calibri"/>
                <w:b/>
                <w:bCs/>
                <w:color w:val="000000"/>
              </w:rPr>
              <w:t>19 (48%)</w:t>
            </w:r>
          </w:p>
        </w:tc>
        <w:tc>
          <w:tcPr>
            <w:tcW w:w="758" w:type="pct"/>
            <w:tcBorders>
              <w:right w:val="nil"/>
            </w:tcBorders>
            <w:noWrap/>
            <w:hideMark/>
          </w:tcPr>
          <w:p w14:paraId="20DF84CD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12 (30%)</w:t>
            </w:r>
          </w:p>
        </w:tc>
      </w:tr>
      <w:tr w:rsidR="00C30A80" w:rsidRPr="0058519B" w14:paraId="718C1F78" w14:textId="77777777" w:rsidTr="005B2554">
        <w:trPr>
          <w:trHeight w:val="285"/>
        </w:trPr>
        <w:tc>
          <w:tcPr>
            <w:tcW w:w="1968" w:type="pct"/>
            <w:tcBorders>
              <w:left w:val="nil"/>
            </w:tcBorders>
            <w:noWrap/>
            <w:hideMark/>
          </w:tcPr>
          <w:p w14:paraId="3C69D7D6" w14:textId="77777777" w:rsidR="00C30A80" w:rsidRPr="00C30A80" w:rsidRDefault="00C30A80" w:rsidP="005B2554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West Midlands</w:t>
            </w:r>
          </w:p>
        </w:tc>
        <w:tc>
          <w:tcPr>
            <w:tcW w:w="758" w:type="pct"/>
            <w:noWrap/>
            <w:hideMark/>
          </w:tcPr>
          <w:p w14:paraId="438A09A7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1 (3%)</w:t>
            </w:r>
          </w:p>
        </w:tc>
        <w:tc>
          <w:tcPr>
            <w:tcW w:w="758" w:type="pct"/>
            <w:noWrap/>
            <w:hideMark/>
          </w:tcPr>
          <w:p w14:paraId="21A12E80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8 (27%)</w:t>
            </w:r>
          </w:p>
        </w:tc>
        <w:tc>
          <w:tcPr>
            <w:tcW w:w="758" w:type="pct"/>
            <w:noWrap/>
            <w:hideMark/>
          </w:tcPr>
          <w:p w14:paraId="3F81AE61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eastAsia="Times New Roman" w:hAnsi="Calibri" w:cs="Calibri"/>
                <w:b/>
                <w:bCs/>
                <w:color w:val="000000"/>
              </w:rPr>
              <w:t>17 (57%)</w:t>
            </w:r>
          </w:p>
        </w:tc>
        <w:tc>
          <w:tcPr>
            <w:tcW w:w="758" w:type="pct"/>
            <w:tcBorders>
              <w:right w:val="nil"/>
            </w:tcBorders>
            <w:noWrap/>
            <w:hideMark/>
          </w:tcPr>
          <w:p w14:paraId="6D0B9CD2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4 (13%)</w:t>
            </w:r>
          </w:p>
        </w:tc>
      </w:tr>
      <w:tr w:rsidR="00C30A80" w:rsidRPr="0058519B" w14:paraId="4DD18592" w14:textId="77777777" w:rsidTr="005B2554">
        <w:trPr>
          <w:trHeight w:val="285"/>
        </w:trPr>
        <w:tc>
          <w:tcPr>
            <w:tcW w:w="1968" w:type="pct"/>
            <w:tcBorders>
              <w:left w:val="nil"/>
            </w:tcBorders>
            <w:noWrap/>
            <w:hideMark/>
          </w:tcPr>
          <w:p w14:paraId="27A0301D" w14:textId="77777777" w:rsidR="00C30A80" w:rsidRPr="00C30A80" w:rsidRDefault="00C30A80" w:rsidP="005B2554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East of England</w:t>
            </w:r>
          </w:p>
        </w:tc>
        <w:tc>
          <w:tcPr>
            <w:tcW w:w="758" w:type="pct"/>
            <w:noWrap/>
            <w:hideMark/>
          </w:tcPr>
          <w:p w14:paraId="47628334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6 (13%)</w:t>
            </w:r>
          </w:p>
        </w:tc>
        <w:tc>
          <w:tcPr>
            <w:tcW w:w="758" w:type="pct"/>
            <w:noWrap/>
            <w:hideMark/>
          </w:tcPr>
          <w:p w14:paraId="29504459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eastAsia="Times New Roman" w:hAnsi="Calibri" w:cs="Calibri"/>
                <w:b/>
                <w:bCs/>
                <w:color w:val="000000"/>
              </w:rPr>
              <w:t>22 (49%)</w:t>
            </w:r>
          </w:p>
        </w:tc>
        <w:tc>
          <w:tcPr>
            <w:tcW w:w="758" w:type="pct"/>
            <w:noWrap/>
            <w:hideMark/>
          </w:tcPr>
          <w:p w14:paraId="075AD7BD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12 (27%)</w:t>
            </w:r>
          </w:p>
        </w:tc>
        <w:tc>
          <w:tcPr>
            <w:tcW w:w="758" w:type="pct"/>
            <w:tcBorders>
              <w:right w:val="nil"/>
            </w:tcBorders>
            <w:noWrap/>
            <w:hideMark/>
          </w:tcPr>
          <w:p w14:paraId="43131320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5 (11%)</w:t>
            </w:r>
          </w:p>
        </w:tc>
      </w:tr>
      <w:tr w:rsidR="00C30A80" w:rsidRPr="0058519B" w14:paraId="1D14B1DD" w14:textId="77777777" w:rsidTr="005B2554">
        <w:trPr>
          <w:trHeight w:val="285"/>
        </w:trPr>
        <w:tc>
          <w:tcPr>
            <w:tcW w:w="1968" w:type="pct"/>
            <w:tcBorders>
              <w:left w:val="nil"/>
            </w:tcBorders>
            <w:noWrap/>
            <w:hideMark/>
          </w:tcPr>
          <w:p w14:paraId="79FE0ECC" w14:textId="77777777" w:rsidR="00C30A80" w:rsidRPr="00C30A80" w:rsidRDefault="00C30A80" w:rsidP="005B2554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London</w:t>
            </w:r>
          </w:p>
        </w:tc>
        <w:tc>
          <w:tcPr>
            <w:tcW w:w="758" w:type="pct"/>
            <w:noWrap/>
            <w:hideMark/>
          </w:tcPr>
          <w:p w14:paraId="228AA35E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eastAsia="Times New Roman" w:hAnsi="Calibri" w:cs="Calibri"/>
                <w:b/>
                <w:bCs/>
                <w:color w:val="000000"/>
              </w:rPr>
              <w:t>16 (50%)</w:t>
            </w:r>
          </w:p>
        </w:tc>
        <w:tc>
          <w:tcPr>
            <w:tcW w:w="758" w:type="pct"/>
            <w:noWrap/>
            <w:hideMark/>
          </w:tcPr>
          <w:p w14:paraId="3BAA1F58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eastAsia="Times New Roman" w:hAnsi="Calibri" w:cs="Calibri"/>
                <w:b/>
                <w:bCs/>
                <w:color w:val="000000"/>
              </w:rPr>
              <w:t>15 (47%)</w:t>
            </w:r>
          </w:p>
        </w:tc>
        <w:tc>
          <w:tcPr>
            <w:tcW w:w="758" w:type="pct"/>
            <w:noWrap/>
            <w:hideMark/>
          </w:tcPr>
          <w:p w14:paraId="088156C7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1 (3%)</w:t>
            </w:r>
          </w:p>
        </w:tc>
        <w:tc>
          <w:tcPr>
            <w:tcW w:w="758" w:type="pct"/>
            <w:tcBorders>
              <w:right w:val="nil"/>
            </w:tcBorders>
            <w:noWrap/>
            <w:hideMark/>
          </w:tcPr>
          <w:p w14:paraId="64EAC1AB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 xml:space="preserve"> (0%)</w:t>
            </w:r>
          </w:p>
        </w:tc>
      </w:tr>
      <w:tr w:rsidR="00C30A80" w:rsidRPr="0058519B" w14:paraId="3BAB879C" w14:textId="77777777" w:rsidTr="005B2554">
        <w:trPr>
          <w:trHeight w:val="285"/>
        </w:trPr>
        <w:tc>
          <w:tcPr>
            <w:tcW w:w="1968" w:type="pct"/>
            <w:tcBorders>
              <w:left w:val="nil"/>
              <w:bottom w:val="single" w:sz="4" w:space="0" w:color="BFBFBF" w:themeColor="background1" w:themeShade="BF"/>
            </w:tcBorders>
            <w:noWrap/>
            <w:hideMark/>
          </w:tcPr>
          <w:p w14:paraId="3DF81E9D" w14:textId="77777777" w:rsidR="00C30A80" w:rsidRPr="00C30A80" w:rsidRDefault="00C30A80" w:rsidP="005B2554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30A80">
              <w:rPr>
                <w:rFonts w:ascii="Calibri" w:eastAsia="Times New Roman" w:hAnsi="Calibri" w:cs="Calibri"/>
                <w:color w:val="000000"/>
              </w:rPr>
              <w:t>South East</w:t>
            </w:r>
            <w:proofErr w:type="gramEnd"/>
          </w:p>
        </w:tc>
        <w:tc>
          <w:tcPr>
            <w:tcW w:w="758" w:type="pct"/>
            <w:tcBorders>
              <w:bottom w:val="single" w:sz="4" w:space="0" w:color="BFBFBF" w:themeColor="background1" w:themeShade="BF"/>
            </w:tcBorders>
            <w:noWrap/>
            <w:hideMark/>
          </w:tcPr>
          <w:p w14:paraId="72BB30C4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11 (16%)</w:t>
            </w:r>
          </w:p>
        </w:tc>
        <w:tc>
          <w:tcPr>
            <w:tcW w:w="758" w:type="pct"/>
            <w:tcBorders>
              <w:bottom w:val="single" w:sz="4" w:space="0" w:color="BFBFBF" w:themeColor="background1" w:themeShade="BF"/>
            </w:tcBorders>
            <w:noWrap/>
            <w:hideMark/>
          </w:tcPr>
          <w:p w14:paraId="124AD733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eastAsia="Times New Roman" w:hAnsi="Calibri" w:cs="Calibri"/>
                <w:b/>
                <w:bCs/>
                <w:color w:val="000000"/>
              </w:rPr>
              <w:t>32 (48%)</w:t>
            </w:r>
          </w:p>
        </w:tc>
        <w:tc>
          <w:tcPr>
            <w:tcW w:w="758" w:type="pct"/>
            <w:tcBorders>
              <w:bottom w:val="single" w:sz="4" w:space="0" w:color="BFBFBF" w:themeColor="background1" w:themeShade="BF"/>
            </w:tcBorders>
            <w:noWrap/>
            <w:hideMark/>
          </w:tcPr>
          <w:p w14:paraId="5C2E8D14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17 (25%)</w:t>
            </w:r>
          </w:p>
        </w:tc>
        <w:tc>
          <w:tcPr>
            <w:tcW w:w="758" w:type="pct"/>
            <w:tcBorders>
              <w:bottom w:val="single" w:sz="4" w:space="0" w:color="BFBFBF" w:themeColor="background1" w:themeShade="BF"/>
              <w:right w:val="nil"/>
            </w:tcBorders>
            <w:noWrap/>
            <w:hideMark/>
          </w:tcPr>
          <w:p w14:paraId="00E71209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7 (10%)</w:t>
            </w:r>
          </w:p>
        </w:tc>
      </w:tr>
      <w:tr w:rsidR="00C30A80" w:rsidRPr="0058519B" w14:paraId="470C0927" w14:textId="77777777" w:rsidTr="005B2554">
        <w:trPr>
          <w:trHeight w:val="285"/>
        </w:trPr>
        <w:tc>
          <w:tcPr>
            <w:tcW w:w="1968" w:type="pct"/>
            <w:tcBorders>
              <w:left w:val="nil"/>
              <w:bottom w:val="single" w:sz="12" w:space="0" w:color="auto"/>
            </w:tcBorders>
            <w:noWrap/>
            <w:hideMark/>
          </w:tcPr>
          <w:p w14:paraId="3E7E492F" w14:textId="77777777" w:rsidR="00C30A80" w:rsidRPr="00C30A80" w:rsidRDefault="00C30A80" w:rsidP="005B2554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30A80">
              <w:rPr>
                <w:rFonts w:ascii="Calibri" w:eastAsia="Times New Roman" w:hAnsi="Calibri" w:cs="Calibri"/>
                <w:color w:val="000000"/>
              </w:rPr>
              <w:t>South West</w:t>
            </w:r>
            <w:proofErr w:type="gramEnd"/>
          </w:p>
        </w:tc>
        <w:tc>
          <w:tcPr>
            <w:tcW w:w="758" w:type="pct"/>
            <w:tcBorders>
              <w:bottom w:val="single" w:sz="12" w:space="0" w:color="auto"/>
            </w:tcBorders>
            <w:noWrap/>
            <w:hideMark/>
          </w:tcPr>
          <w:p w14:paraId="0DCA6964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2 (7%)</w:t>
            </w:r>
          </w:p>
        </w:tc>
        <w:tc>
          <w:tcPr>
            <w:tcW w:w="758" w:type="pct"/>
            <w:tcBorders>
              <w:bottom w:val="single" w:sz="12" w:space="0" w:color="auto"/>
            </w:tcBorders>
            <w:noWrap/>
            <w:hideMark/>
          </w:tcPr>
          <w:p w14:paraId="2939E896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6 (21%)</w:t>
            </w:r>
          </w:p>
        </w:tc>
        <w:tc>
          <w:tcPr>
            <w:tcW w:w="758" w:type="pct"/>
            <w:tcBorders>
              <w:bottom w:val="single" w:sz="12" w:space="0" w:color="auto"/>
            </w:tcBorders>
            <w:noWrap/>
            <w:hideMark/>
          </w:tcPr>
          <w:p w14:paraId="2D9C925E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0A80">
              <w:rPr>
                <w:rFonts w:ascii="Calibri" w:eastAsia="Times New Roman" w:hAnsi="Calibri" w:cs="Calibri"/>
                <w:b/>
                <w:bCs/>
                <w:color w:val="000000"/>
              </w:rPr>
              <w:t>13 (45%)</w:t>
            </w:r>
          </w:p>
        </w:tc>
        <w:tc>
          <w:tcPr>
            <w:tcW w:w="758" w:type="pct"/>
            <w:tcBorders>
              <w:bottom w:val="single" w:sz="12" w:space="0" w:color="auto"/>
              <w:right w:val="nil"/>
            </w:tcBorders>
            <w:noWrap/>
            <w:hideMark/>
          </w:tcPr>
          <w:p w14:paraId="6AA7EBC0" w14:textId="77777777" w:rsidR="00C30A80" w:rsidRPr="00C30A80" w:rsidRDefault="00C30A80" w:rsidP="005B2554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0A80">
              <w:rPr>
                <w:rFonts w:ascii="Calibri" w:eastAsia="Times New Roman" w:hAnsi="Calibri" w:cs="Calibri"/>
                <w:color w:val="000000"/>
              </w:rPr>
              <w:t>8 (28%)</w:t>
            </w:r>
          </w:p>
        </w:tc>
      </w:tr>
    </w:tbl>
    <w:p w14:paraId="27E6B579" w14:textId="0A13622B" w:rsidR="00C30A80" w:rsidRDefault="00C30A80" w:rsidP="00C30A80">
      <w:pPr>
        <w:spacing w:after="0" w:line="276" w:lineRule="auto"/>
        <w:rPr>
          <w:rFonts w:ascii="Calibri" w:hAnsi="Calibri" w:cs="Calibri"/>
        </w:rPr>
      </w:pPr>
    </w:p>
    <w:p w14:paraId="61F46E32" w14:textId="64538C23" w:rsidR="00FD3CB5" w:rsidRDefault="00FD3CB5" w:rsidP="00FD3CB5">
      <w:pPr>
        <w:spacing w:after="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>Response</w:t>
      </w:r>
      <w:r w:rsidRPr="00C30A80">
        <w:rPr>
          <w:rFonts w:ascii="Calibri" w:hAnsi="Calibri" w:cs="Calibri"/>
          <w:b/>
          <w:bCs/>
        </w:rPr>
        <w:t xml:space="preserve"> #</w:t>
      </w:r>
      <w:r>
        <w:rPr>
          <w:rFonts w:ascii="Calibri" w:hAnsi="Calibri" w:cs="Calibri" w:hint="eastAsia"/>
          <w:b/>
          <w:bCs/>
        </w:rPr>
        <w:t>2</w:t>
      </w:r>
    </w:p>
    <w:p w14:paraId="392009DF" w14:textId="53FDD711" w:rsidR="004C3074" w:rsidRPr="004C3074" w:rsidRDefault="004C3074" w:rsidP="004C3074">
      <w:pPr>
        <w:spacing w:after="0" w:line="276" w:lineRule="auto"/>
        <w:rPr>
          <w:rFonts w:ascii="Calibri" w:hAnsi="Calibri" w:cs="Calibri"/>
        </w:rPr>
      </w:pPr>
      <w:r w:rsidRPr="004C3074">
        <w:rPr>
          <w:rFonts w:ascii="Calibri" w:hAnsi="Calibri" w:cs="Calibri"/>
        </w:rPr>
        <w:t xml:space="preserve">I agree entirely with your idea. While numerous papers have explored mobility levels during the COVID-19 pandemic, </w:t>
      </w:r>
      <w:r>
        <w:rPr>
          <w:rFonts w:ascii="Calibri" w:hAnsi="Calibri" w:cs="Calibri"/>
        </w:rPr>
        <w:t xml:space="preserve">still </w:t>
      </w:r>
      <w:r w:rsidRPr="004C3074">
        <w:rPr>
          <w:rFonts w:ascii="Calibri" w:hAnsi="Calibri" w:cs="Calibri"/>
        </w:rPr>
        <w:t>few have employed longitudinal data to</w:t>
      </w:r>
      <w:r>
        <w:rPr>
          <w:rFonts w:ascii="Calibri" w:hAnsi="Calibri" w:cs="Calibri"/>
        </w:rPr>
        <w:t xml:space="preserve"> analyse </w:t>
      </w:r>
      <w:r w:rsidRPr="004C3074">
        <w:rPr>
          <w:rFonts w:ascii="Calibri" w:hAnsi="Calibri" w:cs="Calibri"/>
        </w:rPr>
        <w:t xml:space="preserve">the efficacy of strict nationwide lockdown measures. Therefore, </w:t>
      </w:r>
      <w:r>
        <w:rPr>
          <w:rFonts w:ascii="Calibri" w:hAnsi="Calibri" w:cs="Calibri"/>
        </w:rPr>
        <w:t xml:space="preserve">I would like to stress </w:t>
      </w:r>
      <w:r w:rsidRPr="004C3074">
        <w:rPr>
          <w:rFonts w:ascii="Calibri" w:hAnsi="Calibri" w:cs="Calibri"/>
        </w:rPr>
        <w:t xml:space="preserve">the novelty of this paper </w:t>
      </w:r>
      <w:r>
        <w:rPr>
          <w:rFonts w:ascii="Calibri" w:hAnsi="Calibri" w:cs="Calibri"/>
        </w:rPr>
        <w:t xml:space="preserve">would be </w:t>
      </w:r>
      <w:r w:rsidRPr="004C3074">
        <w:rPr>
          <w:rFonts w:ascii="Calibri" w:hAnsi="Calibri" w:cs="Calibri"/>
        </w:rPr>
        <w:t>providing evidence as to why such measures were deemed sufficient prior to the availability of pharmaceutical interventions, such as COVID-19 vaccines. However, in the longer term, such measures can lead to fatigue and a rapid bounce-back of mobility, resulting in a lack of control over the spread of the virus over time.</w:t>
      </w:r>
    </w:p>
    <w:p w14:paraId="4715EA7D" w14:textId="77777777" w:rsidR="004C3074" w:rsidRPr="008E17AC" w:rsidRDefault="004C3074" w:rsidP="008E17AC">
      <w:pPr>
        <w:spacing w:after="0" w:line="276" w:lineRule="auto"/>
        <w:rPr>
          <w:rFonts w:ascii="Calibri" w:hAnsi="Calibri" w:cs="Calibri"/>
        </w:rPr>
      </w:pPr>
    </w:p>
    <w:p w14:paraId="773D2BD7" w14:textId="38189A1A" w:rsidR="008E17AC" w:rsidRDefault="008E17AC" w:rsidP="008E17AC">
      <w:pPr>
        <w:spacing w:after="0" w:line="276" w:lineRule="auto"/>
        <w:rPr>
          <w:rFonts w:ascii="Calibri" w:hAnsi="Calibri" w:cs="Calibri"/>
        </w:rPr>
      </w:pPr>
      <w:r w:rsidRPr="008E17AC">
        <w:rPr>
          <w:rFonts w:ascii="Calibri" w:hAnsi="Calibri" w:cs="Calibri"/>
        </w:rPr>
        <w:lastRenderedPageBreak/>
        <w:t xml:space="preserve">There </w:t>
      </w:r>
      <w:r w:rsidR="004C3074">
        <w:rPr>
          <w:rFonts w:ascii="Calibri" w:hAnsi="Calibri" w:cs="Calibri"/>
        </w:rPr>
        <w:t>are several</w:t>
      </w:r>
      <w:r>
        <w:rPr>
          <w:rFonts w:ascii="Calibri" w:hAnsi="Calibri" w:cs="Calibri"/>
        </w:rPr>
        <w:t xml:space="preserve"> </w:t>
      </w:r>
      <w:r w:rsidRPr="008E17AC">
        <w:rPr>
          <w:rFonts w:ascii="Calibri" w:hAnsi="Calibri" w:cs="Calibri"/>
        </w:rPr>
        <w:t>discussion points</w:t>
      </w:r>
      <w:r w:rsidR="004C3074">
        <w:rPr>
          <w:rFonts w:ascii="Calibri" w:hAnsi="Calibri" w:cs="Calibri"/>
        </w:rPr>
        <w:t xml:space="preserve"> that we could refine it with </w:t>
      </w:r>
      <w:r w:rsidRPr="008E17AC">
        <w:rPr>
          <w:rFonts w:ascii="Calibri" w:hAnsi="Calibri" w:cs="Calibri"/>
        </w:rPr>
        <w:t>your suggestions</w:t>
      </w:r>
      <w:r>
        <w:rPr>
          <w:rFonts w:ascii="Calibri" w:hAnsi="Calibri" w:cs="Calibri"/>
        </w:rPr>
        <w:t xml:space="preserve"> to recalibrate the paper structure and contents</w:t>
      </w:r>
      <w:r w:rsidRPr="008E17AC">
        <w:rPr>
          <w:rFonts w:ascii="Calibri" w:hAnsi="Calibri" w:cs="Calibri"/>
        </w:rPr>
        <w:t xml:space="preserve">. For example, the paper could focus on the methodological contributions of </w:t>
      </w:r>
      <w:r w:rsidR="004C3074">
        <w:rPr>
          <w:rFonts w:ascii="Calibri" w:hAnsi="Calibri" w:cs="Calibri"/>
        </w:rPr>
        <w:t>data mining</w:t>
      </w:r>
      <w:r w:rsidRPr="008E17AC">
        <w:rPr>
          <w:rFonts w:ascii="Calibri" w:hAnsi="Calibri" w:cs="Calibri"/>
        </w:rPr>
        <w:t xml:space="preserve"> or explore how </w:t>
      </w:r>
      <w:r w:rsidR="004C3074">
        <w:rPr>
          <w:rFonts w:ascii="Calibri" w:hAnsi="Calibri" w:cs="Calibri"/>
        </w:rPr>
        <w:t>analysis outcomes</w:t>
      </w:r>
      <w:r w:rsidRPr="008E17AC">
        <w:rPr>
          <w:rFonts w:ascii="Calibri" w:hAnsi="Calibri" w:cs="Calibri"/>
        </w:rPr>
        <w:t xml:space="preserve"> could be applied to promote sustainable and resilient urban management for preventing future pandemics and </w:t>
      </w:r>
      <w:r w:rsidRPr="008E17AC">
        <w:rPr>
          <w:rFonts w:ascii="Calibri" w:hAnsi="Calibri" w:cs="Calibri"/>
        </w:rPr>
        <w:t>epidemics.</w:t>
      </w:r>
    </w:p>
    <w:p w14:paraId="7F5D4D81" w14:textId="77777777" w:rsidR="008E17AC" w:rsidRDefault="008E17AC" w:rsidP="00C30A80">
      <w:pPr>
        <w:spacing w:after="0" w:line="276" w:lineRule="auto"/>
        <w:rPr>
          <w:rFonts w:ascii="Calibri" w:hAnsi="Calibri" w:cs="Calibri"/>
        </w:rPr>
      </w:pPr>
    </w:p>
    <w:p w14:paraId="2D1AE6BC" w14:textId="085550ED" w:rsidR="004C3074" w:rsidRPr="00C30A80" w:rsidRDefault="008E17AC" w:rsidP="004C3074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do let me know your thoughts and ideas </w:t>
      </w:r>
      <w:r w:rsidR="004C3074">
        <w:rPr>
          <w:rFonts w:ascii="Calibri" w:hAnsi="Calibri" w:cs="Calibri"/>
        </w:rPr>
        <w:t xml:space="preserve">on </w:t>
      </w:r>
      <w:r>
        <w:rPr>
          <w:rFonts w:ascii="Calibri" w:hAnsi="Calibri" w:cs="Calibri"/>
        </w:rPr>
        <w:t>what would be more attractive or sensible for the revision of this manuscript. With your suggestion and refram</w:t>
      </w:r>
      <w:r w:rsidR="004C3074">
        <w:rPr>
          <w:rFonts w:ascii="Calibri" w:hAnsi="Calibri" w:cs="Calibri"/>
        </w:rPr>
        <w:t>ing</w:t>
      </w:r>
      <w:r>
        <w:rPr>
          <w:rFonts w:ascii="Calibri" w:hAnsi="Calibri" w:cs="Calibri"/>
        </w:rPr>
        <w:t xml:space="preserve">, I can reconstruct the manuscript </w:t>
      </w:r>
      <w:r w:rsidR="004C3074">
        <w:rPr>
          <w:rFonts w:ascii="Calibri" w:hAnsi="Calibri" w:cs="Calibri"/>
        </w:rPr>
        <w:t xml:space="preserve">and select rigorous references to support our research questions and discussion items. This work is a top priority on </w:t>
      </w:r>
      <w:r w:rsidR="004C3074" w:rsidRPr="004C3074">
        <w:rPr>
          <w:rFonts w:ascii="Calibri" w:hAnsi="Calibri" w:cs="Calibri"/>
        </w:rPr>
        <w:t>my schedule for next month.</w:t>
      </w:r>
    </w:p>
    <w:sectPr w:rsidR="004C3074" w:rsidRPr="00C30A80" w:rsidSect="00544A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7C4"/>
    <w:multiLevelType w:val="hybridMultilevel"/>
    <w:tmpl w:val="315CDEDA"/>
    <w:lvl w:ilvl="0" w:tplc="0CD80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35636"/>
    <w:multiLevelType w:val="hybridMultilevel"/>
    <w:tmpl w:val="C7604A28"/>
    <w:lvl w:ilvl="0" w:tplc="4BCE6B6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8695E"/>
    <w:multiLevelType w:val="hybridMultilevel"/>
    <w:tmpl w:val="0C660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70449"/>
    <w:multiLevelType w:val="hybridMultilevel"/>
    <w:tmpl w:val="28243400"/>
    <w:lvl w:ilvl="0" w:tplc="D0DAE2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87F65"/>
    <w:multiLevelType w:val="hybridMultilevel"/>
    <w:tmpl w:val="BEF2E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E7373"/>
    <w:multiLevelType w:val="hybridMultilevel"/>
    <w:tmpl w:val="E78EE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C7B3A"/>
    <w:multiLevelType w:val="hybridMultilevel"/>
    <w:tmpl w:val="D0B09BE2"/>
    <w:lvl w:ilvl="0" w:tplc="A6E886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0242C"/>
    <w:multiLevelType w:val="hybridMultilevel"/>
    <w:tmpl w:val="D9DC8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2341E"/>
    <w:multiLevelType w:val="hybridMultilevel"/>
    <w:tmpl w:val="5CF24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F2CF0"/>
    <w:multiLevelType w:val="hybridMultilevel"/>
    <w:tmpl w:val="90F69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C2523"/>
    <w:multiLevelType w:val="hybridMultilevel"/>
    <w:tmpl w:val="71C28314"/>
    <w:lvl w:ilvl="0" w:tplc="C2829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176285">
    <w:abstractNumId w:val="4"/>
  </w:num>
  <w:num w:numId="2" w16cid:durableId="1913348928">
    <w:abstractNumId w:val="7"/>
  </w:num>
  <w:num w:numId="3" w16cid:durableId="1293485842">
    <w:abstractNumId w:val="8"/>
  </w:num>
  <w:num w:numId="4" w16cid:durableId="1114864193">
    <w:abstractNumId w:val="5"/>
  </w:num>
  <w:num w:numId="5" w16cid:durableId="1349138523">
    <w:abstractNumId w:val="9"/>
  </w:num>
  <w:num w:numId="6" w16cid:durableId="1317101336">
    <w:abstractNumId w:val="6"/>
  </w:num>
  <w:num w:numId="7" w16cid:durableId="2088454575">
    <w:abstractNumId w:val="0"/>
  </w:num>
  <w:num w:numId="8" w16cid:durableId="548423143">
    <w:abstractNumId w:val="10"/>
  </w:num>
  <w:num w:numId="9" w16cid:durableId="1493135468">
    <w:abstractNumId w:val="1"/>
  </w:num>
  <w:num w:numId="10" w16cid:durableId="652026247">
    <w:abstractNumId w:val="3"/>
  </w:num>
  <w:num w:numId="11" w16cid:durableId="1061296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92"/>
    <w:rsid w:val="00066292"/>
    <w:rsid w:val="001060F4"/>
    <w:rsid w:val="002F3A2B"/>
    <w:rsid w:val="004C3074"/>
    <w:rsid w:val="00544A6E"/>
    <w:rsid w:val="00575668"/>
    <w:rsid w:val="00656A69"/>
    <w:rsid w:val="006D51C6"/>
    <w:rsid w:val="006D7A5D"/>
    <w:rsid w:val="008E17AC"/>
    <w:rsid w:val="00AA554E"/>
    <w:rsid w:val="00C30A80"/>
    <w:rsid w:val="00E05CEA"/>
    <w:rsid w:val="00FB1B23"/>
    <w:rsid w:val="00FD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2839"/>
  <w15:chartTrackingRefBased/>
  <w15:docId w15:val="{43529F35-A9B2-4FAF-8E84-F5D95B84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92"/>
    <w:pPr>
      <w:ind w:left="720"/>
      <w:contextualSpacing/>
    </w:pPr>
  </w:style>
  <w:style w:type="table" w:styleId="TableGrid">
    <w:name w:val="Table Grid"/>
    <w:basedOn w:val="TableNormal"/>
    <w:uiPriority w:val="39"/>
    <w:rsid w:val="0006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1B23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B1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B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B2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544A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f0">
    <w:name w:val="pf0"/>
    <w:basedOn w:val="Normal"/>
    <w:rsid w:val="00C30A80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C30A80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10.1016/j.jtrangeo.2017.12.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24694452.2021.1939647" TargetMode="External"/><Relationship Id="rId5" Type="http://schemas.openxmlformats.org/officeDocument/2006/relationships/hyperlink" Target="https://doi.org/10.1016/j.scs.2022.1043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%20-%20Nexus365\WORK\Document\RESEARCH\COVID19\09_IJGS%20SI\DATA_REVISION\PROCESS\3rd_RESULT\rel\rel1\median,per.changes.by.date.clu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[median.per.changes.by.date.clu.xlsx]Sheet2!PivotTable2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CA0020"/>
            </a:solidFill>
            <a:round/>
          </a:ln>
          <a:effectLst/>
        </c:spPr>
        <c:marker>
          <c:symbol val="circle"/>
          <c:size val="5"/>
          <c:spPr>
            <a:solidFill>
              <a:srgbClr val="CA0020"/>
            </a:solidFill>
            <a:ln w="9525">
              <a:solidFill>
                <a:srgbClr val="CA002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rgbClr val="F4A582"/>
            </a:solidFill>
            <a:round/>
          </a:ln>
          <a:effectLst/>
        </c:spPr>
        <c:marker>
          <c:symbol val="circle"/>
          <c:size val="5"/>
          <c:spPr>
            <a:solidFill>
              <a:srgbClr val="F4A582"/>
            </a:solidFill>
            <a:ln w="9525">
              <a:solidFill>
                <a:srgbClr val="F4A58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rgbClr val="92C5DE"/>
            </a:solidFill>
            <a:round/>
          </a:ln>
          <a:effectLst/>
        </c:spPr>
        <c:marker>
          <c:symbol val="circle"/>
          <c:size val="5"/>
          <c:spPr>
            <a:solidFill>
              <a:srgbClr val="92C5DE"/>
            </a:solidFill>
            <a:ln w="9525">
              <a:solidFill>
                <a:srgbClr val="92C5DE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rgbClr val="0571B0"/>
            </a:solidFill>
            <a:round/>
          </a:ln>
          <a:effectLst/>
        </c:spPr>
        <c:marker>
          <c:symbol val="circle"/>
          <c:size val="5"/>
          <c:spPr>
            <a:solidFill>
              <a:srgbClr val="0571B0"/>
            </a:solidFill>
            <a:ln w="9525">
              <a:solidFill>
                <a:srgbClr val="0571B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rgbClr val="CA0020"/>
            </a:solidFill>
            <a:round/>
          </a:ln>
          <a:effectLst/>
        </c:spPr>
        <c:marker>
          <c:symbol val="circle"/>
          <c:size val="5"/>
          <c:spPr>
            <a:solidFill>
              <a:srgbClr val="CA0020"/>
            </a:solidFill>
            <a:ln w="9525">
              <a:solidFill>
                <a:srgbClr val="CA002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rgbClr val="F4A582"/>
            </a:solidFill>
            <a:round/>
          </a:ln>
          <a:effectLst/>
        </c:spPr>
        <c:marker>
          <c:symbol val="circle"/>
          <c:size val="5"/>
          <c:spPr>
            <a:solidFill>
              <a:srgbClr val="F4A582"/>
            </a:solidFill>
            <a:ln w="9525">
              <a:solidFill>
                <a:srgbClr val="F4A58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rgbClr val="92C5DE"/>
            </a:solidFill>
            <a:round/>
          </a:ln>
          <a:effectLst/>
        </c:spPr>
        <c:marker>
          <c:symbol val="circle"/>
          <c:size val="5"/>
          <c:spPr>
            <a:solidFill>
              <a:srgbClr val="92C5DE"/>
            </a:solidFill>
            <a:ln w="9525">
              <a:solidFill>
                <a:srgbClr val="92C5DE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0571B0"/>
            </a:solidFill>
            <a:round/>
          </a:ln>
          <a:effectLst/>
        </c:spPr>
        <c:marker>
          <c:symbol val="circle"/>
          <c:size val="5"/>
          <c:spPr>
            <a:solidFill>
              <a:srgbClr val="0571B0"/>
            </a:solidFill>
            <a:ln w="9525">
              <a:solidFill>
                <a:srgbClr val="0571B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rgbClr val="CA0020"/>
            </a:solidFill>
            <a:round/>
          </a:ln>
          <a:effectLst/>
        </c:spPr>
        <c:marker>
          <c:symbol val="circle"/>
          <c:size val="5"/>
          <c:spPr>
            <a:solidFill>
              <a:srgbClr val="CA0020"/>
            </a:solidFill>
            <a:ln w="9525">
              <a:solidFill>
                <a:srgbClr val="CA002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rgbClr val="F4A582"/>
            </a:solidFill>
            <a:round/>
          </a:ln>
          <a:effectLst/>
        </c:spPr>
        <c:marker>
          <c:symbol val="circle"/>
          <c:size val="5"/>
          <c:spPr>
            <a:solidFill>
              <a:srgbClr val="F4A582"/>
            </a:solidFill>
            <a:ln w="9525">
              <a:solidFill>
                <a:srgbClr val="F4A58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rgbClr val="92C5DE"/>
            </a:solidFill>
            <a:round/>
          </a:ln>
          <a:effectLst/>
        </c:spPr>
        <c:marker>
          <c:symbol val="circle"/>
          <c:size val="5"/>
          <c:spPr>
            <a:solidFill>
              <a:srgbClr val="92C5DE"/>
            </a:solidFill>
            <a:ln w="9525">
              <a:solidFill>
                <a:srgbClr val="92C5DE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rgbClr val="0571B0"/>
            </a:solidFill>
            <a:round/>
          </a:ln>
          <a:effectLst/>
        </c:spPr>
        <c:marker>
          <c:symbol val="circle"/>
          <c:size val="5"/>
          <c:spPr>
            <a:solidFill>
              <a:srgbClr val="0571B0"/>
            </a:solidFill>
            <a:ln w="9525">
              <a:solidFill>
                <a:srgbClr val="0571B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G1</c:v>
                </c:pt>
              </c:strCache>
            </c:strRef>
          </c:tx>
          <c:spPr>
            <a:ln w="28575" cap="rnd">
              <a:solidFill>
                <a:srgbClr val="CA002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A0020"/>
              </a:solidFill>
              <a:ln w="9525">
                <a:solidFill>
                  <a:srgbClr val="CA0020"/>
                </a:solidFill>
              </a:ln>
              <a:effectLst/>
            </c:spPr>
          </c:marker>
          <c:cat>
            <c:multiLvlStrRef>
              <c:f>Sheet2!$A$5:$A$109</c:f>
              <c:multiLvlStrCache>
                <c:ptCount val="100"/>
                <c:lvl>
                  <c:pt idx="0">
                    <c:v>13-Mar</c:v>
                  </c:pt>
                  <c:pt idx="1">
                    <c:v>14-Mar</c:v>
                  </c:pt>
                  <c:pt idx="2">
                    <c:v>15-Mar</c:v>
                  </c:pt>
                  <c:pt idx="3">
                    <c:v>16-Mar</c:v>
                  </c:pt>
                  <c:pt idx="4">
                    <c:v>17-Mar</c:v>
                  </c:pt>
                  <c:pt idx="5">
                    <c:v>18-Mar</c:v>
                  </c:pt>
                  <c:pt idx="6">
                    <c:v>19-Mar</c:v>
                  </c:pt>
                  <c:pt idx="7">
                    <c:v>20-Mar</c:v>
                  </c:pt>
                  <c:pt idx="8">
                    <c:v>21-Mar</c:v>
                  </c:pt>
                  <c:pt idx="9">
                    <c:v>22-Mar</c:v>
                  </c:pt>
                  <c:pt idx="10">
                    <c:v>23-Mar</c:v>
                  </c:pt>
                  <c:pt idx="11">
                    <c:v>24-Mar</c:v>
                  </c:pt>
                  <c:pt idx="12">
                    <c:v>25-Mar</c:v>
                  </c:pt>
                  <c:pt idx="13">
                    <c:v>26-Mar</c:v>
                  </c:pt>
                  <c:pt idx="14">
                    <c:v>27-Mar</c:v>
                  </c:pt>
                  <c:pt idx="15">
                    <c:v>28-Mar</c:v>
                  </c:pt>
                  <c:pt idx="16">
                    <c:v>29-Mar</c:v>
                  </c:pt>
                  <c:pt idx="17">
                    <c:v>30-Mar</c:v>
                  </c:pt>
                  <c:pt idx="18">
                    <c:v>31-Mar</c:v>
                  </c:pt>
                  <c:pt idx="19">
                    <c:v>01-Apr</c:v>
                  </c:pt>
                  <c:pt idx="20">
                    <c:v>02-Apr</c:v>
                  </c:pt>
                  <c:pt idx="21">
                    <c:v>03-Apr</c:v>
                  </c:pt>
                  <c:pt idx="22">
                    <c:v>04-Apr</c:v>
                  </c:pt>
                  <c:pt idx="23">
                    <c:v>05-Apr</c:v>
                  </c:pt>
                  <c:pt idx="24">
                    <c:v>06-Apr</c:v>
                  </c:pt>
                  <c:pt idx="25">
                    <c:v>07-Apr</c:v>
                  </c:pt>
                  <c:pt idx="26">
                    <c:v>08-Apr</c:v>
                  </c:pt>
                  <c:pt idx="27">
                    <c:v>09-Apr</c:v>
                  </c:pt>
                  <c:pt idx="28">
                    <c:v>10-Apr</c:v>
                  </c:pt>
                  <c:pt idx="29">
                    <c:v>11-Apr</c:v>
                  </c:pt>
                  <c:pt idx="30">
                    <c:v>12-Apr</c:v>
                  </c:pt>
                  <c:pt idx="31">
                    <c:v>13-Apr</c:v>
                  </c:pt>
                  <c:pt idx="32">
                    <c:v>14-Apr</c:v>
                  </c:pt>
                  <c:pt idx="33">
                    <c:v>15-Apr</c:v>
                  </c:pt>
                  <c:pt idx="34">
                    <c:v>16-Apr</c:v>
                  </c:pt>
                  <c:pt idx="35">
                    <c:v>17-Apr</c:v>
                  </c:pt>
                  <c:pt idx="36">
                    <c:v>18-Apr</c:v>
                  </c:pt>
                  <c:pt idx="37">
                    <c:v>19-Apr</c:v>
                  </c:pt>
                  <c:pt idx="38">
                    <c:v>20-Apr</c:v>
                  </c:pt>
                  <c:pt idx="39">
                    <c:v>21-Apr</c:v>
                  </c:pt>
                  <c:pt idx="40">
                    <c:v>22-Apr</c:v>
                  </c:pt>
                  <c:pt idx="41">
                    <c:v>23-Apr</c:v>
                  </c:pt>
                  <c:pt idx="42">
                    <c:v>24-Apr</c:v>
                  </c:pt>
                  <c:pt idx="43">
                    <c:v>25-Apr</c:v>
                  </c:pt>
                  <c:pt idx="44">
                    <c:v>26-Apr</c:v>
                  </c:pt>
                  <c:pt idx="45">
                    <c:v>27-Apr</c:v>
                  </c:pt>
                  <c:pt idx="46">
                    <c:v>28-Apr</c:v>
                  </c:pt>
                  <c:pt idx="47">
                    <c:v>29-Apr</c:v>
                  </c:pt>
                  <c:pt idx="48">
                    <c:v>30-Apr</c:v>
                  </c:pt>
                  <c:pt idx="49">
                    <c:v>01-May</c:v>
                  </c:pt>
                  <c:pt idx="50">
                    <c:v>02-May</c:v>
                  </c:pt>
                  <c:pt idx="51">
                    <c:v>03-May</c:v>
                  </c:pt>
                  <c:pt idx="52">
                    <c:v>04-May</c:v>
                  </c:pt>
                  <c:pt idx="53">
                    <c:v>05-May</c:v>
                  </c:pt>
                  <c:pt idx="54">
                    <c:v>06-May</c:v>
                  </c:pt>
                  <c:pt idx="55">
                    <c:v>07-May</c:v>
                  </c:pt>
                  <c:pt idx="56">
                    <c:v>08-May</c:v>
                  </c:pt>
                  <c:pt idx="57">
                    <c:v>09-May</c:v>
                  </c:pt>
                  <c:pt idx="58">
                    <c:v>10-May</c:v>
                  </c:pt>
                  <c:pt idx="59">
                    <c:v>11-May</c:v>
                  </c:pt>
                  <c:pt idx="60">
                    <c:v>12-May</c:v>
                  </c:pt>
                  <c:pt idx="61">
                    <c:v>13-May</c:v>
                  </c:pt>
                  <c:pt idx="62">
                    <c:v>14-May</c:v>
                  </c:pt>
                  <c:pt idx="63">
                    <c:v>15-May</c:v>
                  </c:pt>
                  <c:pt idx="64">
                    <c:v>16-May</c:v>
                  </c:pt>
                  <c:pt idx="65">
                    <c:v>17-May</c:v>
                  </c:pt>
                  <c:pt idx="66">
                    <c:v>18-May</c:v>
                  </c:pt>
                  <c:pt idx="67">
                    <c:v>19-May</c:v>
                  </c:pt>
                  <c:pt idx="68">
                    <c:v>20-May</c:v>
                  </c:pt>
                  <c:pt idx="69">
                    <c:v>21-May</c:v>
                  </c:pt>
                  <c:pt idx="70">
                    <c:v>22-May</c:v>
                  </c:pt>
                  <c:pt idx="71">
                    <c:v>23-May</c:v>
                  </c:pt>
                  <c:pt idx="72">
                    <c:v>24-May</c:v>
                  </c:pt>
                  <c:pt idx="73">
                    <c:v>25-May</c:v>
                  </c:pt>
                  <c:pt idx="74">
                    <c:v>26-May</c:v>
                  </c:pt>
                  <c:pt idx="75">
                    <c:v>27-May</c:v>
                  </c:pt>
                  <c:pt idx="76">
                    <c:v>28-May</c:v>
                  </c:pt>
                  <c:pt idx="77">
                    <c:v>29-May</c:v>
                  </c:pt>
                  <c:pt idx="78">
                    <c:v>30-May</c:v>
                  </c:pt>
                  <c:pt idx="79">
                    <c:v>31-May</c:v>
                  </c:pt>
                  <c:pt idx="80">
                    <c:v>01-Jun</c:v>
                  </c:pt>
                  <c:pt idx="81">
                    <c:v>02-Jun</c:v>
                  </c:pt>
                  <c:pt idx="82">
                    <c:v>03-Jun</c:v>
                  </c:pt>
                  <c:pt idx="83">
                    <c:v>04-Jun</c:v>
                  </c:pt>
                  <c:pt idx="84">
                    <c:v>05-Jun</c:v>
                  </c:pt>
                  <c:pt idx="85">
                    <c:v>06-Jun</c:v>
                  </c:pt>
                  <c:pt idx="86">
                    <c:v>07-Jun</c:v>
                  </c:pt>
                  <c:pt idx="87">
                    <c:v>08-Jun</c:v>
                  </c:pt>
                  <c:pt idx="88">
                    <c:v>09-Jun</c:v>
                  </c:pt>
                  <c:pt idx="89">
                    <c:v>10-Jun</c:v>
                  </c:pt>
                  <c:pt idx="90">
                    <c:v>11-Jun</c:v>
                  </c:pt>
                  <c:pt idx="91">
                    <c:v>12-Jun</c:v>
                  </c:pt>
                  <c:pt idx="92">
                    <c:v>13-Jun</c:v>
                  </c:pt>
                  <c:pt idx="93">
                    <c:v>14-Jun</c:v>
                  </c:pt>
                  <c:pt idx="94">
                    <c:v>15-Jun</c:v>
                  </c:pt>
                  <c:pt idx="95">
                    <c:v>16-Jun</c:v>
                  </c:pt>
                  <c:pt idx="96">
                    <c:v>17-Jun</c:v>
                  </c:pt>
                  <c:pt idx="97">
                    <c:v>18-Jun</c:v>
                  </c:pt>
                  <c:pt idx="98">
                    <c:v>19-Jun</c:v>
                  </c:pt>
                  <c:pt idx="99">
                    <c:v>20-Jun</c:v>
                  </c:pt>
                </c:lvl>
                <c:lvl>
                  <c:pt idx="0">
                    <c:v>Mar</c:v>
                  </c:pt>
                  <c:pt idx="19">
                    <c:v>Apr</c:v>
                  </c:pt>
                  <c:pt idx="49">
                    <c:v>May</c:v>
                  </c:pt>
                  <c:pt idx="80">
                    <c:v>Jun</c:v>
                  </c:pt>
                </c:lvl>
              </c:multiLvlStrCache>
            </c:multiLvlStrRef>
          </c:cat>
          <c:val>
            <c:numRef>
              <c:f>Sheet2!$B$5:$B$109</c:f>
              <c:numCache>
                <c:formatCode>0.0</c:formatCode>
                <c:ptCount val="100"/>
                <c:pt idx="0">
                  <c:v>-6.2651331855868504</c:v>
                </c:pt>
                <c:pt idx="1">
                  <c:v>-28.9346725406178</c:v>
                </c:pt>
                <c:pt idx="2">
                  <c:v>-50.854820017428601</c:v>
                </c:pt>
                <c:pt idx="3">
                  <c:v>-18.494685663128099</c:v>
                </c:pt>
                <c:pt idx="4">
                  <c:v>-32.241218504770202</c:v>
                </c:pt>
                <c:pt idx="5">
                  <c:v>-41.425052170438398</c:v>
                </c:pt>
                <c:pt idx="6">
                  <c:v>-44.620551162235401</c:v>
                </c:pt>
                <c:pt idx="7">
                  <c:v>-47.170721026959299</c:v>
                </c:pt>
                <c:pt idx="8">
                  <c:v>-61.6714940595066</c:v>
                </c:pt>
                <c:pt idx="9">
                  <c:v>-73.163973277967997</c:v>
                </c:pt>
                <c:pt idx="10">
                  <c:v>-67.107080667051903</c:v>
                </c:pt>
                <c:pt idx="11">
                  <c:v>-77.956171124671997</c:v>
                </c:pt>
                <c:pt idx="12">
                  <c:v>-79.809127537613193</c:v>
                </c:pt>
                <c:pt idx="13">
                  <c:v>-80.903992538911993</c:v>
                </c:pt>
                <c:pt idx="14">
                  <c:v>-80.217297144816399</c:v>
                </c:pt>
                <c:pt idx="15">
                  <c:v>-84.378898697343303</c:v>
                </c:pt>
                <c:pt idx="16">
                  <c:v>-88.548289847653905</c:v>
                </c:pt>
                <c:pt idx="17">
                  <c:v>-82.564854266605806</c:v>
                </c:pt>
                <c:pt idx="18">
                  <c:v>-81.386026565662306</c:v>
                </c:pt>
                <c:pt idx="19">
                  <c:v>-80.408812174329995</c:v>
                </c:pt>
                <c:pt idx="20">
                  <c:v>-80.998972892859996</c:v>
                </c:pt>
                <c:pt idx="21">
                  <c:v>-77.648955361194297</c:v>
                </c:pt>
                <c:pt idx="22">
                  <c:v>-81.278776279206795</c:v>
                </c:pt>
                <c:pt idx="23">
                  <c:v>-83.528839221772003</c:v>
                </c:pt>
                <c:pt idx="24">
                  <c:v>-79.956935099048493</c:v>
                </c:pt>
                <c:pt idx="25">
                  <c:v>-78.878974109443305</c:v>
                </c:pt>
                <c:pt idx="26">
                  <c:v>-78.316159095194905</c:v>
                </c:pt>
                <c:pt idx="27">
                  <c:v>-77.248230175108503</c:v>
                </c:pt>
                <c:pt idx="28">
                  <c:v>-79.793115384099096</c:v>
                </c:pt>
                <c:pt idx="29">
                  <c:v>-80.929430993674103</c:v>
                </c:pt>
                <c:pt idx="30">
                  <c:v>-85.055720895436707</c:v>
                </c:pt>
                <c:pt idx="31">
                  <c:v>-83.459418409534607</c:v>
                </c:pt>
                <c:pt idx="32">
                  <c:v>-78.419058170523499</c:v>
                </c:pt>
                <c:pt idx="33">
                  <c:v>-77.873692254137595</c:v>
                </c:pt>
                <c:pt idx="34">
                  <c:v>-77.456632938894501</c:v>
                </c:pt>
                <c:pt idx="35">
                  <c:v>-78.224681710103297</c:v>
                </c:pt>
                <c:pt idx="36">
                  <c:v>-80.888111349794301</c:v>
                </c:pt>
                <c:pt idx="37">
                  <c:v>-81.639569554741399</c:v>
                </c:pt>
                <c:pt idx="38">
                  <c:v>-78.159748479568094</c:v>
                </c:pt>
                <c:pt idx="39">
                  <c:v>-78.070496466518193</c:v>
                </c:pt>
                <c:pt idx="40">
                  <c:v>-76.662478611339907</c:v>
                </c:pt>
                <c:pt idx="41">
                  <c:v>-76.397187392897393</c:v>
                </c:pt>
                <c:pt idx="42">
                  <c:v>-74.998548988151896</c:v>
                </c:pt>
                <c:pt idx="43">
                  <c:v>-78.872672605046702</c:v>
                </c:pt>
                <c:pt idx="44">
                  <c:v>-80.725873848419397</c:v>
                </c:pt>
                <c:pt idx="45">
                  <c:v>-77.5370110228519</c:v>
                </c:pt>
                <c:pt idx="46">
                  <c:v>-79.822708619405702</c:v>
                </c:pt>
                <c:pt idx="47">
                  <c:v>-77.924858221330993</c:v>
                </c:pt>
                <c:pt idx="48">
                  <c:v>-78.193357858928195</c:v>
                </c:pt>
                <c:pt idx="49">
                  <c:v>-75.272059392450103</c:v>
                </c:pt>
                <c:pt idx="50">
                  <c:v>-75.830127551262805</c:v>
                </c:pt>
                <c:pt idx="51">
                  <c:v>-80.605739409585794</c:v>
                </c:pt>
                <c:pt idx="52">
                  <c:v>-75.145922344608195</c:v>
                </c:pt>
                <c:pt idx="53">
                  <c:v>-74.476420438641199</c:v>
                </c:pt>
                <c:pt idx="54">
                  <c:v>-69.128269631873195</c:v>
                </c:pt>
                <c:pt idx="55">
                  <c:v>-71.627462473157806</c:v>
                </c:pt>
                <c:pt idx="56">
                  <c:v>-74.217986382378896</c:v>
                </c:pt>
                <c:pt idx="57">
                  <c:v>-73.889302882982193</c:v>
                </c:pt>
                <c:pt idx="58">
                  <c:v>-80.687173568190303</c:v>
                </c:pt>
                <c:pt idx="59">
                  <c:v>-75.034349830111395</c:v>
                </c:pt>
                <c:pt idx="60">
                  <c:v>-72.627721406629405</c:v>
                </c:pt>
                <c:pt idx="61">
                  <c:v>-71.446350338935801</c:v>
                </c:pt>
                <c:pt idx="62">
                  <c:v>-69.015806838344503</c:v>
                </c:pt>
                <c:pt idx="63">
                  <c:v>-65.536960268641295</c:v>
                </c:pt>
                <c:pt idx="64">
                  <c:v>-68.426321252123699</c:v>
                </c:pt>
                <c:pt idx="65">
                  <c:v>-72.188970867429802</c:v>
                </c:pt>
                <c:pt idx="66">
                  <c:v>-67.137827100295695</c:v>
                </c:pt>
                <c:pt idx="67">
                  <c:v>-64.7958302934762</c:v>
                </c:pt>
                <c:pt idx="68">
                  <c:v>-65.235107281345805</c:v>
                </c:pt>
                <c:pt idx="69">
                  <c:v>-63.124686400464398</c:v>
                </c:pt>
                <c:pt idx="70">
                  <c:v>-62.198871545600902</c:v>
                </c:pt>
                <c:pt idx="71">
                  <c:v>-66.632564005458605</c:v>
                </c:pt>
                <c:pt idx="72">
                  <c:v>-67.165585944600295</c:v>
                </c:pt>
                <c:pt idx="73">
                  <c:v>-59.3631116940523</c:v>
                </c:pt>
                <c:pt idx="74">
                  <c:v>-56.163782124135999</c:v>
                </c:pt>
                <c:pt idx="75">
                  <c:v>-57.079075628700501</c:v>
                </c:pt>
                <c:pt idx="76">
                  <c:v>-57.194169904473199</c:v>
                </c:pt>
                <c:pt idx="77">
                  <c:v>-57.206648277320298</c:v>
                </c:pt>
                <c:pt idx="78">
                  <c:v>-61.641781697187398</c:v>
                </c:pt>
                <c:pt idx="79">
                  <c:v>-67.387727939330404</c:v>
                </c:pt>
                <c:pt idx="80">
                  <c:v>-56.4587903901594</c:v>
                </c:pt>
                <c:pt idx="81">
                  <c:v>-51.824008417526201</c:v>
                </c:pt>
                <c:pt idx="82">
                  <c:v>-59.986462972430701</c:v>
                </c:pt>
                <c:pt idx="83">
                  <c:v>-62.668932061590198</c:v>
                </c:pt>
                <c:pt idx="84">
                  <c:v>-54.804166598175001</c:v>
                </c:pt>
                <c:pt idx="85">
                  <c:v>-63.877931857018901</c:v>
                </c:pt>
                <c:pt idx="86">
                  <c:v>-68.590619845227195</c:v>
                </c:pt>
                <c:pt idx="87">
                  <c:v>-57.105617910137099</c:v>
                </c:pt>
                <c:pt idx="88">
                  <c:v>-58.5410801557532</c:v>
                </c:pt>
                <c:pt idx="89">
                  <c:v>-60.850407181176003</c:v>
                </c:pt>
                <c:pt idx="90">
                  <c:v>-61.672189101013601</c:v>
                </c:pt>
                <c:pt idx="91">
                  <c:v>-58.5665131532431</c:v>
                </c:pt>
                <c:pt idx="92">
                  <c:v>-53.5725930252014</c:v>
                </c:pt>
                <c:pt idx="93">
                  <c:v>-52.465694575912401</c:v>
                </c:pt>
                <c:pt idx="94">
                  <c:v>-37.0401768010192</c:v>
                </c:pt>
                <c:pt idx="95">
                  <c:v>-41.277513443099501</c:v>
                </c:pt>
                <c:pt idx="96">
                  <c:v>-41.839045823924799</c:v>
                </c:pt>
                <c:pt idx="97">
                  <c:v>-44.909000210462501</c:v>
                </c:pt>
                <c:pt idx="98">
                  <c:v>-38.6183222634874</c:v>
                </c:pt>
                <c:pt idx="99">
                  <c:v>-33.7496998294137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69-42C6-8963-4D012DFCA162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G2</c:v>
                </c:pt>
              </c:strCache>
            </c:strRef>
          </c:tx>
          <c:spPr>
            <a:ln w="28575" cap="rnd">
              <a:solidFill>
                <a:srgbClr val="F4A58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4A582"/>
              </a:solidFill>
              <a:ln w="9525">
                <a:solidFill>
                  <a:srgbClr val="F4A582"/>
                </a:solidFill>
              </a:ln>
              <a:effectLst/>
            </c:spPr>
          </c:marker>
          <c:cat>
            <c:multiLvlStrRef>
              <c:f>Sheet2!$A$5:$A$109</c:f>
              <c:multiLvlStrCache>
                <c:ptCount val="100"/>
                <c:lvl>
                  <c:pt idx="0">
                    <c:v>13-Mar</c:v>
                  </c:pt>
                  <c:pt idx="1">
                    <c:v>14-Mar</c:v>
                  </c:pt>
                  <c:pt idx="2">
                    <c:v>15-Mar</c:v>
                  </c:pt>
                  <c:pt idx="3">
                    <c:v>16-Mar</c:v>
                  </c:pt>
                  <c:pt idx="4">
                    <c:v>17-Mar</c:v>
                  </c:pt>
                  <c:pt idx="5">
                    <c:v>18-Mar</c:v>
                  </c:pt>
                  <c:pt idx="6">
                    <c:v>19-Mar</c:v>
                  </c:pt>
                  <c:pt idx="7">
                    <c:v>20-Mar</c:v>
                  </c:pt>
                  <c:pt idx="8">
                    <c:v>21-Mar</c:v>
                  </c:pt>
                  <c:pt idx="9">
                    <c:v>22-Mar</c:v>
                  </c:pt>
                  <c:pt idx="10">
                    <c:v>23-Mar</c:v>
                  </c:pt>
                  <c:pt idx="11">
                    <c:v>24-Mar</c:v>
                  </c:pt>
                  <c:pt idx="12">
                    <c:v>25-Mar</c:v>
                  </c:pt>
                  <c:pt idx="13">
                    <c:v>26-Mar</c:v>
                  </c:pt>
                  <c:pt idx="14">
                    <c:v>27-Mar</c:v>
                  </c:pt>
                  <c:pt idx="15">
                    <c:v>28-Mar</c:v>
                  </c:pt>
                  <c:pt idx="16">
                    <c:v>29-Mar</c:v>
                  </c:pt>
                  <c:pt idx="17">
                    <c:v>30-Mar</c:v>
                  </c:pt>
                  <c:pt idx="18">
                    <c:v>31-Mar</c:v>
                  </c:pt>
                  <c:pt idx="19">
                    <c:v>01-Apr</c:v>
                  </c:pt>
                  <c:pt idx="20">
                    <c:v>02-Apr</c:v>
                  </c:pt>
                  <c:pt idx="21">
                    <c:v>03-Apr</c:v>
                  </c:pt>
                  <c:pt idx="22">
                    <c:v>04-Apr</c:v>
                  </c:pt>
                  <c:pt idx="23">
                    <c:v>05-Apr</c:v>
                  </c:pt>
                  <c:pt idx="24">
                    <c:v>06-Apr</c:v>
                  </c:pt>
                  <c:pt idx="25">
                    <c:v>07-Apr</c:v>
                  </c:pt>
                  <c:pt idx="26">
                    <c:v>08-Apr</c:v>
                  </c:pt>
                  <c:pt idx="27">
                    <c:v>09-Apr</c:v>
                  </c:pt>
                  <c:pt idx="28">
                    <c:v>10-Apr</c:v>
                  </c:pt>
                  <c:pt idx="29">
                    <c:v>11-Apr</c:v>
                  </c:pt>
                  <c:pt idx="30">
                    <c:v>12-Apr</c:v>
                  </c:pt>
                  <c:pt idx="31">
                    <c:v>13-Apr</c:v>
                  </c:pt>
                  <c:pt idx="32">
                    <c:v>14-Apr</c:v>
                  </c:pt>
                  <c:pt idx="33">
                    <c:v>15-Apr</c:v>
                  </c:pt>
                  <c:pt idx="34">
                    <c:v>16-Apr</c:v>
                  </c:pt>
                  <c:pt idx="35">
                    <c:v>17-Apr</c:v>
                  </c:pt>
                  <c:pt idx="36">
                    <c:v>18-Apr</c:v>
                  </c:pt>
                  <c:pt idx="37">
                    <c:v>19-Apr</c:v>
                  </c:pt>
                  <c:pt idx="38">
                    <c:v>20-Apr</c:v>
                  </c:pt>
                  <c:pt idx="39">
                    <c:v>21-Apr</c:v>
                  </c:pt>
                  <c:pt idx="40">
                    <c:v>22-Apr</c:v>
                  </c:pt>
                  <c:pt idx="41">
                    <c:v>23-Apr</c:v>
                  </c:pt>
                  <c:pt idx="42">
                    <c:v>24-Apr</c:v>
                  </c:pt>
                  <c:pt idx="43">
                    <c:v>25-Apr</c:v>
                  </c:pt>
                  <c:pt idx="44">
                    <c:v>26-Apr</c:v>
                  </c:pt>
                  <c:pt idx="45">
                    <c:v>27-Apr</c:v>
                  </c:pt>
                  <c:pt idx="46">
                    <c:v>28-Apr</c:v>
                  </c:pt>
                  <c:pt idx="47">
                    <c:v>29-Apr</c:v>
                  </c:pt>
                  <c:pt idx="48">
                    <c:v>30-Apr</c:v>
                  </c:pt>
                  <c:pt idx="49">
                    <c:v>01-May</c:v>
                  </c:pt>
                  <c:pt idx="50">
                    <c:v>02-May</c:v>
                  </c:pt>
                  <c:pt idx="51">
                    <c:v>03-May</c:v>
                  </c:pt>
                  <c:pt idx="52">
                    <c:v>04-May</c:v>
                  </c:pt>
                  <c:pt idx="53">
                    <c:v>05-May</c:v>
                  </c:pt>
                  <c:pt idx="54">
                    <c:v>06-May</c:v>
                  </c:pt>
                  <c:pt idx="55">
                    <c:v>07-May</c:v>
                  </c:pt>
                  <c:pt idx="56">
                    <c:v>08-May</c:v>
                  </c:pt>
                  <c:pt idx="57">
                    <c:v>09-May</c:v>
                  </c:pt>
                  <c:pt idx="58">
                    <c:v>10-May</c:v>
                  </c:pt>
                  <c:pt idx="59">
                    <c:v>11-May</c:v>
                  </c:pt>
                  <c:pt idx="60">
                    <c:v>12-May</c:v>
                  </c:pt>
                  <c:pt idx="61">
                    <c:v>13-May</c:v>
                  </c:pt>
                  <c:pt idx="62">
                    <c:v>14-May</c:v>
                  </c:pt>
                  <c:pt idx="63">
                    <c:v>15-May</c:v>
                  </c:pt>
                  <c:pt idx="64">
                    <c:v>16-May</c:v>
                  </c:pt>
                  <c:pt idx="65">
                    <c:v>17-May</c:v>
                  </c:pt>
                  <c:pt idx="66">
                    <c:v>18-May</c:v>
                  </c:pt>
                  <c:pt idx="67">
                    <c:v>19-May</c:v>
                  </c:pt>
                  <c:pt idx="68">
                    <c:v>20-May</c:v>
                  </c:pt>
                  <c:pt idx="69">
                    <c:v>21-May</c:v>
                  </c:pt>
                  <c:pt idx="70">
                    <c:v>22-May</c:v>
                  </c:pt>
                  <c:pt idx="71">
                    <c:v>23-May</c:v>
                  </c:pt>
                  <c:pt idx="72">
                    <c:v>24-May</c:v>
                  </c:pt>
                  <c:pt idx="73">
                    <c:v>25-May</c:v>
                  </c:pt>
                  <c:pt idx="74">
                    <c:v>26-May</c:v>
                  </c:pt>
                  <c:pt idx="75">
                    <c:v>27-May</c:v>
                  </c:pt>
                  <c:pt idx="76">
                    <c:v>28-May</c:v>
                  </c:pt>
                  <c:pt idx="77">
                    <c:v>29-May</c:v>
                  </c:pt>
                  <c:pt idx="78">
                    <c:v>30-May</c:v>
                  </c:pt>
                  <c:pt idx="79">
                    <c:v>31-May</c:v>
                  </c:pt>
                  <c:pt idx="80">
                    <c:v>01-Jun</c:v>
                  </c:pt>
                  <c:pt idx="81">
                    <c:v>02-Jun</c:v>
                  </c:pt>
                  <c:pt idx="82">
                    <c:v>03-Jun</c:v>
                  </c:pt>
                  <c:pt idx="83">
                    <c:v>04-Jun</c:v>
                  </c:pt>
                  <c:pt idx="84">
                    <c:v>05-Jun</c:v>
                  </c:pt>
                  <c:pt idx="85">
                    <c:v>06-Jun</c:v>
                  </c:pt>
                  <c:pt idx="86">
                    <c:v>07-Jun</c:v>
                  </c:pt>
                  <c:pt idx="87">
                    <c:v>08-Jun</c:v>
                  </c:pt>
                  <c:pt idx="88">
                    <c:v>09-Jun</c:v>
                  </c:pt>
                  <c:pt idx="89">
                    <c:v>10-Jun</c:v>
                  </c:pt>
                  <c:pt idx="90">
                    <c:v>11-Jun</c:v>
                  </c:pt>
                  <c:pt idx="91">
                    <c:v>12-Jun</c:v>
                  </c:pt>
                  <c:pt idx="92">
                    <c:v>13-Jun</c:v>
                  </c:pt>
                  <c:pt idx="93">
                    <c:v>14-Jun</c:v>
                  </c:pt>
                  <c:pt idx="94">
                    <c:v>15-Jun</c:v>
                  </c:pt>
                  <c:pt idx="95">
                    <c:v>16-Jun</c:v>
                  </c:pt>
                  <c:pt idx="96">
                    <c:v>17-Jun</c:v>
                  </c:pt>
                  <c:pt idx="97">
                    <c:v>18-Jun</c:v>
                  </c:pt>
                  <c:pt idx="98">
                    <c:v>19-Jun</c:v>
                  </c:pt>
                  <c:pt idx="99">
                    <c:v>20-Jun</c:v>
                  </c:pt>
                </c:lvl>
                <c:lvl>
                  <c:pt idx="0">
                    <c:v>Mar</c:v>
                  </c:pt>
                  <c:pt idx="19">
                    <c:v>Apr</c:v>
                  </c:pt>
                  <c:pt idx="49">
                    <c:v>May</c:v>
                  </c:pt>
                  <c:pt idx="80">
                    <c:v>Jun</c:v>
                  </c:pt>
                </c:lvl>
              </c:multiLvlStrCache>
            </c:multiLvlStrRef>
          </c:cat>
          <c:val>
            <c:numRef>
              <c:f>Sheet2!$C$5:$C$109</c:f>
              <c:numCache>
                <c:formatCode>0.0</c:formatCode>
                <c:ptCount val="100"/>
                <c:pt idx="0">
                  <c:v>-4.1152046073502797</c:v>
                </c:pt>
                <c:pt idx="1">
                  <c:v>-28.6311730021621</c:v>
                </c:pt>
                <c:pt idx="2">
                  <c:v>-46.959758510802203</c:v>
                </c:pt>
                <c:pt idx="3">
                  <c:v>-15.6201964095068</c:v>
                </c:pt>
                <c:pt idx="4">
                  <c:v>-25.591305185968601</c:v>
                </c:pt>
                <c:pt idx="5">
                  <c:v>-32.611148089200697</c:v>
                </c:pt>
                <c:pt idx="6">
                  <c:v>-35.8188080281965</c:v>
                </c:pt>
                <c:pt idx="7">
                  <c:v>-37.235634704751</c:v>
                </c:pt>
                <c:pt idx="8">
                  <c:v>-55.175226775326799</c:v>
                </c:pt>
                <c:pt idx="9">
                  <c:v>-65.637155739148994</c:v>
                </c:pt>
                <c:pt idx="10">
                  <c:v>-57.673970345171703</c:v>
                </c:pt>
                <c:pt idx="11">
                  <c:v>-69.389442952123801</c:v>
                </c:pt>
                <c:pt idx="12">
                  <c:v>-71.995709142524703</c:v>
                </c:pt>
                <c:pt idx="13">
                  <c:v>-73.304350593503599</c:v>
                </c:pt>
                <c:pt idx="14">
                  <c:v>-71.854779708834897</c:v>
                </c:pt>
                <c:pt idx="15">
                  <c:v>-78.551507227266796</c:v>
                </c:pt>
                <c:pt idx="16">
                  <c:v>-82.592573679866902</c:v>
                </c:pt>
                <c:pt idx="17">
                  <c:v>-76.011115355863893</c:v>
                </c:pt>
                <c:pt idx="18">
                  <c:v>-73.812345501161005</c:v>
                </c:pt>
                <c:pt idx="19">
                  <c:v>-72.039480063961506</c:v>
                </c:pt>
                <c:pt idx="20">
                  <c:v>-72.111592304523896</c:v>
                </c:pt>
                <c:pt idx="21">
                  <c:v>-67.402683669780401</c:v>
                </c:pt>
                <c:pt idx="22">
                  <c:v>-74.007660063417006</c:v>
                </c:pt>
                <c:pt idx="23">
                  <c:v>-77.438710651323703</c:v>
                </c:pt>
                <c:pt idx="24">
                  <c:v>-71.207361562736693</c:v>
                </c:pt>
                <c:pt idx="25">
                  <c:v>-69.871738182636605</c:v>
                </c:pt>
                <c:pt idx="26">
                  <c:v>-69.595786510689507</c:v>
                </c:pt>
                <c:pt idx="27">
                  <c:v>-68.088261768345603</c:v>
                </c:pt>
                <c:pt idx="28">
                  <c:v>-72.006246009099002</c:v>
                </c:pt>
                <c:pt idx="29">
                  <c:v>-73.971429115616999</c:v>
                </c:pt>
                <c:pt idx="30">
                  <c:v>-79.236869738198394</c:v>
                </c:pt>
                <c:pt idx="31">
                  <c:v>-77.090762757107399</c:v>
                </c:pt>
                <c:pt idx="32">
                  <c:v>-69.099116591236907</c:v>
                </c:pt>
                <c:pt idx="33">
                  <c:v>-68.711531947367504</c:v>
                </c:pt>
                <c:pt idx="34">
                  <c:v>-68.602460950321202</c:v>
                </c:pt>
                <c:pt idx="35">
                  <c:v>-69.878721240672505</c:v>
                </c:pt>
                <c:pt idx="36">
                  <c:v>-74.636373331476406</c:v>
                </c:pt>
                <c:pt idx="37">
                  <c:v>-75.672039269283005</c:v>
                </c:pt>
                <c:pt idx="38">
                  <c:v>-69.410019597340195</c:v>
                </c:pt>
                <c:pt idx="39">
                  <c:v>-68.052158392761996</c:v>
                </c:pt>
                <c:pt idx="40">
                  <c:v>-67.762450928126896</c:v>
                </c:pt>
                <c:pt idx="41">
                  <c:v>-67.054801230807101</c:v>
                </c:pt>
                <c:pt idx="42">
                  <c:v>-65.646388856080605</c:v>
                </c:pt>
                <c:pt idx="43">
                  <c:v>-70.947296348166901</c:v>
                </c:pt>
                <c:pt idx="44">
                  <c:v>-74.449558811409304</c:v>
                </c:pt>
                <c:pt idx="45">
                  <c:v>-67.2109172747912</c:v>
                </c:pt>
                <c:pt idx="46">
                  <c:v>-71.370065642278803</c:v>
                </c:pt>
                <c:pt idx="47">
                  <c:v>-68.3920556551777</c:v>
                </c:pt>
                <c:pt idx="48">
                  <c:v>-68.647939128557397</c:v>
                </c:pt>
                <c:pt idx="49">
                  <c:v>-65.380418982008507</c:v>
                </c:pt>
                <c:pt idx="50">
                  <c:v>-68.075519746698703</c:v>
                </c:pt>
                <c:pt idx="51">
                  <c:v>-74.628082189296407</c:v>
                </c:pt>
                <c:pt idx="52">
                  <c:v>-65.105949408605696</c:v>
                </c:pt>
                <c:pt idx="53">
                  <c:v>-64.573754836502204</c:v>
                </c:pt>
                <c:pt idx="54">
                  <c:v>-57.032791420458899</c:v>
                </c:pt>
                <c:pt idx="55">
                  <c:v>-60.73425532668</c:v>
                </c:pt>
                <c:pt idx="56">
                  <c:v>-66.023706355644407</c:v>
                </c:pt>
                <c:pt idx="57">
                  <c:v>-66.252704692641402</c:v>
                </c:pt>
                <c:pt idx="58">
                  <c:v>-73.943316300973706</c:v>
                </c:pt>
                <c:pt idx="59">
                  <c:v>-64.699917486006598</c:v>
                </c:pt>
                <c:pt idx="60">
                  <c:v>-62.159821509614197</c:v>
                </c:pt>
                <c:pt idx="61">
                  <c:v>-59.553569471477097</c:v>
                </c:pt>
                <c:pt idx="62">
                  <c:v>-57.825291131266702</c:v>
                </c:pt>
                <c:pt idx="63">
                  <c:v>-54.072675785118498</c:v>
                </c:pt>
                <c:pt idx="64">
                  <c:v>-58.9894580538231</c:v>
                </c:pt>
                <c:pt idx="65">
                  <c:v>-63.112591339648603</c:v>
                </c:pt>
                <c:pt idx="66">
                  <c:v>-56.306779004760301</c:v>
                </c:pt>
                <c:pt idx="67">
                  <c:v>-53.6644290320626</c:v>
                </c:pt>
                <c:pt idx="68">
                  <c:v>-52.060368288196202</c:v>
                </c:pt>
                <c:pt idx="69">
                  <c:v>-52.314332021243402</c:v>
                </c:pt>
                <c:pt idx="70">
                  <c:v>-51.154762419674803</c:v>
                </c:pt>
                <c:pt idx="71">
                  <c:v>-57.827062175580501</c:v>
                </c:pt>
                <c:pt idx="72">
                  <c:v>-58.437242227711899</c:v>
                </c:pt>
                <c:pt idx="73">
                  <c:v>-52.019618861747297</c:v>
                </c:pt>
                <c:pt idx="74">
                  <c:v>-46.463424938377401</c:v>
                </c:pt>
                <c:pt idx="75">
                  <c:v>-47.021520254124198</c:v>
                </c:pt>
                <c:pt idx="76">
                  <c:v>-46.300455319377001</c:v>
                </c:pt>
                <c:pt idx="77">
                  <c:v>-47.861295349326099</c:v>
                </c:pt>
                <c:pt idx="78">
                  <c:v>-52.178607916037699</c:v>
                </c:pt>
                <c:pt idx="79">
                  <c:v>-58.400457569313197</c:v>
                </c:pt>
                <c:pt idx="80">
                  <c:v>-45.210934222875302</c:v>
                </c:pt>
                <c:pt idx="81">
                  <c:v>-43.174044475788101</c:v>
                </c:pt>
                <c:pt idx="82">
                  <c:v>-48.667598871086803</c:v>
                </c:pt>
                <c:pt idx="83">
                  <c:v>-54.090605412333801</c:v>
                </c:pt>
                <c:pt idx="84">
                  <c:v>-42.584787599965402</c:v>
                </c:pt>
                <c:pt idx="85">
                  <c:v>-53.321883398762601</c:v>
                </c:pt>
                <c:pt idx="86">
                  <c:v>-57.765508776411302</c:v>
                </c:pt>
                <c:pt idx="87">
                  <c:v>-44.164550195965703</c:v>
                </c:pt>
                <c:pt idx="88">
                  <c:v>-45.440638223290598</c:v>
                </c:pt>
                <c:pt idx="89">
                  <c:v>-48.488072837189399</c:v>
                </c:pt>
                <c:pt idx="90">
                  <c:v>-49.9819303291982</c:v>
                </c:pt>
                <c:pt idx="91">
                  <c:v>-46.203541139406099</c:v>
                </c:pt>
                <c:pt idx="92">
                  <c:v>-44.227737801777401</c:v>
                </c:pt>
                <c:pt idx="93">
                  <c:v>-41.728228898566698</c:v>
                </c:pt>
                <c:pt idx="94">
                  <c:v>-29.768410345650999</c:v>
                </c:pt>
                <c:pt idx="95">
                  <c:v>-30.834482400319299</c:v>
                </c:pt>
                <c:pt idx="96">
                  <c:v>-31.950644222956399</c:v>
                </c:pt>
                <c:pt idx="97">
                  <c:v>-36.567918242964403</c:v>
                </c:pt>
                <c:pt idx="98">
                  <c:v>-27.126701694032299</c:v>
                </c:pt>
                <c:pt idx="99">
                  <c:v>-26.174005750163602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69-42C6-8963-4D012DFCA162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G3</c:v>
                </c:pt>
              </c:strCache>
            </c:strRef>
          </c:tx>
          <c:spPr>
            <a:ln w="28575" cap="rnd">
              <a:solidFill>
                <a:srgbClr val="92C5DE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92C5DE"/>
              </a:solidFill>
              <a:ln w="9525">
                <a:solidFill>
                  <a:srgbClr val="92C5DE"/>
                </a:solidFill>
              </a:ln>
              <a:effectLst/>
            </c:spPr>
          </c:marker>
          <c:cat>
            <c:multiLvlStrRef>
              <c:f>Sheet2!$A$5:$A$109</c:f>
              <c:multiLvlStrCache>
                <c:ptCount val="100"/>
                <c:lvl>
                  <c:pt idx="0">
                    <c:v>13-Mar</c:v>
                  </c:pt>
                  <c:pt idx="1">
                    <c:v>14-Mar</c:v>
                  </c:pt>
                  <c:pt idx="2">
                    <c:v>15-Mar</c:v>
                  </c:pt>
                  <c:pt idx="3">
                    <c:v>16-Mar</c:v>
                  </c:pt>
                  <c:pt idx="4">
                    <c:v>17-Mar</c:v>
                  </c:pt>
                  <c:pt idx="5">
                    <c:v>18-Mar</c:v>
                  </c:pt>
                  <c:pt idx="6">
                    <c:v>19-Mar</c:v>
                  </c:pt>
                  <c:pt idx="7">
                    <c:v>20-Mar</c:v>
                  </c:pt>
                  <c:pt idx="8">
                    <c:v>21-Mar</c:v>
                  </c:pt>
                  <c:pt idx="9">
                    <c:v>22-Mar</c:v>
                  </c:pt>
                  <c:pt idx="10">
                    <c:v>23-Mar</c:v>
                  </c:pt>
                  <c:pt idx="11">
                    <c:v>24-Mar</c:v>
                  </c:pt>
                  <c:pt idx="12">
                    <c:v>25-Mar</c:v>
                  </c:pt>
                  <c:pt idx="13">
                    <c:v>26-Mar</c:v>
                  </c:pt>
                  <c:pt idx="14">
                    <c:v>27-Mar</c:v>
                  </c:pt>
                  <c:pt idx="15">
                    <c:v>28-Mar</c:v>
                  </c:pt>
                  <c:pt idx="16">
                    <c:v>29-Mar</c:v>
                  </c:pt>
                  <c:pt idx="17">
                    <c:v>30-Mar</c:v>
                  </c:pt>
                  <c:pt idx="18">
                    <c:v>31-Mar</c:v>
                  </c:pt>
                  <c:pt idx="19">
                    <c:v>01-Apr</c:v>
                  </c:pt>
                  <c:pt idx="20">
                    <c:v>02-Apr</c:v>
                  </c:pt>
                  <c:pt idx="21">
                    <c:v>03-Apr</c:v>
                  </c:pt>
                  <c:pt idx="22">
                    <c:v>04-Apr</c:v>
                  </c:pt>
                  <c:pt idx="23">
                    <c:v>05-Apr</c:v>
                  </c:pt>
                  <c:pt idx="24">
                    <c:v>06-Apr</c:v>
                  </c:pt>
                  <c:pt idx="25">
                    <c:v>07-Apr</c:v>
                  </c:pt>
                  <c:pt idx="26">
                    <c:v>08-Apr</c:v>
                  </c:pt>
                  <c:pt idx="27">
                    <c:v>09-Apr</c:v>
                  </c:pt>
                  <c:pt idx="28">
                    <c:v>10-Apr</c:v>
                  </c:pt>
                  <c:pt idx="29">
                    <c:v>11-Apr</c:v>
                  </c:pt>
                  <c:pt idx="30">
                    <c:v>12-Apr</c:v>
                  </c:pt>
                  <c:pt idx="31">
                    <c:v>13-Apr</c:v>
                  </c:pt>
                  <c:pt idx="32">
                    <c:v>14-Apr</c:v>
                  </c:pt>
                  <c:pt idx="33">
                    <c:v>15-Apr</c:v>
                  </c:pt>
                  <c:pt idx="34">
                    <c:v>16-Apr</c:v>
                  </c:pt>
                  <c:pt idx="35">
                    <c:v>17-Apr</c:v>
                  </c:pt>
                  <c:pt idx="36">
                    <c:v>18-Apr</c:v>
                  </c:pt>
                  <c:pt idx="37">
                    <c:v>19-Apr</c:v>
                  </c:pt>
                  <c:pt idx="38">
                    <c:v>20-Apr</c:v>
                  </c:pt>
                  <c:pt idx="39">
                    <c:v>21-Apr</c:v>
                  </c:pt>
                  <c:pt idx="40">
                    <c:v>22-Apr</c:v>
                  </c:pt>
                  <c:pt idx="41">
                    <c:v>23-Apr</c:v>
                  </c:pt>
                  <c:pt idx="42">
                    <c:v>24-Apr</c:v>
                  </c:pt>
                  <c:pt idx="43">
                    <c:v>25-Apr</c:v>
                  </c:pt>
                  <c:pt idx="44">
                    <c:v>26-Apr</c:v>
                  </c:pt>
                  <c:pt idx="45">
                    <c:v>27-Apr</c:v>
                  </c:pt>
                  <c:pt idx="46">
                    <c:v>28-Apr</c:v>
                  </c:pt>
                  <c:pt idx="47">
                    <c:v>29-Apr</c:v>
                  </c:pt>
                  <c:pt idx="48">
                    <c:v>30-Apr</c:v>
                  </c:pt>
                  <c:pt idx="49">
                    <c:v>01-May</c:v>
                  </c:pt>
                  <c:pt idx="50">
                    <c:v>02-May</c:v>
                  </c:pt>
                  <c:pt idx="51">
                    <c:v>03-May</c:v>
                  </c:pt>
                  <c:pt idx="52">
                    <c:v>04-May</c:v>
                  </c:pt>
                  <c:pt idx="53">
                    <c:v>05-May</c:v>
                  </c:pt>
                  <c:pt idx="54">
                    <c:v>06-May</c:v>
                  </c:pt>
                  <c:pt idx="55">
                    <c:v>07-May</c:v>
                  </c:pt>
                  <c:pt idx="56">
                    <c:v>08-May</c:v>
                  </c:pt>
                  <c:pt idx="57">
                    <c:v>09-May</c:v>
                  </c:pt>
                  <c:pt idx="58">
                    <c:v>10-May</c:v>
                  </c:pt>
                  <c:pt idx="59">
                    <c:v>11-May</c:v>
                  </c:pt>
                  <c:pt idx="60">
                    <c:v>12-May</c:v>
                  </c:pt>
                  <c:pt idx="61">
                    <c:v>13-May</c:v>
                  </c:pt>
                  <c:pt idx="62">
                    <c:v>14-May</c:v>
                  </c:pt>
                  <c:pt idx="63">
                    <c:v>15-May</c:v>
                  </c:pt>
                  <c:pt idx="64">
                    <c:v>16-May</c:v>
                  </c:pt>
                  <c:pt idx="65">
                    <c:v>17-May</c:v>
                  </c:pt>
                  <c:pt idx="66">
                    <c:v>18-May</c:v>
                  </c:pt>
                  <c:pt idx="67">
                    <c:v>19-May</c:v>
                  </c:pt>
                  <c:pt idx="68">
                    <c:v>20-May</c:v>
                  </c:pt>
                  <c:pt idx="69">
                    <c:v>21-May</c:v>
                  </c:pt>
                  <c:pt idx="70">
                    <c:v>22-May</c:v>
                  </c:pt>
                  <c:pt idx="71">
                    <c:v>23-May</c:v>
                  </c:pt>
                  <c:pt idx="72">
                    <c:v>24-May</c:v>
                  </c:pt>
                  <c:pt idx="73">
                    <c:v>25-May</c:v>
                  </c:pt>
                  <c:pt idx="74">
                    <c:v>26-May</c:v>
                  </c:pt>
                  <c:pt idx="75">
                    <c:v>27-May</c:v>
                  </c:pt>
                  <c:pt idx="76">
                    <c:v>28-May</c:v>
                  </c:pt>
                  <c:pt idx="77">
                    <c:v>29-May</c:v>
                  </c:pt>
                  <c:pt idx="78">
                    <c:v>30-May</c:v>
                  </c:pt>
                  <c:pt idx="79">
                    <c:v>31-May</c:v>
                  </c:pt>
                  <c:pt idx="80">
                    <c:v>01-Jun</c:v>
                  </c:pt>
                  <c:pt idx="81">
                    <c:v>02-Jun</c:v>
                  </c:pt>
                  <c:pt idx="82">
                    <c:v>03-Jun</c:v>
                  </c:pt>
                  <c:pt idx="83">
                    <c:v>04-Jun</c:v>
                  </c:pt>
                  <c:pt idx="84">
                    <c:v>05-Jun</c:v>
                  </c:pt>
                  <c:pt idx="85">
                    <c:v>06-Jun</c:v>
                  </c:pt>
                  <c:pt idx="86">
                    <c:v>07-Jun</c:v>
                  </c:pt>
                  <c:pt idx="87">
                    <c:v>08-Jun</c:v>
                  </c:pt>
                  <c:pt idx="88">
                    <c:v>09-Jun</c:v>
                  </c:pt>
                  <c:pt idx="89">
                    <c:v>10-Jun</c:v>
                  </c:pt>
                  <c:pt idx="90">
                    <c:v>11-Jun</c:v>
                  </c:pt>
                  <c:pt idx="91">
                    <c:v>12-Jun</c:v>
                  </c:pt>
                  <c:pt idx="92">
                    <c:v>13-Jun</c:v>
                  </c:pt>
                  <c:pt idx="93">
                    <c:v>14-Jun</c:v>
                  </c:pt>
                  <c:pt idx="94">
                    <c:v>15-Jun</c:v>
                  </c:pt>
                  <c:pt idx="95">
                    <c:v>16-Jun</c:v>
                  </c:pt>
                  <c:pt idx="96">
                    <c:v>17-Jun</c:v>
                  </c:pt>
                  <c:pt idx="97">
                    <c:v>18-Jun</c:v>
                  </c:pt>
                  <c:pt idx="98">
                    <c:v>19-Jun</c:v>
                  </c:pt>
                  <c:pt idx="99">
                    <c:v>20-Jun</c:v>
                  </c:pt>
                </c:lvl>
                <c:lvl>
                  <c:pt idx="0">
                    <c:v>Mar</c:v>
                  </c:pt>
                  <c:pt idx="19">
                    <c:v>Apr</c:v>
                  </c:pt>
                  <c:pt idx="49">
                    <c:v>May</c:v>
                  </c:pt>
                  <c:pt idx="80">
                    <c:v>Jun</c:v>
                  </c:pt>
                </c:lvl>
              </c:multiLvlStrCache>
            </c:multiLvlStrRef>
          </c:cat>
          <c:val>
            <c:numRef>
              <c:f>Sheet2!$D$5:$D$109</c:f>
              <c:numCache>
                <c:formatCode>0.0</c:formatCode>
                <c:ptCount val="100"/>
                <c:pt idx="0">
                  <c:v>1.22952289632976</c:v>
                </c:pt>
                <c:pt idx="1">
                  <c:v>-20.931715463509899</c:v>
                </c:pt>
                <c:pt idx="2">
                  <c:v>-36.481719490843901</c:v>
                </c:pt>
                <c:pt idx="3">
                  <c:v>-8.9045973002153005</c:v>
                </c:pt>
                <c:pt idx="4">
                  <c:v>-16.140529753463898</c:v>
                </c:pt>
                <c:pt idx="5">
                  <c:v>-22.8805033915745</c:v>
                </c:pt>
                <c:pt idx="6">
                  <c:v>-24.3432784091119</c:v>
                </c:pt>
                <c:pt idx="7">
                  <c:v>-25.088643434201199</c:v>
                </c:pt>
                <c:pt idx="8">
                  <c:v>-44.490810086008601</c:v>
                </c:pt>
                <c:pt idx="9">
                  <c:v>-53.941760378429997</c:v>
                </c:pt>
                <c:pt idx="10">
                  <c:v>-44.247783622921503</c:v>
                </c:pt>
                <c:pt idx="11">
                  <c:v>-58.456882933786503</c:v>
                </c:pt>
                <c:pt idx="12">
                  <c:v>-62.0018153557332</c:v>
                </c:pt>
                <c:pt idx="13">
                  <c:v>-63.319995818126202</c:v>
                </c:pt>
                <c:pt idx="14">
                  <c:v>-61.807317335506703</c:v>
                </c:pt>
                <c:pt idx="15">
                  <c:v>-71.624932741621805</c:v>
                </c:pt>
                <c:pt idx="16">
                  <c:v>-75.426661902964298</c:v>
                </c:pt>
                <c:pt idx="17">
                  <c:v>-66.368091981820896</c:v>
                </c:pt>
                <c:pt idx="18">
                  <c:v>-64.570285394570007</c:v>
                </c:pt>
                <c:pt idx="19">
                  <c:v>-62.2431198377962</c:v>
                </c:pt>
                <c:pt idx="20">
                  <c:v>-62.436692989265801</c:v>
                </c:pt>
                <c:pt idx="21">
                  <c:v>-56.909372017029</c:v>
                </c:pt>
                <c:pt idx="22">
                  <c:v>-66.071774020627799</c:v>
                </c:pt>
                <c:pt idx="23">
                  <c:v>-69.791406975248606</c:v>
                </c:pt>
                <c:pt idx="24">
                  <c:v>-61.041601065750001</c:v>
                </c:pt>
                <c:pt idx="25">
                  <c:v>-59.891570593653</c:v>
                </c:pt>
                <c:pt idx="26">
                  <c:v>-58.670986214697798</c:v>
                </c:pt>
                <c:pt idx="27">
                  <c:v>-57.708695441756802</c:v>
                </c:pt>
                <c:pt idx="28">
                  <c:v>-62.390464347441402</c:v>
                </c:pt>
                <c:pt idx="29">
                  <c:v>-64.802808187122494</c:v>
                </c:pt>
                <c:pt idx="30">
                  <c:v>-71.614264780689496</c:v>
                </c:pt>
                <c:pt idx="31">
                  <c:v>-67.876338127563898</c:v>
                </c:pt>
                <c:pt idx="32">
                  <c:v>-58.303764392153496</c:v>
                </c:pt>
                <c:pt idx="33">
                  <c:v>-57.464268358772301</c:v>
                </c:pt>
                <c:pt idx="34">
                  <c:v>-57.222167115391002</c:v>
                </c:pt>
                <c:pt idx="35">
                  <c:v>-58.926407906965302</c:v>
                </c:pt>
                <c:pt idx="36">
                  <c:v>-65.963009830979104</c:v>
                </c:pt>
                <c:pt idx="37">
                  <c:v>-66.903949364403701</c:v>
                </c:pt>
                <c:pt idx="38">
                  <c:v>-57.680523568305603</c:v>
                </c:pt>
                <c:pt idx="39">
                  <c:v>-57.2187404754822</c:v>
                </c:pt>
                <c:pt idx="40">
                  <c:v>-55.488282474141499</c:v>
                </c:pt>
                <c:pt idx="41">
                  <c:v>-55.228820078171402</c:v>
                </c:pt>
                <c:pt idx="42">
                  <c:v>-53.713240621597201</c:v>
                </c:pt>
                <c:pt idx="43">
                  <c:v>-61.720939445575098</c:v>
                </c:pt>
                <c:pt idx="44">
                  <c:v>-66.071694216496894</c:v>
                </c:pt>
                <c:pt idx="45">
                  <c:v>-55.733911627876303</c:v>
                </c:pt>
                <c:pt idx="46">
                  <c:v>-59.622776880217501</c:v>
                </c:pt>
                <c:pt idx="47">
                  <c:v>-57.126956881130504</c:v>
                </c:pt>
                <c:pt idx="48">
                  <c:v>-57.538214867357098</c:v>
                </c:pt>
                <c:pt idx="49">
                  <c:v>-52.868218819381603</c:v>
                </c:pt>
                <c:pt idx="50">
                  <c:v>-58.565666549538697</c:v>
                </c:pt>
                <c:pt idx="51">
                  <c:v>-65.480748327252599</c:v>
                </c:pt>
                <c:pt idx="52">
                  <c:v>-53.204356031749299</c:v>
                </c:pt>
                <c:pt idx="53">
                  <c:v>-52.077948890292902</c:v>
                </c:pt>
                <c:pt idx="54">
                  <c:v>-44.404207000955303</c:v>
                </c:pt>
                <c:pt idx="55">
                  <c:v>-48.186319289725297</c:v>
                </c:pt>
                <c:pt idx="56">
                  <c:v>-54.667127762509999</c:v>
                </c:pt>
                <c:pt idx="57">
                  <c:v>-55.821211565733002</c:v>
                </c:pt>
                <c:pt idx="58">
                  <c:v>-65.366235968274097</c:v>
                </c:pt>
                <c:pt idx="59">
                  <c:v>-51.8496992732452</c:v>
                </c:pt>
                <c:pt idx="60">
                  <c:v>-49.139641404771702</c:v>
                </c:pt>
                <c:pt idx="61">
                  <c:v>-46.364176396589201</c:v>
                </c:pt>
                <c:pt idx="62">
                  <c:v>-43.891845820106397</c:v>
                </c:pt>
                <c:pt idx="63">
                  <c:v>-41.428742963805</c:v>
                </c:pt>
                <c:pt idx="64">
                  <c:v>-46.933408780456901</c:v>
                </c:pt>
                <c:pt idx="65">
                  <c:v>-52.643191931388998</c:v>
                </c:pt>
                <c:pt idx="66">
                  <c:v>-43.528015723346499</c:v>
                </c:pt>
                <c:pt idx="67">
                  <c:v>-41.5996732181802</c:v>
                </c:pt>
                <c:pt idx="68">
                  <c:v>-38.538780313844299</c:v>
                </c:pt>
                <c:pt idx="69">
                  <c:v>-38.639728836116603</c:v>
                </c:pt>
                <c:pt idx="70">
                  <c:v>-38.714491007048998</c:v>
                </c:pt>
                <c:pt idx="71">
                  <c:v>-46.678552660413303</c:v>
                </c:pt>
                <c:pt idx="72">
                  <c:v>-48.250771548235399</c:v>
                </c:pt>
                <c:pt idx="73">
                  <c:v>-39.607776883975902</c:v>
                </c:pt>
                <c:pt idx="74">
                  <c:v>-33.034049618080402</c:v>
                </c:pt>
                <c:pt idx="75">
                  <c:v>-33.014269927769497</c:v>
                </c:pt>
                <c:pt idx="76">
                  <c:v>-31.944474746537399</c:v>
                </c:pt>
                <c:pt idx="77">
                  <c:v>-34.4130431616884</c:v>
                </c:pt>
                <c:pt idx="78">
                  <c:v>-39.464329001317402</c:v>
                </c:pt>
                <c:pt idx="79">
                  <c:v>-46.5059061625185</c:v>
                </c:pt>
                <c:pt idx="80">
                  <c:v>-33.593819283559597</c:v>
                </c:pt>
                <c:pt idx="81">
                  <c:v>-31.387310112425901</c:v>
                </c:pt>
                <c:pt idx="82">
                  <c:v>-38.678958377737203</c:v>
                </c:pt>
                <c:pt idx="83">
                  <c:v>-42.5870133192279</c:v>
                </c:pt>
                <c:pt idx="84">
                  <c:v>-33.447146147825102</c:v>
                </c:pt>
                <c:pt idx="85">
                  <c:v>-43.2591634435014</c:v>
                </c:pt>
                <c:pt idx="86">
                  <c:v>-48.788401341335799</c:v>
                </c:pt>
                <c:pt idx="87">
                  <c:v>-34.1365672924385</c:v>
                </c:pt>
                <c:pt idx="88">
                  <c:v>-36.003570195443203</c:v>
                </c:pt>
                <c:pt idx="89">
                  <c:v>-38.147378352947698</c:v>
                </c:pt>
                <c:pt idx="90">
                  <c:v>-40.323424775676799</c:v>
                </c:pt>
                <c:pt idx="91">
                  <c:v>-37.048938495151901</c:v>
                </c:pt>
                <c:pt idx="92">
                  <c:v>-37.070693685238503</c:v>
                </c:pt>
                <c:pt idx="93">
                  <c:v>-32.311776252113397</c:v>
                </c:pt>
                <c:pt idx="94">
                  <c:v>-19.633492038359801</c:v>
                </c:pt>
                <c:pt idx="95">
                  <c:v>-22.3266570530241</c:v>
                </c:pt>
                <c:pt idx="96">
                  <c:v>-20.579261247845299</c:v>
                </c:pt>
                <c:pt idx="97">
                  <c:v>-27.214873336659998</c:v>
                </c:pt>
                <c:pt idx="98">
                  <c:v>-18.5184616606433</c:v>
                </c:pt>
                <c:pt idx="99">
                  <c:v>-18.3132825701129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69-42C6-8963-4D012DFCA162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G4</c:v>
                </c:pt>
              </c:strCache>
            </c:strRef>
          </c:tx>
          <c:spPr>
            <a:ln w="28575" cap="rnd">
              <a:solidFill>
                <a:srgbClr val="0571B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571B0"/>
              </a:solidFill>
              <a:ln w="9525">
                <a:solidFill>
                  <a:srgbClr val="0571B0"/>
                </a:solidFill>
              </a:ln>
              <a:effectLst/>
            </c:spPr>
          </c:marker>
          <c:cat>
            <c:multiLvlStrRef>
              <c:f>Sheet2!$A$5:$A$109</c:f>
              <c:multiLvlStrCache>
                <c:ptCount val="100"/>
                <c:lvl>
                  <c:pt idx="0">
                    <c:v>13-Mar</c:v>
                  </c:pt>
                  <c:pt idx="1">
                    <c:v>14-Mar</c:v>
                  </c:pt>
                  <c:pt idx="2">
                    <c:v>15-Mar</c:v>
                  </c:pt>
                  <c:pt idx="3">
                    <c:v>16-Mar</c:v>
                  </c:pt>
                  <c:pt idx="4">
                    <c:v>17-Mar</c:v>
                  </c:pt>
                  <c:pt idx="5">
                    <c:v>18-Mar</c:v>
                  </c:pt>
                  <c:pt idx="6">
                    <c:v>19-Mar</c:v>
                  </c:pt>
                  <c:pt idx="7">
                    <c:v>20-Mar</c:v>
                  </c:pt>
                  <c:pt idx="8">
                    <c:v>21-Mar</c:v>
                  </c:pt>
                  <c:pt idx="9">
                    <c:v>22-Mar</c:v>
                  </c:pt>
                  <c:pt idx="10">
                    <c:v>23-Mar</c:v>
                  </c:pt>
                  <c:pt idx="11">
                    <c:v>24-Mar</c:v>
                  </c:pt>
                  <c:pt idx="12">
                    <c:v>25-Mar</c:v>
                  </c:pt>
                  <c:pt idx="13">
                    <c:v>26-Mar</c:v>
                  </c:pt>
                  <c:pt idx="14">
                    <c:v>27-Mar</c:v>
                  </c:pt>
                  <c:pt idx="15">
                    <c:v>28-Mar</c:v>
                  </c:pt>
                  <c:pt idx="16">
                    <c:v>29-Mar</c:v>
                  </c:pt>
                  <c:pt idx="17">
                    <c:v>30-Mar</c:v>
                  </c:pt>
                  <c:pt idx="18">
                    <c:v>31-Mar</c:v>
                  </c:pt>
                  <c:pt idx="19">
                    <c:v>01-Apr</c:v>
                  </c:pt>
                  <c:pt idx="20">
                    <c:v>02-Apr</c:v>
                  </c:pt>
                  <c:pt idx="21">
                    <c:v>03-Apr</c:v>
                  </c:pt>
                  <c:pt idx="22">
                    <c:v>04-Apr</c:v>
                  </c:pt>
                  <c:pt idx="23">
                    <c:v>05-Apr</c:v>
                  </c:pt>
                  <c:pt idx="24">
                    <c:v>06-Apr</c:v>
                  </c:pt>
                  <c:pt idx="25">
                    <c:v>07-Apr</c:v>
                  </c:pt>
                  <c:pt idx="26">
                    <c:v>08-Apr</c:v>
                  </c:pt>
                  <c:pt idx="27">
                    <c:v>09-Apr</c:v>
                  </c:pt>
                  <c:pt idx="28">
                    <c:v>10-Apr</c:v>
                  </c:pt>
                  <c:pt idx="29">
                    <c:v>11-Apr</c:v>
                  </c:pt>
                  <c:pt idx="30">
                    <c:v>12-Apr</c:v>
                  </c:pt>
                  <c:pt idx="31">
                    <c:v>13-Apr</c:v>
                  </c:pt>
                  <c:pt idx="32">
                    <c:v>14-Apr</c:v>
                  </c:pt>
                  <c:pt idx="33">
                    <c:v>15-Apr</c:v>
                  </c:pt>
                  <c:pt idx="34">
                    <c:v>16-Apr</c:v>
                  </c:pt>
                  <c:pt idx="35">
                    <c:v>17-Apr</c:v>
                  </c:pt>
                  <c:pt idx="36">
                    <c:v>18-Apr</c:v>
                  </c:pt>
                  <c:pt idx="37">
                    <c:v>19-Apr</c:v>
                  </c:pt>
                  <c:pt idx="38">
                    <c:v>20-Apr</c:v>
                  </c:pt>
                  <c:pt idx="39">
                    <c:v>21-Apr</c:v>
                  </c:pt>
                  <c:pt idx="40">
                    <c:v>22-Apr</c:v>
                  </c:pt>
                  <c:pt idx="41">
                    <c:v>23-Apr</c:v>
                  </c:pt>
                  <c:pt idx="42">
                    <c:v>24-Apr</c:v>
                  </c:pt>
                  <c:pt idx="43">
                    <c:v>25-Apr</c:v>
                  </c:pt>
                  <c:pt idx="44">
                    <c:v>26-Apr</c:v>
                  </c:pt>
                  <c:pt idx="45">
                    <c:v>27-Apr</c:v>
                  </c:pt>
                  <c:pt idx="46">
                    <c:v>28-Apr</c:v>
                  </c:pt>
                  <c:pt idx="47">
                    <c:v>29-Apr</c:v>
                  </c:pt>
                  <c:pt idx="48">
                    <c:v>30-Apr</c:v>
                  </c:pt>
                  <c:pt idx="49">
                    <c:v>01-May</c:v>
                  </c:pt>
                  <c:pt idx="50">
                    <c:v>02-May</c:v>
                  </c:pt>
                  <c:pt idx="51">
                    <c:v>03-May</c:v>
                  </c:pt>
                  <c:pt idx="52">
                    <c:v>04-May</c:v>
                  </c:pt>
                  <c:pt idx="53">
                    <c:v>05-May</c:v>
                  </c:pt>
                  <c:pt idx="54">
                    <c:v>06-May</c:v>
                  </c:pt>
                  <c:pt idx="55">
                    <c:v>07-May</c:v>
                  </c:pt>
                  <c:pt idx="56">
                    <c:v>08-May</c:v>
                  </c:pt>
                  <c:pt idx="57">
                    <c:v>09-May</c:v>
                  </c:pt>
                  <c:pt idx="58">
                    <c:v>10-May</c:v>
                  </c:pt>
                  <c:pt idx="59">
                    <c:v>11-May</c:v>
                  </c:pt>
                  <c:pt idx="60">
                    <c:v>12-May</c:v>
                  </c:pt>
                  <c:pt idx="61">
                    <c:v>13-May</c:v>
                  </c:pt>
                  <c:pt idx="62">
                    <c:v>14-May</c:v>
                  </c:pt>
                  <c:pt idx="63">
                    <c:v>15-May</c:v>
                  </c:pt>
                  <c:pt idx="64">
                    <c:v>16-May</c:v>
                  </c:pt>
                  <c:pt idx="65">
                    <c:v>17-May</c:v>
                  </c:pt>
                  <c:pt idx="66">
                    <c:v>18-May</c:v>
                  </c:pt>
                  <c:pt idx="67">
                    <c:v>19-May</c:v>
                  </c:pt>
                  <c:pt idx="68">
                    <c:v>20-May</c:v>
                  </c:pt>
                  <c:pt idx="69">
                    <c:v>21-May</c:v>
                  </c:pt>
                  <c:pt idx="70">
                    <c:v>22-May</c:v>
                  </c:pt>
                  <c:pt idx="71">
                    <c:v>23-May</c:v>
                  </c:pt>
                  <c:pt idx="72">
                    <c:v>24-May</c:v>
                  </c:pt>
                  <c:pt idx="73">
                    <c:v>25-May</c:v>
                  </c:pt>
                  <c:pt idx="74">
                    <c:v>26-May</c:v>
                  </c:pt>
                  <c:pt idx="75">
                    <c:v>27-May</c:v>
                  </c:pt>
                  <c:pt idx="76">
                    <c:v>28-May</c:v>
                  </c:pt>
                  <c:pt idx="77">
                    <c:v>29-May</c:v>
                  </c:pt>
                  <c:pt idx="78">
                    <c:v>30-May</c:v>
                  </c:pt>
                  <c:pt idx="79">
                    <c:v>31-May</c:v>
                  </c:pt>
                  <c:pt idx="80">
                    <c:v>01-Jun</c:v>
                  </c:pt>
                  <c:pt idx="81">
                    <c:v>02-Jun</c:v>
                  </c:pt>
                  <c:pt idx="82">
                    <c:v>03-Jun</c:v>
                  </c:pt>
                  <c:pt idx="83">
                    <c:v>04-Jun</c:v>
                  </c:pt>
                  <c:pt idx="84">
                    <c:v>05-Jun</c:v>
                  </c:pt>
                  <c:pt idx="85">
                    <c:v>06-Jun</c:v>
                  </c:pt>
                  <c:pt idx="86">
                    <c:v>07-Jun</c:v>
                  </c:pt>
                  <c:pt idx="87">
                    <c:v>08-Jun</c:v>
                  </c:pt>
                  <c:pt idx="88">
                    <c:v>09-Jun</c:v>
                  </c:pt>
                  <c:pt idx="89">
                    <c:v>10-Jun</c:v>
                  </c:pt>
                  <c:pt idx="90">
                    <c:v>11-Jun</c:v>
                  </c:pt>
                  <c:pt idx="91">
                    <c:v>12-Jun</c:v>
                  </c:pt>
                  <c:pt idx="92">
                    <c:v>13-Jun</c:v>
                  </c:pt>
                  <c:pt idx="93">
                    <c:v>14-Jun</c:v>
                  </c:pt>
                  <c:pt idx="94">
                    <c:v>15-Jun</c:v>
                  </c:pt>
                  <c:pt idx="95">
                    <c:v>16-Jun</c:v>
                  </c:pt>
                  <c:pt idx="96">
                    <c:v>17-Jun</c:v>
                  </c:pt>
                  <c:pt idx="97">
                    <c:v>18-Jun</c:v>
                  </c:pt>
                  <c:pt idx="98">
                    <c:v>19-Jun</c:v>
                  </c:pt>
                  <c:pt idx="99">
                    <c:v>20-Jun</c:v>
                  </c:pt>
                </c:lvl>
                <c:lvl>
                  <c:pt idx="0">
                    <c:v>Mar</c:v>
                  </c:pt>
                  <c:pt idx="19">
                    <c:v>Apr</c:v>
                  </c:pt>
                  <c:pt idx="49">
                    <c:v>May</c:v>
                  </c:pt>
                  <c:pt idx="80">
                    <c:v>Jun</c:v>
                  </c:pt>
                </c:lvl>
              </c:multiLvlStrCache>
            </c:multiLvlStrRef>
          </c:cat>
          <c:val>
            <c:numRef>
              <c:f>Sheet2!$E$5:$E$109</c:f>
              <c:numCache>
                <c:formatCode>0.0</c:formatCode>
                <c:ptCount val="100"/>
                <c:pt idx="0">
                  <c:v>3.2745098290008801</c:v>
                </c:pt>
                <c:pt idx="1">
                  <c:v>-14.7332895338697</c:v>
                </c:pt>
                <c:pt idx="2">
                  <c:v>-28.767184183368201</c:v>
                </c:pt>
                <c:pt idx="3">
                  <c:v>-5.5261685770169402</c:v>
                </c:pt>
                <c:pt idx="4">
                  <c:v>-11.895317900183599</c:v>
                </c:pt>
                <c:pt idx="5">
                  <c:v>-17.161257011614001</c:v>
                </c:pt>
                <c:pt idx="6">
                  <c:v>-17.4241643295301</c:v>
                </c:pt>
                <c:pt idx="7">
                  <c:v>-18.2665803182439</c:v>
                </c:pt>
                <c:pt idx="8">
                  <c:v>-35.645234992888597</c:v>
                </c:pt>
                <c:pt idx="9">
                  <c:v>-45.179592916441102</c:v>
                </c:pt>
                <c:pt idx="10">
                  <c:v>-36.221134721474101</c:v>
                </c:pt>
                <c:pt idx="11">
                  <c:v>-50.144889871755602</c:v>
                </c:pt>
                <c:pt idx="12">
                  <c:v>-52.755208751010798</c:v>
                </c:pt>
                <c:pt idx="13">
                  <c:v>-54.367666073916403</c:v>
                </c:pt>
                <c:pt idx="14">
                  <c:v>-52.308775498632201</c:v>
                </c:pt>
                <c:pt idx="15">
                  <c:v>-62.226455356860598</c:v>
                </c:pt>
                <c:pt idx="16">
                  <c:v>-67.323297403357302</c:v>
                </c:pt>
                <c:pt idx="17">
                  <c:v>-56.019682049409802</c:v>
                </c:pt>
                <c:pt idx="18">
                  <c:v>-54.732929482641701</c:v>
                </c:pt>
                <c:pt idx="19">
                  <c:v>-52.2934612748954</c:v>
                </c:pt>
                <c:pt idx="20">
                  <c:v>-51.636323385199702</c:v>
                </c:pt>
                <c:pt idx="21">
                  <c:v>-46.444892696216598</c:v>
                </c:pt>
                <c:pt idx="22">
                  <c:v>-55.1235533239864</c:v>
                </c:pt>
                <c:pt idx="23">
                  <c:v>-59.806775328409898</c:v>
                </c:pt>
                <c:pt idx="24">
                  <c:v>-50.584146910483398</c:v>
                </c:pt>
                <c:pt idx="25">
                  <c:v>-48.865859861868302</c:v>
                </c:pt>
                <c:pt idx="26">
                  <c:v>-48.003517128405498</c:v>
                </c:pt>
                <c:pt idx="27">
                  <c:v>-47.634271686277899</c:v>
                </c:pt>
                <c:pt idx="28">
                  <c:v>-51.118736082393099</c:v>
                </c:pt>
                <c:pt idx="29">
                  <c:v>-53.559689098670297</c:v>
                </c:pt>
                <c:pt idx="30">
                  <c:v>-62.256650857527703</c:v>
                </c:pt>
                <c:pt idx="31">
                  <c:v>-58.092418437045801</c:v>
                </c:pt>
                <c:pt idx="32">
                  <c:v>-47.6041598083346</c:v>
                </c:pt>
                <c:pt idx="33">
                  <c:v>-47.861560046145897</c:v>
                </c:pt>
                <c:pt idx="34">
                  <c:v>-46.558230399680497</c:v>
                </c:pt>
                <c:pt idx="35">
                  <c:v>-47.124154087460703</c:v>
                </c:pt>
                <c:pt idx="36">
                  <c:v>-54.601620047653597</c:v>
                </c:pt>
                <c:pt idx="37">
                  <c:v>-56.348471877569303</c:v>
                </c:pt>
                <c:pt idx="38">
                  <c:v>-47.821320014377498</c:v>
                </c:pt>
                <c:pt idx="39">
                  <c:v>-46.2882589623458</c:v>
                </c:pt>
                <c:pt idx="40">
                  <c:v>-45.251958816989003</c:v>
                </c:pt>
                <c:pt idx="41">
                  <c:v>-44.418128888034701</c:v>
                </c:pt>
                <c:pt idx="42">
                  <c:v>-42.133077380092203</c:v>
                </c:pt>
                <c:pt idx="43">
                  <c:v>-49.8082155313868</c:v>
                </c:pt>
                <c:pt idx="44">
                  <c:v>-54.7843342069188</c:v>
                </c:pt>
                <c:pt idx="45">
                  <c:v>-44.891380499444701</c:v>
                </c:pt>
                <c:pt idx="46">
                  <c:v>-48.3089307766964</c:v>
                </c:pt>
                <c:pt idx="47">
                  <c:v>-46.795196442482897</c:v>
                </c:pt>
                <c:pt idx="48">
                  <c:v>-46.079795345966602</c:v>
                </c:pt>
                <c:pt idx="49">
                  <c:v>-41.576595990090802</c:v>
                </c:pt>
                <c:pt idx="50">
                  <c:v>-46.0200736482279</c:v>
                </c:pt>
                <c:pt idx="51">
                  <c:v>-54.251879300038901</c:v>
                </c:pt>
                <c:pt idx="52">
                  <c:v>-42.483729114156397</c:v>
                </c:pt>
                <c:pt idx="53">
                  <c:v>-41.264561602759898</c:v>
                </c:pt>
                <c:pt idx="54">
                  <c:v>-33.545503280579403</c:v>
                </c:pt>
                <c:pt idx="55">
                  <c:v>-36.581024826665903</c:v>
                </c:pt>
                <c:pt idx="56">
                  <c:v>-41.667857476715902</c:v>
                </c:pt>
                <c:pt idx="57">
                  <c:v>-42.844803768300501</c:v>
                </c:pt>
                <c:pt idx="58">
                  <c:v>-55.209332002090797</c:v>
                </c:pt>
                <c:pt idx="59">
                  <c:v>-39.998459836126102</c:v>
                </c:pt>
                <c:pt idx="60">
                  <c:v>-38.641998207134499</c:v>
                </c:pt>
                <c:pt idx="61">
                  <c:v>-35.608782455879698</c:v>
                </c:pt>
                <c:pt idx="62">
                  <c:v>-33.340062081469199</c:v>
                </c:pt>
                <c:pt idx="63">
                  <c:v>-30.306102347645499</c:v>
                </c:pt>
                <c:pt idx="64">
                  <c:v>-35.4778533079024</c:v>
                </c:pt>
                <c:pt idx="65">
                  <c:v>-41.587321191306799</c:v>
                </c:pt>
                <c:pt idx="66">
                  <c:v>-31.3920942851889</c:v>
                </c:pt>
                <c:pt idx="67">
                  <c:v>-29.891137510501299</c:v>
                </c:pt>
                <c:pt idx="68">
                  <c:v>-26.1042179134785</c:v>
                </c:pt>
                <c:pt idx="69">
                  <c:v>-27.895208932032698</c:v>
                </c:pt>
                <c:pt idx="70">
                  <c:v>-27.748550900877799</c:v>
                </c:pt>
                <c:pt idx="71">
                  <c:v>-35.021135066254203</c:v>
                </c:pt>
                <c:pt idx="72">
                  <c:v>-36.335658643438798</c:v>
                </c:pt>
                <c:pt idx="73">
                  <c:v>-26.590314983323999</c:v>
                </c:pt>
                <c:pt idx="74">
                  <c:v>-23.4308040224427</c:v>
                </c:pt>
                <c:pt idx="75">
                  <c:v>-23.181556726526299</c:v>
                </c:pt>
                <c:pt idx="76">
                  <c:v>-22.025660965141</c:v>
                </c:pt>
                <c:pt idx="77">
                  <c:v>-24.245741403797702</c:v>
                </c:pt>
                <c:pt idx="78">
                  <c:v>-27.0153878960596</c:v>
                </c:pt>
                <c:pt idx="79">
                  <c:v>-34.093642320702301</c:v>
                </c:pt>
                <c:pt idx="80">
                  <c:v>-22.838003143418099</c:v>
                </c:pt>
                <c:pt idx="81">
                  <c:v>-21.400963429043401</c:v>
                </c:pt>
                <c:pt idx="82">
                  <c:v>-29.434254361331401</c:v>
                </c:pt>
                <c:pt idx="83">
                  <c:v>-32.651551838110002</c:v>
                </c:pt>
                <c:pt idx="84">
                  <c:v>-22.4899755399518</c:v>
                </c:pt>
                <c:pt idx="85">
                  <c:v>-32.069724973824897</c:v>
                </c:pt>
                <c:pt idx="86">
                  <c:v>-38.663209530925599</c:v>
                </c:pt>
                <c:pt idx="87">
                  <c:v>-23.468786051000201</c:v>
                </c:pt>
                <c:pt idx="88">
                  <c:v>-27.945630727848901</c:v>
                </c:pt>
                <c:pt idx="89">
                  <c:v>-29.0062162883032</c:v>
                </c:pt>
                <c:pt idx="90">
                  <c:v>-30.967817242533201</c:v>
                </c:pt>
                <c:pt idx="91">
                  <c:v>-29.990465722274301</c:v>
                </c:pt>
                <c:pt idx="92">
                  <c:v>-28.041794132266698</c:v>
                </c:pt>
                <c:pt idx="93">
                  <c:v>-19.997820506463899</c:v>
                </c:pt>
                <c:pt idx="94">
                  <c:v>-10.6160409850834</c:v>
                </c:pt>
                <c:pt idx="95">
                  <c:v>-12.3620787039939</c:v>
                </c:pt>
                <c:pt idx="96">
                  <c:v>-11.6926051899474</c:v>
                </c:pt>
                <c:pt idx="97">
                  <c:v>-17.163958437533001</c:v>
                </c:pt>
                <c:pt idx="98">
                  <c:v>-10.193226145644701</c:v>
                </c:pt>
                <c:pt idx="99">
                  <c:v>-7.8030564698121303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869-42C6-8963-4D012DFCA1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3226479"/>
        <c:axId val="1363510255"/>
      </c:lineChart>
      <c:catAx>
        <c:axId val="1593226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3510255"/>
        <c:crosses val="autoZero"/>
        <c:auto val="1"/>
        <c:lblAlgn val="ctr"/>
        <c:lblOffset val="100"/>
        <c:noMultiLvlLbl val="0"/>
      </c:catAx>
      <c:valAx>
        <c:axId val="136351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3226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+mn-lt"/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Do Lee</dc:creator>
  <cp:keywords/>
  <dc:description/>
  <cp:lastModifiedBy>Won Do Lee</cp:lastModifiedBy>
  <cp:revision>4</cp:revision>
  <dcterms:created xsi:type="dcterms:W3CDTF">2023-03-31T05:16:00Z</dcterms:created>
  <dcterms:modified xsi:type="dcterms:W3CDTF">2023-03-31T07:27:00Z</dcterms:modified>
</cp:coreProperties>
</file>