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20"/>
      </w:pPr>
      <w:r>
        <w:rPr>
          <w:rFonts w:ascii="微软雅黑" w:hAnsi="微软雅黑" w:eastAsia="微软雅黑"/>
          <w:b/>
          <w:color w:val="1F3585"/>
          <w:sz w:val="48"/>
        </w:rPr>
        <w:t>Winnsen 硬件结构知识与钣金模型生成平台 MVP</w:t>
      </w:r>
    </w:p>
    <w:p>
      <w:pPr>
        <w:spacing w:after="320"/>
      </w:pPr>
      <w:r>
        <w:rPr>
          <w:rFonts w:ascii="微软雅黑" w:hAnsi="微软雅黑" w:eastAsia="微软雅黑"/>
          <w:b w:val="0"/>
          <w:color w:val="637083"/>
          <w:sz w:val="23"/>
        </w:rPr>
        <w:t>项目内容及进度汇报 | 面向领导汇报 | 2026-05-19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8" w:type="dxa"/>
            <w:shd w:val="clear" w:color="auto" w:fill="EAF0FF"/>
          </w:tcPr>
          <w:p>
            <w:r>
              <w:rPr>
                <w:rFonts w:ascii="微软雅黑" w:hAnsi="微软雅黑" w:eastAsia="微软雅黑"/>
                <w:b/>
                <w:color w:val="1F3585"/>
                <w:sz w:val="23"/>
              </w:rPr>
              <w:t>当前阶段</w:t>
            </w:r>
          </w:p>
          <w:p>
            <w:r>
              <w:rPr>
                <w:rFonts w:ascii="微软雅黑" w:hAnsi="微软雅黑" w:eastAsia="微软雅黑"/>
                <w:b w:val="0"/>
                <w:color w:val="17233C"/>
                <w:sz w:val="20"/>
              </w:rPr>
              <w:t>已完成 16029 / 1000W x 1917H x 550D / 10门 FreeCAD 规则参考模型，并通过基础校验。</w:t>
            </w:r>
          </w:p>
        </w:tc>
      </w:tr>
    </w:tbl>
    <w:p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35" w:type="dxa"/>
            <w:shd w:val="clear" w:color="auto" w:fill="1F358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汇报重点</w:t>
            </w:r>
          </w:p>
        </w:tc>
        <w:tc>
          <w:tcPr>
            <w:tcW w:w="10488" w:type="dxa"/>
            <w:shd w:val="clear" w:color="auto" w:fill="1F358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工程价值</w:t>
            </w:r>
          </w:p>
        </w:tc>
        <w:tc>
          <w:tcPr>
            <w:tcW w:w="10488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沉淀门数变化规则，减少结构工程师重复建模和前期判断时间。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当前成果</w:t>
            </w:r>
          </w:p>
        </w:tc>
        <w:tc>
          <w:tcPr>
            <w:tcW w:w="1048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平台链路 + 数据边界 + 双 CAD 路线 + 首个可校验模型。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下一步</w:t>
            </w:r>
          </w:p>
        </w:tc>
        <w:tc>
          <w:tcPr>
            <w:tcW w:w="10488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生成 12/14 门对照样本，形成同外形门数变化规则表。</w:t>
            </w:r>
          </w:p>
        </w:tc>
      </w:tr>
    </w:tbl>
    <w:p/>
    <w:p>
      <w:r>
        <w:br w:type="page"/>
      </w:r>
    </w:p>
    <w:p>
      <w:pPr>
        <w:spacing w:after="120"/>
      </w:pPr>
      <w:r>
        <w:rPr>
          <w:rFonts w:ascii="微软雅黑" w:hAnsi="微软雅黑" w:eastAsia="微软雅黑"/>
          <w:b/>
          <w:color w:val="1F3585"/>
          <w:sz w:val="48"/>
        </w:rPr>
        <w:t>阶段总览</w:t>
      </w:r>
    </w:p>
    <w:p>
      <w:pPr>
        <w:spacing w:after="320"/>
      </w:pPr>
      <w:r>
        <w:rPr>
          <w:rFonts w:ascii="微软雅黑" w:hAnsi="微软雅黑" w:eastAsia="微软雅黑"/>
          <w:b w:val="0"/>
          <w:color w:val="637083"/>
          <w:sz w:val="23"/>
        </w:rPr>
        <w:t>3 分钟汇报结论</w:t>
      </w:r>
    </w:p>
    <w:p>
      <w:pPr>
        <w:spacing w:after="160" w:line="276" w:lineRule="auto"/>
      </w:pPr>
      <w:r>
        <w:rPr>
          <w:rFonts w:ascii="微软雅黑" w:hAnsi="微软雅黑" w:eastAsia="微软雅黑"/>
          <w:b/>
          <w:color w:val="17233C"/>
          <w:sz w:val="24"/>
        </w:rPr>
        <w:t>项目已经从页面原型推进到“有一个可校验规则生成模型”的阶段；后续不再堆模型库存，而是用代表样本提炼可复用参数化规则。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13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1F358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w="11339" w:type="dxa"/>
            <w:shd w:val="clear" w:color="auto" w:fill="1F358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当前结论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业务问题</w:t>
            </w:r>
          </w:p>
        </w:tc>
        <w:tc>
          <w:tcPr>
            <w:tcW w:w="11339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标准模型多、尺寸变体多、重复建模耗时，结构规则难复用。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当前成果</w:t>
            </w:r>
          </w:p>
        </w:tc>
        <w:tc>
          <w:tcPr>
            <w:tcW w:w="11339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16029 / 1000W x 1917H x 550D / 10门工程参考模型已生成并校验通过。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技术路线</w:t>
            </w:r>
          </w:p>
        </w:tc>
        <w:tc>
          <w:tcPr>
            <w:tcW w:w="11339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FreeCAD 先验证规则；SolidWorks 作为工程交接和复核通道。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项目边界</w:t>
            </w:r>
          </w:p>
        </w:tc>
        <w:tc>
          <w:tcPr>
            <w:tcW w:w="11339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当前不是生产图纸；正式 SolidWorks 图纸、DXF、BOM 仍需工程流程放行。</w:t>
            </w:r>
          </w:p>
        </w:tc>
      </w:tr>
    </w:tbl>
    <w:p/>
    <w:p>
      <w:r>
        <w:br w:type="page"/>
      </w:r>
    </w:p>
    <w:p>
      <w:pPr>
        <w:spacing w:after="120"/>
      </w:pPr>
      <w:r>
        <w:rPr>
          <w:rFonts w:ascii="微软雅黑" w:hAnsi="微软雅黑" w:eastAsia="微软雅黑"/>
          <w:b/>
          <w:color w:val="1F3585"/>
          <w:sz w:val="48"/>
        </w:rPr>
        <w:t>前期工作</w:t>
      </w:r>
    </w:p>
    <w:p>
      <w:pPr>
        <w:spacing w:after="160" w:line="276" w:lineRule="auto"/>
      </w:pPr>
      <w:r>
        <w:rPr>
          <w:rFonts w:ascii="微软雅黑" w:hAnsi="微软雅黑" w:eastAsia="微软雅黑"/>
          <w:b w:val="0"/>
          <w:color w:val="17233C"/>
          <w:sz w:val="21"/>
        </w:rPr>
        <w:t>把数据、入口、生成链路、校验和风险边界摸清。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5102"/>
        <w:gridCol w:w="56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1F358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前期工作</w:t>
            </w:r>
          </w:p>
        </w:tc>
        <w:tc>
          <w:tcPr>
            <w:tcW w:w="5102" w:type="dxa"/>
            <w:shd w:val="clear" w:color="auto" w:fill="1F358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转化成的项目资产</w:t>
            </w:r>
          </w:p>
        </w:tc>
        <w:tc>
          <w:tcPr>
            <w:tcW w:w="5669" w:type="dxa"/>
            <w:shd w:val="clear" w:color="auto" w:fill="1F358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对后续的价值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五个 MVP 页面</w:t>
            </w:r>
          </w:p>
        </w:tc>
        <w:tc>
          <w:tcPr>
            <w:tcW w:w="5102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项目总览、数据录入、规则成熟度、可生成模型、待确认项</w:t>
            </w:r>
          </w:p>
        </w:tc>
        <w:tc>
          <w:tcPr>
            <w:tcW w:w="5669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让项目从散乱脚本变成可管理平台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CAD 数据资产梳理</w:t>
            </w:r>
          </w:p>
        </w:tc>
        <w:tc>
          <w:tcPr>
            <w:tcW w:w="510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明确 16029 柜体族、标准模型、补充素材、输出目录</w:t>
            </w:r>
          </w:p>
        </w:tc>
        <w:tc>
          <w:tcPr>
            <w:tcW w:w="5669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后续生成不再凭空猜测，有来源和边界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SolidWorks / FreeCAD 双入口</w:t>
            </w:r>
          </w:p>
        </w:tc>
        <w:tc>
          <w:tcPr>
            <w:tcW w:w="5102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建立两条 CAD 路线和任务记录</w:t>
            </w:r>
          </w:p>
        </w:tc>
        <w:tc>
          <w:tcPr>
            <w:tcW w:w="5669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SolidWorks 不顺时，FreeCAD 仍能推进规则验证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SolidWorks 试错</w:t>
            </w:r>
          </w:p>
        </w:tc>
        <w:tc>
          <w:tcPr>
            <w:tcW w:w="510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发现自动装配错位、窗口过多、资源压力等风险</w:t>
            </w:r>
          </w:p>
        </w:tc>
        <w:tc>
          <w:tcPr>
            <w:tcW w:w="5669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避免继续把时间耗在不稳定路径上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校验机制</w:t>
            </w:r>
          </w:p>
        </w:tc>
        <w:tc>
          <w:tcPr>
            <w:tcW w:w="5102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数量校验、bbox、几何完整性、工程交付说明</w:t>
            </w:r>
          </w:p>
        </w:tc>
        <w:tc>
          <w:tcPr>
            <w:tcW w:w="5669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模型不只看起来像，还要有数据证明可复核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路线收敛</w:t>
            </w:r>
          </w:p>
        </w:tc>
        <w:tc>
          <w:tcPr>
            <w:tcW w:w="510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从“克隆模型”调整为“规则生成 + 工程交接”</w:t>
            </w:r>
          </w:p>
        </w:tc>
        <w:tc>
          <w:tcPr>
            <w:tcW w:w="5669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把项目目标拉回工程师提效，而不是堆展示页面</w:t>
            </w:r>
          </w:p>
        </w:tc>
      </w:tr>
    </w:tbl>
    <w:p/>
    <w:p>
      <w:r>
        <w:br w:type="page"/>
      </w:r>
    </w:p>
    <w:p>
      <w:pPr>
        <w:spacing w:after="120"/>
      </w:pPr>
      <w:r>
        <w:rPr>
          <w:rFonts w:ascii="微软雅黑" w:hAnsi="微软雅黑" w:eastAsia="微软雅黑"/>
          <w:b/>
          <w:color w:val="1F3585"/>
          <w:sz w:val="48"/>
        </w:rPr>
        <w:t>项目背景与目标</w:t>
      </w:r>
    </w:p>
    <w:p>
      <w:pPr>
        <w:spacing w:after="320"/>
      </w:pPr>
      <w:r>
        <w:rPr>
          <w:rFonts w:ascii="微软雅黑" w:hAnsi="微软雅黑" w:eastAsia="微软雅黑"/>
          <w:b w:val="0"/>
          <w:color w:val="637083"/>
          <w:sz w:val="23"/>
        </w:rPr>
        <w:t>项目解决的问题与当前目标</w:t>
      </w:r>
    </w:p>
    <w:p>
      <w:pPr>
        <w:spacing w:after="100"/>
        <w:ind w:left="312" w:hanging="142"/>
      </w:pPr>
      <w:r>
        <w:rPr>
          <w:rFonts w:ascii="微软雅黑" w:hAnsi="微软雅黑" w:eastAsia="微软雅黑"/>
          <w:b/>
          <w:color w:val="F04A12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17233C"/>
          <w:sz w:val="21"/>
        </w:rPr>
        <w:t>重复建模：不同门数、不同门高、不同五金组合需要反复调整。</w:t>
      </w:r>
    </w:p>
    <w:p>
      <w:pPr>
        <w:spacing w:after="100"/>
        <w:ind w:left="312" w:hanging="142"/>
      </w:pPr>
      <w:r>
        <w:rPr>
          <w:rFonts w:ascii="微软雅黑" w:hAnsi="微软雅黑" w:eastAsia="微软雅黑"/>
          <w:b/>
          <w:color w:val="F04A12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17233C"/>
          <w:sz w:val="21"/>
        </w:rPr>
        <w:t>规则分散：经验藏在历史模型、文件夹和工程师个人习惯中。</w:t>
      </w:r>
    </w:p>
    <w:p>
      <w:pPr>
        <w:spacing w:after="100"/>
        <w:ind w:left="312" w:hanging="142"/>
      </w:pPr>
      <w:r>
        <w:rPr>
          <w:rFonts w:ascii="微软雅黑" w:hAnsi="微软雅黑" w:eastAsia="微软雅黑"/>
          <w:b/>
          <w:color w:val="F04A12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17233C"/>
          <w:sz w:val="21"/>
        </w:rPr>
        <w:t>交接成本：没有统一的参数、校验和交付格式，工程复核效率低。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8504"/>
        <w:gridCol w:w="2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F358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  <w:tc>
          <w:tcPr>
            <w:tcW w:w="8504" w:type="dxa"/>
            <w:shd w:val="clear" w:color="auto" w:fill="1F358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w="2835" w:type="dxa"/>
            <w:shd w:val="clear" w:color="auto" w:fill="1F358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规则沉淀</w:t>
            </w:r>
          </w:p>
        </w:tc>
        <w:tc>
          <w:tcPr>
            <w:tcW w:w="8504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把门数、门距、层板、锁位、铰链等变化关系转成可复用规则。</w:t>
            </w:r>
          </w:p>
        </w:tc>
        <w:tc>
          <w:tcPr>
            <w:tcW w:w="2835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进行中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模型生成</w:t>
            </w:r>
          </w:p>
        </w:tc>
        <w:tc>
          <w:tcPr>
            <w:tcW w:w="8504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按参数生成工程参考模型，输出 STEP/FCStd 和校验报告。</w:t>
            </w:r>
          </w:p>
        </w:tc>
        <w:tc>
          <w:tcPr>
            <w:tcW w:w="2835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10门已通过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工程提效</w:t>
            </w:r>
          </w:p>
        </w:tc>
        <w:tc>
          <w:tcPr>
            <w:tcW w:w="8504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让结构工程师先拿到可复核模型和参数表，再进入正式图纸。</w:t>
            </w:r>
          </w:p>
        </w:tc>
        <w:tc>
          <w:tcPr>
            <w:tcW w:w="2835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已形成首个样本</w:t>
            </w:r>
          </w:p>
        </w:tc>
      </w:tr>
    </w:tbl>
    <w:p/>
    <w:p>
      <w:r>
        <w:br w:type="page"/>
      </w:r>
    </w:p>
    <w:p>
      <w:pPr>
        <w:spacing w:after="120"/>
      </w:pPr>
      <w:r>
        <w:rPr>
          <w:rFonts w:ascii="微软雅黑" w:hAnsi="微软雅黑" w:eastAsia="微软雅黑"/>
          <w:b/>
          <w:color w:val="1F3585"/>
          <w:sz w:val="48"/>
        </w:rPr>
        <w:t>平台能力</w:t>
      </w:r>
    </w:p>
    <w:p>
      <w:pPr>
        <w:spacing w:after="320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 w:val="0"/>
          <w:color w:val="637083"/>
          <w:sz w:val="23"/>
        </w:rPr>
        <w:t>MVP 已具备可操作入口和双 CAD 路线</w:t>
      </w:r>
      <w:r>
        <w:rPr>
          <w:rFonts w:hint="eastAsia" w:eastAsia="微软雅黑"/>
          <w:lang w:eastAsia="zh-CN"/>
        </w:rPr>
        <w:drawing>
          <wp:inline distT="0" distB="0" distL="114300" distR="114300">
            <wp:extent cx="9709150" cy="5194300"/>
            <wp:effectExtent l="0" t="0" r="6350" b="6350"/>
            <wp:docPr id="6" name="图片 6" descr="QQ20260519-103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QQ20260519-1033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0915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r>
        <w:br w:type="page"/>
      </w:r>
    </w:p>
    <w:p>
      <w:pPr>
        <w:spacing w:after="120"/>
      </w:pPr>
      <w:r>
        <w:rPr>
          <w:rFonts w:ascii="微软雅黑" w:hAnsi="微软雅黑" w:eastAsia="微软雅黑"/>
          <w:b/>
          <w:color w:val="1F3585"/>
          <w:sz w:val="48"/>
        </w:rPr>
        <w:t>总体方案</w:t>
      </w:r>
    </w:p>
    <w:p>
      <w:pPr>
        <w:spacing w:after="320"/>
      </w:pPr>
      <w:r>
        <w:rPr>
          <w:rFonts w:ascii="微软雅黑" w:hAnsi="微软雅黑" w:eastAsia="微软雅黑"/>
          <w:b w:val="0"/>
          <w:color w:val="637083"/>
          <w:sz w:val="23"/>
        </w:rPr>
        <w:t>从标准模型到工程参考模型</w:t>
      </w:r>
    </w:p>
    <w:p>
      <w:pPr>
        <w:jc w:val="center"/>
      </w:pPr>
      <w:r>
        <w:drawing>
          <wp:inline distT="0" distB="0" distL="114300" distR="114300">
            <wp:extent cx="8819515" cy="3968750"/>
            <wp:effectExtent l="0" t="0" r="63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3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/>
      </w:pPr>
      <w:r>
        <w:rPr>
          <w:rFonts w:ascii="微软雅黑" w:hAnsi="微软雅黑" w:eastAsia="微软雅黑"/>
          <w:b/>
          <w:color w:val="1F3585"/>
          <w:sz w:val="48"/>
        </w:rPr>
        <w:t>数据资产与范围</w:t>
      </w:r>
    </w:p>
    <w:p>
      <w:pPr>
        <w:spacing w:after="320"/>
      </w:pPr>
      <w:r>
        <w:rPr>
          <w:rFonts w:ascii="微软雅黑" w:hAnsi="微软雅黑" w:eastAsia="微软雅黑"/>
          <w:b w:val="0"/>
          <w:color w:val="637083"/>
          <w:sz w:val="23"/>
        </w:rPr>
        <w:t>当前先聚焦 16029 柜体族，不泛化到所有产品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108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1F358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w="10885" w:type="dxa"/>
            <w:shd w:val="clear" w:color="auto" w:fill="1F358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主数据工作区</w:t>
            </w:r>
          </w:p>
        </w:tc>
        <w:tc>
          <w:tcPr>
            <w:tcW w:w="10885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D:\机械结构工程师智能体：历史 CAD、STEP、SolidWorks 证据、组件/transform/bbox 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补充素材</w:t>
            </w:r>
          </w:p>
        </w:tc>
        <w:tc>
          <w:tcPr>
            <w:tcW w:w="10885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C:\Users\Administrator\Desktop\参数化模板素材：后续补齐标准样本和特殊门型。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当前交付包</w:t>
            </w:r>
          </w:p>
        </w:tc>
        <w:tc>
          <w:tcPr>
            <w:tcW w:w="10885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D:\Winnsen_Structure_Agent_Studio\workers\generated_models\FREECAD-16029-10DOOR-VARIANT-20260519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当前优先级</w:t>
            </w:r>
          </w:p>
        </w:tc>
        <w:tc>
          <w:tcPr>
            <w:tcW w:w="10885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先跑通 16029 同外形 10/12/14 门变化规则，再扩展宽度和特殊门型。</w:t>
            </w:r>
          </w:p>
        </w:tc>
      </w:tr>
    </w:tbl>
    <w:p/>
    <w:p>
      <w:r>
        <w:br w:type="page"/>
      </w:r>
    </w:p>
    <w:p>
      <w:pPr>
        <w:spacing w:after="120"/>
      </w:pPr>
      <w:r>
        <w:rPr>
          <w:rFonts w:ascii="微软雅黑" w:hAnsi="微软雅黑" w:eastAsia="微软雅黑"/>
          <w:b/>
          <w:color w:val="1F3585"/>
          <w:sz w:val="48"/>
        </w:rPr>
        <w:t>已完成模型</w:t>
      </w:r>
    </w:p>
    <w:p>
      <w:pPr>
        <w:spacing w:after="320"/>
      </w:pPr>
      <w:r>
        <w:rPr>
          <w:rFonts w:ascii="微软雅黑" w:hAnsi="微软雅黑" w:eastAsia="微软雅黑"/>
          <w:b w:val="0"/>
          <w:color w:val="637083"/>
          <w:sz w:val="23"/>
        </w:rPr>
        <w:t>16029 / 1000W x 1917H x 550D / 10门</w:t>
      </w:r>
    </w:p>
    <w:p>
      <w:pPr>
        <w:jc w:val="center"/>
      </w:pPr>
      <w:r>
        <w:drawing>
          <wp:inline distT="0" distB="0" distL="114300" distR="114300">
            <wp:extent cx="8819515" cy="4960620"/>
            <wp:effectExtent l="0" t="0" r="63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496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/>
      </w:pPr>
      <w:r>
        <w:rPr>
          <w:rFonts w:ascii="微软雅黑" w:hAnsi="微软雅黑" w:eastAsia="微软雅黑"/>
          <w:b/>
          <w:color w:val="1F3585"/>
          <w:sz w:val="48"/>
        </w:rPr>
        <w:t>规则种子</w:t>
      </w:r>
    </w:p>
    <w:p>
      <w:pPr>
        <w:spacing w:after="320"/>
      </w:pPr>
      <w:r>
        <w:rPr>
          <w:rFonts w:ascii="微软雅黑" w:hAnsi="微软雅黑" w:eastAsia="微软雅黑"/>
          <w:b w:val="0"/>
          <w:color w:val="637083"/>
          <w:sz w:val="23"/>
        </w:rPr>
        <w:t>当前已沉淀的 16029 10门规则种子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4252"/>
        <w:gridCol w:w="66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1F358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规则项</w:t>
            </w:r>
          </w:p>
        </w:tc>
        <w:tc>
          <w:tcPr>
            <w:tcW w:w="4252" w:type="dxa"/>
            <w:shd w:val="clear" w:color="auto" w:fill="1F358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当前值</w:t>
            </w:r>
          </w:p>
        </w:tc>
        <w:tc>
          <w:tcPr>
            <w:tcW w:w="6690" w:type="dxa"/>
            <w:shd w:val="clear" w:color="auto" w:fill="1F358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工程意义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外形目标</w:t>
            </w:r>
          </w:p>
        </w:tc>
        <w:tc>
          <w:tcPr>
            <w:tcW w:w="4252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1000W x 1917H x 550D</w:t>
            </w:r>
          </w:p>
        </w:tc>
        <w:tc>
          <w:tcPr>
            <w:tcW w:w="6690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同外形门数变化的第一组样本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门数布局</w:t>
            </w:r>
          </w:p>
        </w:tc>
        <w:tc>
          <w:tcPr>
            <w:tcW w:w="425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10门 / 2列 x 5行</w:t>
            </w:r>
          </w:p>
        </w:tc>
        <w:tc>
          <w:tcPr>
            <w:tcW w:w="669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用于推导 12/14 门对照规则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单门尺寸</w:t>
            </w:r>
          </w:p>
        </w:tc>
        <w:tc>
          <w:tcPr>
            <w:tcW w:w="4252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437W x 359H mm</w:t>
            </w:r>
          </w:p>
        </w:tc>
        <w:tc>
          <w:tcPr>
            <w:tcW w:w="6690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门高随门数变化重算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门距</w:t>
            </w:r>
          </w:p>
        </w:tc>
        <w:tc>
          <w:tcPr>
            <w:tcW w:w="425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366 mm</w:t>
            </w:r>
          </w:p>
        </w:tc>
        <w:tc>
          <w:tcPr>
            <w:tcW w:w="669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驱动门板、层板、横隔、锁位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数量校验</w:t>
            </w:r>
          </w:p>
        </w:tc>
        <w:tc>
          <w:tcPr>
            <w:tcW w:w="4252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10门模块 / 10锁孔 / 8层板 / 8横隔</w:t>
            </w:r>
          </w:p>
        </w:tc>
        <w:tc>
          <w:tcPr>
            <w:tcW w:w="6690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基础数量关系已通过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几何完整性</w:t>
            </w:r>
          </w:p>
        </w:tc>
        <w:tc>
          <w:tcPr>
            <w:tcW w:w="425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invalid shape = 0</w:t>
            </w:r>
          </w:p>
        </w:tc>
        <w:tc>
          <w:tcPr>
            <w:tcW w:w="669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FCStd 基础完整性检查通过</w:t>
            </w:r>
          </w:p>
        </w:tc>
      </w:tr>
    </w:tbl>
    <w:p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8" w:type="dxa"/>
            <w:shd w:val="clear" w:color="auto" w:fill="FFF1EA"/>
          </w:tcPr>
          <w:p>
            <w:r>
              <w:rPr>
                <w:rFonts w:ascii="微软雅黑" w:hAnsi="微软雅黑" w:eastAsia="微软雅黑"/>
                <w:b/>
                <w:color w:val="1F3585"/>
                <w:sz w:val="23"/>
              </w:rPr>
              <w:t>结论</w:t>
            </w:r>
          </w:p>
          <w:p>
            <w:r>
              <w:rPr>
                <w:rFonts w:ascii="微软雅黑" w:hAnsi="微软雅黑" w:eastAsia="微软雅黑"/>
                <w:b w:val="0"/>
                <w:color w:val="17233C"/>
                <w:sz w:val="20"/>
              </w:rPr>
              <w:t>当前不是在提前做所有变体，而是在用代表样本提炼可复用生成规则。</w:t>
            </w:r>
          </w:p>
        </w:tc>
      </w:tr>
    </w:tbl>
    <w:p/>
    <w:p>
      <w:r>
        <w:br w:type="page"/>
      </w:r>
    </w:p>
    <w:p>
      <w:pPr>
        <w:spacing w:after="120"/>
      </w:pPr>
      <w:r>
        <w:rPr>
          <w:rFonts w:ascii="微软雅黑" w:hAnsi="微软雅黑" w:eastAsia="微软雅黑"/>
          <w:b/>
          <w:color w:val="1F3585"/>
          <w:sz w:val="48"/>
        </w:rPr>
        <w:t>校验结果</w:t>
      </w:r>
    </w:p>
    <w:p>
      <w:pPr>
        <w:spacing w:after="320"/>
      </w:pPr>
      <w:r>
        <w:rPr>
          <w:rFonts w:ascii="微软雅黑" w:hAnsi="微软雅黑" w:eastAsia="微软雅黑"/>
          <w:b w:val="0"/>
          <w:color w:val="637083"/>
          <w:sz w:val="23"/>
        </w:rPr>
        <w:t>基础完整性和数量规则均通过</w:t>
      </w:r>
    </w:p>
    <w:p>
      <w:pPr>
        <w:jc w:val="center"/>
      </w:pPr>
      <w:bookmarkStart w:id="0" w:name="_GoBack"/>
      <w:r>
        <w:drawing>
          <wp:inline distT="0" distB="0" distL="114300" distR="114300">
            <wp:extent cx="8819515" cy="4519930"/>
            <wp:effectExtent l="0" t="0" r="635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452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r>
        <w:br w:type="page"/>
      </w:r>
    </w:p>
    <w:p>
      <w:pPr>
        <w:spacing w:after="120"/>
      </w:pPr>
      <w:r>
        <w:rPr>
          <w:rFonts w:ascii="微软雅黑" w:hAnsi="微软雅黑" w:eastAsia="微软雅黑"/>
          <w:b/>
          <w:color w:val="1F3585"/>
          <w:sz w:val="48"/>
        </w:rPr>
        <w:t>风险与调整</w:t>
      </w:r>
    </w:p>
    <w:p>
      <w:pPr>
        <w:spacing w:after="320"/>
      </w:pPr>
      <w:r>
        <w:rPr>
          <w:rFonts w:ascii="微软雅黑" w:hAnsi="微软雅黑" w:eastAsia="微软雅黑"/>
          <w:b w:val="0"/>
          <w:color w:val="637083"/>
          <w:sz w:val="23"/>
        </w:rPr>
        <w:t>SolidWorks 保留为工程交接和复核通道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8"/>
        <w:gridCol w:w="4989"/>
        <w:gridCol w:w="55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8" w:type="dxa"/>
            <w:shd w:val="clear" w:color="auto" w:fill="1F358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</w:t>
            </w:r>
          </w:p>
        </w:tc>
        <w:tc>
          <w:tcPr>
            <w:tcW w:w="4989" w:type="dxa"/>
            <w:shd w:val="clear" w:color="auto" w:fill="1F358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表现</w:t>
            </w:r>
          </w:p>
        </w:tc>
        <w:tc>
          <w:tcPr>
            <w:tcW w:w="5556" w:type="dxa"/>
            <w:shd w:val="clear" w:color="auto" w:fill="1F358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处理策略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8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SolidWorks API 工程化风险</w:t>
            </w:r>
          </w:p>
        </w:tc>
        <w:tc>
          <w:tcPr>
            <w:tcW w:w="4989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早期自动装配出现错乱，不能作为当前主线成果。</w:t>
            </w:r>
          </w:p>
        </w:tc>
        <w:tc>
          <w:tcPr>
            <w:tcW w:w="5556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先用 FreeCAD 验证规则，再回到 SolidWorks 做单模型验证。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电脑资源压力</w:t>
            </w:r>
          </w:p>
        </w:tc>
        <w:tc>
          <w:tcPr>
            <w:tcW w:w="4989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同时打开或生成多个模型会拖慢机器。</w:t>
            </w:r>
          </w:p>
        </w:tc>
        <w:tc>
          <w:tcPr>
            <w:tcW w:w="555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后续每次只跑一个 CAD 任务，不并行跑。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8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生产交付边界</w:t>
            </w:r>
          </w:p>
        </w:tc>
        <w:tc>
          <w:tcPr>
            <w:tcW w:w="4989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STEP/FCStd 可参考，但不是完整 SolidWorks 特征树。</w:t>
            </w:r>
          </w:p>
        </w:tc>
        <w:tc>
          <w:tcPr>
            <w:tcW w:w="5556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明确标注工程参考模型，正式图纸/DXF/BOM 后续放行。</w:t>
            </w:r>
          </w:p>
        </w:tc>
      </w:tr>
    </w:tbl>
    <w:p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8" w:type="dxa"/>
            <w:shd w:val="clear" w:color="auto" w:fill="FFF1EA"/>
          </w:tcPr>
          <w:p>
            <w:r>
              <w:rPr>
                <w:rFonts w:ascii="微软雅黑" w:hAnsi="微软雅黑" w:eastAsia="微软雅黑"/>
                <w:b/>
                <w:color w:val="1F3585"/>
                <w:sz w:val="23"/>
              </w:rPr>
              <w:t>路线调整后的判断</w:t>
            </w:r>
          </w:p>
          <w:p>
            <w:r>
              <w:rPr>
                <w:rFonts w:ascii="微软雅黑" w:hAnsi="微软雅黑" w:eastAsia="微软雅黑"/>
                <w:b w:val="0"/>
                <w:color w:val="17233C"/>
                <w:sz w:val="20"/>
              </w:rPr>
              <w:t>当前最有价值的不是继续克隆已有模型，而是把 16029 门数变化规则跑通，让工程师拿到能复核、能继续建图的参数和参考模型。</w:t>
            </w:r>
          </w:p>
        </w:tc>
      </w:tr>
    </w:tbl>
    <w:p/>
    <w:p>
      <w:r>
        <w:br w:type="page"/>
      </w:r>
    </w:p>
    <w:p>
      <w:pPr>
        <w:spacing w:after="120"/>
      </w:pPr>
      <w:r>
        <w:rPr>
          <w:rFonts w:ascii="微软雅黑" w:hAnsi="微软雅黑" w:eastAsia="微软雅黑"/>
          <w:b/>
          <w:color w:val="1F3585"/>
          <w:sz w:val="48"/>
        </w:rPr>
        <w:t>下一阶段计划</w:t>
      </w:r>
    </w:p>
    <w:p>
      <w:pPr>
        <w:spacing w:after="320"/>
      </w:pPr>
      <w:r>
        <w:rPr>
          <w:rFonts w:ascii="微软雅黑" w:hAnsi="微软雅黑" w:eastAsia="微软雅黑"/>
          <w:b w:val="0"/>
          <w:color w:val="637083"/>
          <w:sz w:val="23"/>
        </w:rPr>
        <w:t>先验证规则，再进入 SolidWorks 工程交接</w:t>
      </w:r>
    </w:p>
    <w:p>
      <w:pPr>
        <w:jc w:val="center"/>
      </w:pPr>
      <w:r>
        <w:drawing>
          <wp:inline distT="0" distB="0" distL="114300" distR="114300">
            <wp:extent cx="8819515" cy="4189095"/>
            <wp:effectExtent l="0" t="0" r="63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41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 w:lineRule="auto"/>
      </w:pPr>
      <w:r>
        <w:rPr>
          <w:rFonts w:ascii="微软雅黑" w:hAnsi="微软雅黑" w:eastAsia="微软雅黑"/>
          <w:b w:val="0"/>
          <w:color w:val="17233C"/>
          <w:sz w:val="21"/>
        </w:rPr>
        <w:t>执行原则：每次只跑一个 CAD 任务；普通插话不重置阶段；电脑资源异常、模型明显错乱、用户明确叫停时才打断。</w:t>
      </w:r>
    </w:p>
    <w:p>
      <w:r>
        <w:br w:type="page"/>
      </w:r>
    </w:p>
    <w:p>
      <w:pPr>
        <w:spacing w:after="120"/>
      </w:pPr>
      <w:r>
        <w:rPr>
          <w:rFonts w:ascii="微软雅黑" w:hAnsi="微软雅黑" w:eastAsia="微软雅黑"/>
          <w:b/>
          <w:color w:val="1F3585"/>
          <w:sz w:val="48"/>
        </w:rPr>
        <w:t>阶段结论</w:t>
      </w:r>
    </w:p>
    <w:p>
      <w:pPr>
        <w:spacing w:after="320"/>
      </w:pPr>
      <w:r>
        <w:rPr>
          <w:rFonts w:ascii="微软雅黑" w:hAnsi="微软雅黑" w:eastAsia="微软雅黑"/>
          <w:b w:val="0"/>
          <w:color w:val="637083"/>
          <w:sz w:val="23"/>
        </w:rPr>
        <w:t>当前可向领导汇报的结论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93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1F358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结论</w:t>
            </w:r>
          </w:p>
        </w:tc>
        <w:tc>
          <w:tcPr>
            <w:tcW w:w="9354" w:type="dxa"/>
            <w:shd w:val="clear" w:color="auto" w:fill="1F358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已完成一个有真实数据支撑的工程参考模型</w:t>
            </w:r>
          </w:p>
        </w:tc>
        <w:tc>
          <w:tcPr>
            <w:tcW w:w="9354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16029 / 10门 / 1000W x 1917H x 550D，基础校验 PASS。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项目方向已经从“页面展示”转向“规则生成”</w:t>
            </w:r>
          </w:p>
        </w:tc>
        <w:tc>
          <w:tcPr>
            <w:tcW w:w="9354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模型、参数、校验和交付包开始形成闭环。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下一阶段目标清晰</w:t>
            </w:r>
          </w:p>
        </w:tc>
        <w:tc>
          <w:tcPr>
            <w:tcW w:w="9354" w:type="dxa"/>
            <w:shd w:val="clear" w:color="auto" w:fill="F7F9FC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33C"/>
                <w:sz w:val="18"/>
              </w:rPr>
              <w:t>先完成 10/12/14 门同外形规则表，再决定 SolidWorks 工程交接方式。</w:t>
            </w:r>
          </w:p>
        </w:tc>
      </w:tr>
    </w:tbl>
    <w:p/>
    <w:sectPr>
      <w:pgSz w:w="16838" w:h="11906" w:orient="landscape"/>
      <w:pgMar w:top="652" w:right="765" w:bottom="567" w:left="765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701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Office_11.8.6.8810_F1E327BC-269C-435d-A152-05C5408002CA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Winnsen Structure Agent Studio</dc:creator>
  <dc:description>generated by python-docx</dc:description>
  <cp:lastModifiedBy>Administrator</cp:lastModifiedBy>
  <dcterms:modified xsi:type="dcterms:W3CDTF">2026-05-19T02:35:10Z</dcterms:modified>
  <dc:subject>MVP 项目内容及进度汇报</dc:subject>
  <dc:title>Winnsen结构智能体项目领导汇报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2052-11.8.6.8810</vt:lpwstr>
  </property>
</Properties>
</file>