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把原理整理下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418080"/>
            <wp:effectExtent l="0" t="0" r="8255" b="1270"/>
            <wp:docPr id="1" name="图片 1" descr="249993-20170207135959401-40484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49993-20170207135959401-4048416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bookmarkStart w:id="0" w:name="_GoBack"/>
      <w:bookmarkEnd w:id="0"/>
      <w:r>
        <w:rPr>
          <w:rFonts w:hint="eastAsia"/>
          <w:lang w:val="en-US" w:eastAsia="zh-CN"/>
        </w:rPr>
        <w:t>springMVC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2906395"/>
            <wp:effectExtent l="0" t="0" r="6985" b="8255"/>
            <wp:docPr id="2" name="图片 2" descr="249993-20161212142542042-2117679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9993-20161212142542042-21176791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3680460"/>
            <wp:effectExtent l="0" t="0" r="7620" b="15240"/>
            <wp:docPr id="3" name="图片 3" descr="249993-20170207140151791-1932120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49993-20170207140151791-19321200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89850"/>
    <w:multiLevelType w:val="singleLevel"/>
    <w:tmpl w:val="8298985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51081"/>
    <w:rsid w:val="5A9809C2"/>
    <w:rsid w:val="6750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2019-11-13T09:21:00Z</dcterms:created>
  <dc:creator>jodron</dc:creator>
  <cp:lastModifiedBy>建军</cp:lastModifiedBy>
  <dcterms:modified xsi:type="dcterms:W3CDTF">2019-11-20T08:06:24Z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