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hint="eastAsi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hint="eastAsi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hint="eastAsi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bookmarkStart w:id="0" w:name="_GoBack"/>
      <w:bookmarkEnd w:id="0"/>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hint="eastAsi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vi, </w:t>
      </w:r>
      <w:r>
        <w:rPr>
          <w:rFonts w:hint="eastAsia"/>
        </w:rPr>
        <w:t>进入编辑模式；：wq强制写入并退出；：x：写入并退出;</w:t>
      </w:r>
      <w:r>
        <w:t xml:space="preserve"> esc: </w:t>
      </w:r>
      <w:r>
        <w:rPr>
          <w:rFonts w:hint="eastAsia"/>
        </w:rPr>
        <w:t>输入模式和命令模式切换。</w:t>
      </w:r>
    </w:p>
    <w:p w:rsidR="00E457FF" w:rsidRDefault="00E457FF" w:rsidP="00E457FF">
      <w:pPr>
        <w:pStyle w:val="a5"/>
        <w:numPr>
          <w:ilvl w:val="254"/>
          <w:numId w:val="0"/>
        </w:numPr>
        <w:ind w:leftChars="100" w:left="210"/>
      </w:pPr>
      <w:r>
        <w:rPr>
          <w:rFonts w:hint="eastAsia"/>
        </w:rPr>
        <w:t>q</w:t>
      </w:r>
      <w:r>
        <w:t xml:space="preserve">!: </w:t>
      </w:r>
      <w:r>
        <w:rPr>
          <w:rFonts w:hint="eastAsia"/>
        </w:rPr>
        <w:t>强制退出。</w:t>
      </w:r>
    </w:p>
    <w:p w:rsidR="001E3B10" w:rsidRDefault="001E3B10"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lastRenderedPageBreak/>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67355B"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lastRenderedPageBreak/>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lastRenderedPageBreak/>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lastRenderedPageBreak/>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w:t>
      </w:r>
      <w:r>
        <w:rPr>
          <w:rFonts w:hint="eastAsia"/>
        </w:rPr>
        <w:lastRenderedPageBreak/>
        <w:t>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5B" w:rsidRDefault="0067355B" w:rsidP="00CC04C6">
      <w:r>
        <w:separator/>
      </w:r>
    </w:p>
  </w:endnote>
  <w:endnote w:type="continuationSeparator" w:id="0">
    <w:p w:rsidR="0067355B" w:rsidRDefault="0067355B"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5B" w:rsidRDefault="0067355B" w:rsidP="00CC04C6">
      <w:r>
        <w:separator/>
      </w:r>
    </w:p>
  </w:footnote>
  <w:footnote w:type="continuationSeparator" w:id="0">
    <w:p w:rsidR="0067355B" w:rsidRDefault="0067355B"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5"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FFDCC5"/>
    <w:multiLevelType w:val="singleLevel"/>
    <w:tmpl w:val="64FFDCC5"/>
    <w:lvl w:ilvl="0">
      <w:start w:val="1"/>
      <w:numFmt w:val="decimal"/>
      <w:lvlText w:val="(%1)"/>
      <w:lvlJc w:val="left"/>
      <w:pPr>
        <w:tabs>
          <w:tab w:val="left" w:pos="312"/>
        </w:tabs>
      </w:pPr>
    </w:lvl>
  </w:abstractNum>
  <w:abstractNum w:abstractNumId="34"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6"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28281A"/>
    <w:multiLevelType w:val="singleLevel"/>
    <w:tmpl w:val="7128281A"/>
    <w:lvl w:ilvl="0">
      <w:start w:val="1"/>
      <w:numFmt w:val="decimal"/>
      <w:suff w:val="nothing"/>
      <w:lvlText w:val="%1）"/>
      <w:lvlJc w:val="left"/>
    </w:lvl>
  </w:abstractNum>
  <w:abstractNum w:abstractNumId="39"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3"/>
  </w:num>
  <w:num w:numId="3">
    <w:abstractNumId w:val="3"/>
  </w:num>
  <w:num w:numId="4">
    <w:abstractNumId w:val="40"/>
  </w:num>
  <w:num w:numId="5">
    <w:abstractNumId w:val="42"/>
  </w:num>
  <w:num w:numId="6">
    <w:abstractNumId w:val="14"/>
  </w:num>
  <w:num w:numId="7">
    <w:abstractNumId w:val="27"/>
  </w:num>
  <w:num w:numId="8">
    <w:abstractNumId w:val="13"/>
  </w:num>
  <w:num w:numId="9">
    <w:abstractNumId w:val="11"/>
  </w:num>
  <w:num w:numId="10">
    <w:abstractNumId w:val="21"/>
  </w:num>
  <w:num w:numId="11">
    <w:abstractNumId w:val="33"/>
  </w:num>
  <w:num w:numId="12">
    <w:abstractNumId w:val="26"/>
  </w:num>
  <w:num w:numId="13">
    <w:abstractNumId w:val="37"/>
  </w:num>
  <w:num w:numId="14">
    <w:abstractNumId w:val="25"/>
  </w:num>
  <w:num w:numId="15">
    <w:abstractNumId w:val="30"/>
  </w:num>
  <w:num w:numId="16">
    <w:abstractNumId w:val="32"/>
  </w:num>
  <w:num w:numId="17">
    <w:abstractNumId w:val="22"/>
  </w:num>
  <w:num w:numId="18">
    <w:abstractNumId w:val="39"/>
  </w:num>
  <w:num w:numId="19">
    <w:abstractNumId w:val="5"/>
  </w:num>
  <w:num w:numId="20">
    <w:abstractNumId w:val="29"/>
  </w:num>
  <w:num w:numId="21">
    <w:abstractNumId w:val="34"/>
  </w:num>
  <w:num w:numId="22">
    <w:abstractNumId w:val="36"/>
  </w:num>
  <w:num w:numId="23">
    <w:abstractNumId w:val="20"/>
  </w:num>
  <w:num w:numId="24">
    <w:abstractNumId w:val="10"/>
  </w:num>
  <w:num w:numId="25">
    <w:abstractNumId w:val="16"/>
  </w:num>
  <w:num w:numId="26">
    <w:abstractNumId w:val="4"/>
  </w:num>
  <w:num w:numId="27">
    <w:abstractNumId w:val="31"/>
  </w:num>
  <w:num w:numId="28">
    <w:abstractNumId w:val="6"/>
  </w:num>
  <w:num w:numId="29">
    <w:abstractNumId w:val="41"/>
  </w:num>
  <w:num w:numId="30">
    <w:abstractNumId w:val="9"/>
  </w:num>
  <w:num w:numId="31">
    <w:abstractNumId w:val="7"/>
  </w:num>
  <w:num w:numId="32">
    <w:abstractNumId w:val="19"/>
  </w:num>
  <w:num w:numId="33">
    <w:abstractNumId w:val="18"/>
  </w:num>
  <w:num w:numId="34">
    <w:abstractNumId w:val="2"/>
  </w:num>
  <w:num w:numId="35">
    <w:abstractNumId w:val="24"/>
  </w:num>
  <w:num w:numId="36">
    <w:abstractNumId w:val="17"/>
  </w:num>
  <w:num w:numId="37">
    <w:abstractNumId w:val="38"/>
  </w:num>
  <w:num w:numId="38">
    <w:abstractNumId w:val="0"/>
  </w:num>
  <w:num w:numId="39">
    <w:abstractNumId w:val="1"/>
  </w:num>
  <w:num w:numId="40">
    <w:abstractNumId w:val="28"/>
  </w:num>
  <w:num w:numId="41">
    <w:abstractNumId w:val="35"/>
  </w:num>
  <w:num w:numId="42">
    <w:abstractNumId w:val="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24D2D"/>
    <w:rsid w:val="00232A67"/>
    <w:rsid w:val="00271E43"/>
    <w:rsid w:val="002837C5"/>
    <w:rsid w:val="00286530"/>
    <w:rsid w:val="002A2CF2"/>
    <w:rsid w:val="002A5414"/>
    <w:rsid w:val="002C4F7A"/>
    <w:rsid w:val="002E27CC"/>
    <w:rsid w:val="002F6995"/>
    <w:rsid w:val="003051FC"/>
    <w:rsid w:val="003423F6"/>
    <w:rsid w:val="00344D44"/>
    <w:rsid w:val="003722B8"/>
    <w:rsid w:val="00396F23"/>
    <w:rsid w:val="003B2EA8"/>
    <w:rsid w:val="004038F7"/>
    <w:rsid w:val="004049BE"/>
    <w:rsid w:val="00407093"/>
    <w:rsid w:val="0041280E"/>
    <w:rsid w:val="0044533D"/>
    <w:rsid w:val="00445BDE"/>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54F5F"/>
    <w:rsid w:val="00671053"/>
    <w:rsid w:val="0067355B"/>
    <w:rsid w:val="00675BAE"/>
    <w:rsid w:val="006A4437"/>
    <w:rsid w:val="006B0F85"/>
    <w:rsid w:val="006B7DFD"/>
    <w:rsid w:val="006C72CD"/>
    <w:rsid w:val="006D744C"/>
    <w:rsid w:val="006F1A47"/>
    <w:rsid w:val="006F2D38"/>
    <w:rsid w:val="00706E46"/>
    <w:rsid w:val="00713083"/>
    <w:rsid w:val="00767237"/>
    <w:rsid w:val="007852F5"/>
    <w:rsid w:val="00794182"/>
    <w:rsid w:val="007B56DE"/>
    <w:rsid w:val="007C220F"/>
    <w:rsid w:val="007E658B"/>
    <w:rsid w:val="00806F36"/>
    <w:rsid w:val="008113AF"/>
    <w:rsid w:val="00823ABA"/>
    <w:rsid w:val="00850724"/>
    <w:rsid w:val="00870721"/>
    <w:rsid w:val="008B2C6E"/>
    <w:rsid w:val="008B4502"/>
    <w:rsid w:val="00900D91"/>
    <w:rsid w:val="009507A3"/>
    <w:rsid w:val="00952738"/>
    <w:rsid w:val="00967640"/>
    <w:rsid w:val="009C7C21"/>
    <w:rsid w:val="009D562B"/>
    <w:rsid w:val="009F6CF7"/>
    <w:rsid w:val="00A01AB3"/>
    <w:rsid w:val="00A077A2"/>
    <w:rsid w:val="00A279DA"/>
    <w:rsid w:val="00A57BF1"/>
    <w:rsid w:val="00A91068"/>
    <w:rsid w:val="00A937BF"/>
    <w:rsid w:val="00AD10AE"/>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B7D54"/>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19</Pages>
  <Words>2349</Words>
  <Characters>13393</Characters>
  <Application>Microsoft Office Word</Application>
  <DocSecurity>0</DocSecurity>
  <Lines>111</Lines>
  <Paragraphs>31</Paragraphs>
  <ScaleCrop>false</ScaleCrop>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136</cp:revision>
  <dcterms:created xsi:type="dcterms:W3CDTF">2021-04-24T08:29:00Z</dcterms:created>
  <dcterms:modified xsi:type="dcterms:W3CDTF">2021-05-09T09:12:00Z</dcterms:modified>
</cp:coreProperties>
</file>