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i w:val="0"/>
          <w:color w:val="9A6B16"/>
          <w:sz w:val="22"/>
        </w:rPr>
        <w:t>D02  战后重建国家专题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0B2545"/>
          <w:sz w:val="60"/>
        </w:rPr>
        <w:t>阿富汗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i w:val="0"/>
          <w:color w:val="1F4D78"/>
          <w:sz w:val="30"/>
        </w:rPr>
        <w:t>经济建设、重建资金与全球产业机会</w:t>
      </w:r>
    </w:p>
    <w:p>
      <w:pPr>
        <w:spacing w:after="560"/>
        <w:jc w:val="center"/>
      </w:pPr>
      <w:r>
        <w:rPr>
          <w:rFonts w:ascii="Calibri" w:hAnsi="Calibri" w:eastAsia="Microsoft YaHei"/>
          <w:b w:val="0"/>
          <w:i/>
          <w:color w:val="667085"/>
          <w:sz w:val="21"/>
        </w:rPr>
        <w:t>基本需求、离岸实施与本地采购主导的受限型恢复市场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i w:val="0"/>
          <w:color w:val="0B2545"/>
          <w:sz w:val="22"/>
        </w:rPr>
        <w:t>资料截止：2026年7月24日</w:t>
      </w:r>
    </w:p>
    <w:p>
      <w:pPr>
        <w:spacing w:after="12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设计体系：compact_reference_guide｜证据分级：A 已确认 / B 官方管线 / C 能力匹配</w:t>
      </w:r>
    </w:p>
    <w:p>
      <w:pPr>
        <w:spacing w:before="900" w:after="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研究用途：跨国产业扫描、项目获取与风险监测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spacing w:before="80" w:after="160" w:line="283" w:lineRule="auto"/>
        <w:ind w:left="115" w:right="115"/>
        <w:shd w:fill="FFF4E5"/>
        <w:pBdr>
          <w:top w:val="single" w:sz="6" w:space="5" w:color="E8C77A"/>
          <w:left w:val="single" w:sz="6" w:space="5" w:color="E8C77A"/>
          <w:bottom w:val="single" w:sz="6" w:space="5" w:color="E8C77A"/>
          <w:right w:val="single" w:sz="6" w:space="5" w:color="E8C77A"/>
        </w:pBdr>
      </w:pPr>
      <w:r>
        <w:rPr>
          <w:rFonts w:ascii="Calibri" w:hAnsi="Calibri" w:eastAsia="Microsoft YaHei"/>
          <w:b/>
          <w:i w:val="0"/>
          <w:color w:val="9A6B16"/>
          <w:sz w:val="21"/>
        </w:rPr>
        <w:t>一句话判断：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经济恢复并未转化为人均生活改善。近期可执行机会主要来自世行/ARTF—UNOPS、联合国、ADB、JICA等离岸实施项目，以及农业、水、分布式能源、医疗和本地供应链；传统主权EPC和大额设备赊销风险过高。</w:t>
      </w:r>
    </w:p>
    <w:p>
      <w:pPr>
        <w:pStyle w:val="Heading2"/>
      </w:pPr>
      <w:r>
        <w:t>五项核心判断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美国2001—2021年直接参战并投入约1482亿美元重建拨款；撤军与塔利班接管后，援助和金融关系发生断裂。[S1][S2]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世行估计2025年实际GDP增长4.8%，但人口增加约11%，人均GDP下降5.6%；2026年3月通胀升至7.6%。[S3]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外部赠款下降导致基础设施投资不足；经常账户赤字估计达GDP的36.1%，银行账户覆盖率仅约6%。[S3][S4]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当前最可靠的采购路径是联合国/多边机构直接实施和本地采购，例如CRLP累计资金5.62亿美元，并明确使用阿富汗私营建筑商。[S5]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国际企业应以轻资产、预付款、第三方监测和人道/基本需求合规为边界，不应把塔利班控制下的公告直接等同于可融资项目。</w:t>
      </w:r>
    </w:p>
    <w:p>
      <w:pPr>
        <w:pStyle w:val="Heading2"/>
      </w:pPr>
      <w:r>
        <w:t>市场进入评分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500"/>
        <w:gridCol w:w="2100"/>
        <w:gridCol w:w="1000"/>
        <w:gridCol w:w="47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维度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当前判断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评分/5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含义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商业可进入性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高度受限、可做离岸项目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1.8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适合联合国供应链和本地分销，不适合无担保主权项目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资金清晰度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多边/捐助资金清晰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3.0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离岸实施较可控，国家预算和矿业项目不透明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付款可控性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项目分化大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2.0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只接受预付款、联合国合同或可验证托管资金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安全与执行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高风险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1.5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恐袭、边境关闭、自然灾害与人员限制并存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制裁/合规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许可存在但尽调繁重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1.8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GL允许部分经济活动，不允许向受阻个人自由转款</w:t>
            </w:r>
          </w:p>
        </w:tc>
      </w:tr>
    </w:tbl>
    <w:p>
      <w:pPr>
        <w:spacing w:before="0" w:after="40" w:line="240" w:lineRule="auto"/>
      </w:pP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阅读口径：本报告把“国家存在巨大重建需求”与“企业今天可以签约、收款、退出”严格分开。A/B/C等级只描述证据成熟度，不等同于信用评级或投资建议。</w:t>
      </w:r>
    </w:p>
    <w:p>
      <w:r>
        <w:br w:type="page"/>
      </w:r>
    </w:p>
    <w:p>
      <w:pPr>
        <w:pStyle w:val="Heading1"/>
      </w:pPr>
      <w:r>
        <w:t>1. 战争轨迹、美国角色与当前权力结构</w:t>
      </w:r>
    </w:p>
    <w:p>
      <w:pPr>
        <w:pStyle w:val="Heading2"/>
      </w:pPr>
      <w:r>
        <w:t>关键时间线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250"/>
        <w:gridCol w:w="2750"/>
        <w:gridCol w:w="2500"/>
        <w:gridCol w:w="2860"/>
      </w:tblGrid>
      <w:tr>
        <w:trPr>
          <w:tblHeader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时期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事件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美国参与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对重建格局的影响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2001—2014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美国主导推翻塔利班并建立新政府；长期反叛乱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美军、北约、USAID和承包商大规模参与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道路、电力、教育、卫生和政府能力建设扩张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2015—2020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安全责任转移，塔利班持续扩张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美军转向训练、支援和反恐；2020年签署撤军协议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外援依赖与制度可持续性问题暴露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2021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塔利班迅速接管，前政府崩溃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8月30日完成撤军和大规模撤离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援助中断、资产冻结、经济两年累计大幅收缩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2022—2025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塔利班巩固全国控制；女性权利限制加剧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美国保留制裁但发布GL，继续人道/基本需求援助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项目改为离岸、联合国直接实施和第三方监测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2026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大规模回返、干旱和援助下降加剧压力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直接重建角色有限，政策以制裁、援助和资产安排为主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水、农业、住房、医疗与就业成为紧急恢复重点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当前政治与安全结构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塔利班是全国事实统治者，但国际承认有限；政府、央行和多数机构的法律地位、治理标准与国际金融接入仍受约束。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女性受教育、就业和流动限制是宏观生产率、医疗交付、捐助者合规和企业人力资源的核心约束。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边境与贸易高度依赖巴基斯坦、伊朗和中亚；关闭、关税和非正式支付会直接影响项目成本与工期。</w:t>
      </w:r>
    </w:p>
    <w:p>
      <w:pPr>
        <w:spacing w:before="80" w:after="160" w:line="283" w:lineRule="auto"/>
        <w:ind w:left="115" w:right="115"/>
        <w:shd w:fill="FFF4E5"/>
        <w:pBdr>
          <w:top w:val="single" w:sz="6" w:space="5" w:color="E8C77A"/>
          <w:left w:val="single" w:sz="6" w:space="5" w:color="E8C77A"/>
          <w:bottom w:val="single" w:sz="6" w:space="5" w:color="E8C77A"/>
          <w:right w:val="single" w:sz="6" w:space="5" w:color="E8C77A"/>
        </w:pBdr>
      </w:pPr>
      <w:r>
        <w:rPr>
          <w:rFonts w:ascii="Calibri" w:hAnsi="Calibri" w:eastAsia="Microsoft YaHei"/>
          <w:b/>
          <w:i w:val="0"/>
          <w:color w:val="9A6B16"/>
          <w:sz w:val="21"/>
        </w:rPr>
        <w:t>商业边界：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只进入人道、基本需求、农业食品、水、医疗、通信和明确获得授权的商业活动；任何涉及受制裁领导人、现金税费、矿权或安全实体的交易必须专项法律审查。</w:t>
      </w:r>
    </w:p>
    <w:p>
      <w:r>
        <w:br w:type="page"/>
      </w:r>
    </w:p>
    <w:p>
      <w:pPr>
        <w:pStyle w:val="Heading1"/>
      </w:pPr>
      <w:r>
        <w:t>2. 宏观经济、财政与重建约束</w:t>
      </w:r>
    </w:p>
    <w:p>
      <w:pPr>
        <w:pStyle w:val="Heading2"/>
      </w:pPr>
      <w:r>
        <w:t>最新宏观快照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指标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最新读数/判断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研究含义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实际GDP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世行估计2025年+4.8% [S3]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增长来自需求和回返人口，但不足以改善人均收入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人均GDP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2025年约-5.6% [S3]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市场容量与支付能力仍然恶化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人口冲击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约370万人回返；2025年人口约+11% [S3]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住房、水、健康、学校和就业需求陡增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通胀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2026年3月同比7.6% [S3]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食品和供应链压力提高项目成本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财政收入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2025年约占GDP 19.8% [S3]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征收改善，但外援下降限制投资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外部平衡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2025年经常账户赤字约GDP 36.1% [S3]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进口依赖与外汇可得性是设备项目瓶颈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金融普惠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约6%人口持有银行账户 [S4]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支付主要依赖非正式系统，AML/CFT风险高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经济建设阶段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阿富汗处于“低基数恢复+人均退步”阶段。农业、矿业、建筑和贸易能推动总量增长，但援助下降、银行脆弱、女性排除和边境摩擦使增长难以转化为可持续投资。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商业机会应围绕可被捐助者定义为基本需求或社区韧性的板块，并通过联合国机构、本地企业和第三方监测实现。大额矿产、干线基础设施和主权电力合同的融资与合规可见度仍低。</w:t>
      </w:r>
    </w:p>
    <w:p>
      <w:pPr>
        <w:pStyle w:val="Heading2"/>
      </w:pPr>
      <w:r>
        <w:t>主要约束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国际承认、制裁与恐怖主义融资风险使代理行、保险和出口信贷极度有限。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银行体系薄弱、非正式汇兑占主导，收款证据链和最终受益所有人核验困难。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援助下降与回返人口叠加，捐助资金优先救急，难以支撑长期资本密集项目。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女性员工限制会影响医疗、教育、调研、社区接触和捐助者绩效指标。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地震、干旱、洪水和水危机要求项目具备高韧性和快速部署能力。</w:t>
      </w:r>
    </w:p>
    <w:p>
      <w:r>
        <w:br w:type="page"/>
      </w:r>
    </w:p>
    <w:p>
      <w:pPr>
        <w:pStyle w:val="Heading1"/>
      </w:pPr>
      <w:r>
        <w:t>3. 破坏、重建需求与12—36个月催化剂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3200"/>
        <w:gridCol w:w="3370"/>
        <w:gridCol w:w="134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板块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现状/缺口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12—36个月催化剂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机会等级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社区基础设施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道路、灌渠、挡墙、供水和公共设施不足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CRLP追加1.43亿美元；全国34省本地采购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农业与食品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农业近GDP三分之一，生产、加工和冷链薄弱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ADB/FAO 1亿美元；世行食品安全项目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水安全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干旱、地下水下降、灌溉效率低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JICA—UNOPS喀布尔项目；水泵、蓄水和监测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分布式能源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电力进口依赖、供电不稳，太阳能和风能潜力大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2025年多项太阳能/风电/燃气合同；离网系统需求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医疗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设施、人员和供应链不足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世行健康应急项目1.60亿美元；联合国采购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住房/回返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数百万回返者挤压住房和服务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2026回返者响应计划5.292亿美元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数字与通信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移动通信基础较强但支付、云和政务薄弱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企业数字化、移动支付和远程服务</w:t>
            </w:r>
          </w:p>
        </w:tc>
        <w:tc>
          <w:tcPr>
            <w:tcW w:type="dxa" w:w="13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C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轻工制造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食品、纺织、药品、金属加工潜力未释放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本地加工、进口替代和太阳能供电</w:t>
            </w:r>
          </w:p>
        </w:tc>
        <w:tc>
          <w:tcPr>
            <w:tcW w:type="dxa" w:w="13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C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优先级解读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社区工程单体小、数量多，本地承包和标准化设备更重要；国际公司适合做框架供应、质量体系和监测。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农业、水与分布式能源可以组成一体化包：太阳能水泵、滴灌、储藏、冷链和数字市场。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医疗设备必须配备耗材、维修和人员培训；一次性捐赠而无运维预算容易形成闲置资产。</w:t>
      </w:r>
    </w:p>
    <w:p>
      <w:r>
        <w:br w:type="page"/>
      </w:r>
    </w:p>
    <w:p>
      <w:pPr>
        <w:pStyle w:val="Heading1"/>
      </w:pPr>
      <w:r>
        <w:t>4. 资金来源、采购机制与项目管线</w:t>
      </w:r>
    </w:p>
    <w:p>
      <w:pPr>
        <w:pStyle w:val="Heading2"/>
      </w:pPr>
      <w:r>
        <w:t>可见资金池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000"/>
        <w:gridCol w:w="1250"/>
        <w:gridCol w:w="1500"/>
        <w:gridCol w:w="3510"/>
        <w:gridCol w:w="110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资金/项目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规模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状态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企业切入点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CRLP追加融资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1.43亿美元；累计5.62亿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2026年批准，UNOPS实施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小型工程、材料、工具、监测、本地施工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世行食品安全项目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9500万美元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2025年批准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种子、灌溉、农机、仓储和技术服务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世行健康应急项目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1.60亿美元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2025年批准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医疗设备、药品、冷链、信息系统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ADB—FAO粮食韧性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1亿美元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2026年实施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农业投入、畜牧、供应链和技术援助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JICA—UNOPS喀布尔水项目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930万美元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2026年启动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水管理、小型设施、社区韧性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2026回返者响应计划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5.292亿美元需求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募资/实施框架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WASH、住房、健康、教育与生计</w:t>
            </w:r>
          </w:p>
        </w:tc>
        <w:tc>
          <w:tcPr>
            <w:tcW w:type="dxa" w:w="11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十项发输电合同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207亿阿富汗尼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2025年官方签约，承包商披露不足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光伏、风电、燃气、输电和运维</w:t>
            </w:r>
          </w:p>
        </w:tc>
        <w:tc>
          <w:tcPr>
            <w:tcW w:type="dxa" w:w="11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采购与收款路径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优先注册UNGM、UNOPS和UNDP供应商体系，跟踪框架协议、RFQ、ITB与RFP。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以区域仓库或邻国分销商供货，避免在无稳定银行、保险和人员通道时重资产设厂。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本地建筑和供应商应由实施机构直接采购；国际企业提供设备、标准、质控和培训。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所有税费、许可证和公用事业付款均需确认是否落入OFAC授权条件，并记录收款主体。</w:t>
      </w:r>
    </w:p>
    <w:p>
      <w:pPr>
        <w:spacing w:before="80" w:after="160" w:line="283" w:lineRule="auto"/>
        <w:ind w:left="115" w:right="115"/>
        <w:shd w:fill="F4F6F9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资金判断：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资金存在但高度碎片化，且以赠款、联合国直接实施和基本需求为主。项目回报应来自供应合同和服务费，而非长期主权现金流或终端用户电价。</w:t>
      </w:r>
    </w:p>
    <w:p>
      <w:r>
        <w:br w:type="page"/>
      </w:r>
    </w:p>
    <w:p>
      <w:pPr>
        <w:pStyle w:val="Heading1"/>
      </w:pPr>
      <w:r>
        <w:t>5. 全球产业机会排序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3340"/>
        <w:gridCol w:w="2050"/>
        <w:gridCol w:w="1400"/>
        <w:gridCol w:w="112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产业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机会逻辑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建议模式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时点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农业投入/加工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最大就业板块，具备干果、坚果、藏红花等出口潜力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本地经销+加工线+技术服务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0—24月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水与灌溉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干旱和回返人口形成刚需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标准化设备包+社区施工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0—24月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离网太阳能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电网覆盖和可靠性不足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太阳能+储能+水泵+运维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0—36月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医疗供应链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捐助项目和基础服务需求持续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设备/耗材框架+培训维修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0—24月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轻型工程设备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小型社区工程量大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租赁、备件、维修和培训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0—24月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冷链/仓储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农损和医疗温控缺口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模块化冷库、太阳能制冷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6—24月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数字金融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银行覆盖极低、非正式支付占主导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合规移动支付、KYC和代理网络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12—36月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矿业服务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资源潜力大但权属、制裁和ESG不透明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仅技术研究与合规观察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24月+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组合建议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核心仓位：联合国/世行/ADB出资的农业、水、健康和社区工程供应链。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试点仓位：分布式能源、冷链和数字支付；采用小额、可回收设备和预付款。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不进入：缺乏第三方监测的大型矿权、与安全实体绑定的合同、长期本币应收和无女性参与可行性的项目。</w:t>
      </w:r>
    </w:p>
    <w:p>
      <w:r>
        <w:br w:type="page"/>
      </w:r>
    </w:p>
    <w:p>
      <w:pPr>
        <w:pStyle w:val="Heading1"/>
      </w:pPr>
      <w:r>
        <w:t>6. 公司与竞争格局：谁已进入，谁在候选池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证据定义：A＝已确认合同、特许权、在建项目或正式采购；B＝官方预算、采购计划、市场接洽或MoU，尚未证明形成可确认收入；C＝仅依据能力与区域足迹推断，必须等待招标和合规条件。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050"/>
        <w:gridCol w:w="1800"/>
        <w:gridCol w:w="1500"/>
        <w:gridCol w:w="3890"/>
        <w:gridCol w:w="1120"/>
      </w:tblGrid>
      <w:tr>
        <w:trPr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区域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公司/机构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板块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观察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美国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Deere / AGCO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农业机械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能力适合小型农机和加工，但未确认本轮合同；需与捐助项目和本地经销结合。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美国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Xylem / GE HealthCare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水/医疗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基本需求适配度高；具体采购应从联合国/世行公告确认。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美国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Cisco / Microsoft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通信/数字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网络、远程服务和安全能力匹配，出口控制与付款需专项审查。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欧洲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Siemens Energy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电力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曾向Bayat Power提供SGT-A45移动燃机，形成可核验存量资产。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欧洲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Nokia / Grundfos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通信/水泵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适合网络和水系统更新，尚未确认本轮大额合同。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LONGi / Huawei / ZTE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光伏/通信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成本和区域供应链具优势，需分别核验项目、制裁与数据风险。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日韩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JICA供应链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水/健康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JICA已出资喀布尔水项目；公司订单需等待采购。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中东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Bayat Power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燃气发电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运营阿富汗首个数十年来新建燃气电厂，是本地能源合作锚点。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阿富汗私营建筑商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社区工程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UNOPS明确优先本地采购并使用本地施工企业，但未披露统一公司名单。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Afghan Raisins / MIDO Dairy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农食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世行/MIGA数据披露仍有担保敞口，显示可融资企业样本。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多边平台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UNOPS / FAO / UNDP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采购实施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不是商业公司，但构成国际企业最关键的采购和付款入口。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竞争策略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国际品牌应在耐用性、低维护、太阳能适配和培训上竞争，而非只销售高规格设备。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中国和区域供应商在价格与陆路物流上占优；欧美企业可通过捐助者标准、质控和全寿命成本差异化。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本地供应商不是简单分包资源，而是获得通行、语言、女性社区接触和售后能力的核心。</w:t>
      </w:r>
    </w:p>
    <w:p>
      <w:r>
        <w:br w:type="page"/>
      </w:r>
    </w:p>
    <w:p>
      <w:pPr>
        <w:pStyle w:val="Heading1"/>
      </w:pPr>
      <w:r>
        <w:t>7. 进入模式、风险边界与止损条件</w:t>
      </w:r>
    </w:p>
    <w:p>
      <w:pPr>
        <w:pStyle w:val="Heading2"/>
      </w:pPr>
      <w:r>
        <w:t>建议进入顺序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完成OFAC、联合国制裁、反恐融资和最终受益所有人框架，明确可做与不可做的产品/付款类型。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注册联合国供应商平台并选择农业、水或医疗中的一个标准化产品线。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在乌兹别克斯坦、塔吉克斯坦、巴基斯坦或阿联酋建立备货与收款中枢。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与两家本地供应/施工商开展小额框架合同，用第三方验收和照片/GPS证据闭环。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只有在连续回款、人员准入和女性参与均可满足后，才扩大库存或本地团队。</w:t>
      </w:r>
    </w:p>
    <w:p>
      <w:pPr>
        <w:pStyle w:val="Heading2"/>
      </w:pPr>
      <w:r>
        <w:t>关键风险登记表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950"/>
        <w:gridCol w:w="950"/>
        <w:gridCol w:w="3550"/>
        <w:gridCol w:w="246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风险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概率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影响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控制措施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止损信号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制裁/反恐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极高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逐笔筛查、法律意见、限制再转款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涉及SDN或受阻领导人控制实体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银行/现金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多边付款、预付款、禁止无凭证现金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要求hawala分拆或第三方收款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安全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极高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远程实施、第三方监测、撤离方案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恐袭、绑架或边境关闭升级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女性限制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合同写入女性参与和服务可及性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无法部署女性医疗/社区人员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捐助下降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仅对已签赠款备货；缩短合同周期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募资缺口扩大、项目暂停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自然灾害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中高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韧性设计、模块化备件和灾害库存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干旱/地震使原设计失效</w:t>
            </w:r>
          </w:p>
        </w:tc>
      </w:tr>
    </w:tbl>
    <w:p>
      <w:pPr>
        <w:spacing w:before="0" w:after="40" w:line="240" w:lineRule="auto"/>
      </w:pPr>
    </w:p>
    <w:p>
      <w:pPr>
        <w:spacing w:before="80" w:after="160" w:line="283" w:lineRule="auto"/>
        <w:ind w:left="115" w:right="115"/>
        <w:shd w:fill="FFF4E5"/>
        <w:pBdr>
          <w:top w:val="single" w:sz="6" w:space="5" w:color="E8C77A"/>
          <w:left w:val="single" w:sz="6" w:space="5" w:color="E8C77A"/>
          <w:bottom w:val="single" w:sz="6" w:space="5" w:color="E8C77A"/>
          <w:right w:val="single" w:sz="6" w:space="5" w:color="E8C77A"/>
        </w:pBdr>
      </w:pPr>
      <w:r>
        <w:rPr>
          <w:rFonts w:ascii="Calibri" w:hAnsi="Calibri" w:eastAsia="Microsoft YaHei"/>
          <w:b/>
          <w:i w:val="0"/>
          <w:color w:val="9A6B16"/>
          <w:sz w:val="21"/>
        </w:rPr>
        <w:t>红线：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不得把OFAC一般许可理解为对塔利班或所有政府关联方的全面解禁；不得接受无法证明最终收款人、资金来源和货物最终用户的交易。</w:t>
      </w:r>
    </w:p>
    <w:p>
      <w:r>
        <w:br w:type="page"/>
      </w:r>
    </w:p>
    <w:p>
      <w:pPr>
        <w:pStyle w:val="Heading1"/>
      </w:pPr>
      <w:r>
        <w:t>8. 未来12—36个月监测仪表盘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200"/>
        <w:gridCol w:w="3150"/>
        <w:gridCol w:w="3010"/>
        <w:gridCol w:w="100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监测项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基准状态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触发动作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频率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世行月度经济监测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增长但人均恶化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调整需求和价格假设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月度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UN/ARTF项目招标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基本需求资金主导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投标准备和库存计划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周/月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援助融资缺口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外援下降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仅对已到账项目投入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月度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边境开放/关税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波动频繁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切换中亚/南亚路线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周度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AFN汇率与通胀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食品通胀回升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调整报价有效期与库存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周/月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女性政策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限制严厉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评估项目可交付性和捐助合规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事件驱动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OFAC/UN名单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持续适用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更新客户和银行筛查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实时/月度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90天行动计划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建立联合国、世行和ADB采购订阅，按农业、水、医疗、能源四类归档。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完成一个标准化“太阳能水泵+滴灌+储水”产品包的技术与合规清单。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筛选两家本地供应商和一家第三方监测机构，完成UBO与现场能力尽调。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与银行确认可接受的阿富汗交易文件、币种、对应行和拒付条件。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以不超过公司风险预算的小额框架单验证物流、验收和回款。</w:t>
      </w:r>
    </w:p>
    <w:p>
      <w:pPr/>
      <w:r>
        <w:rPr>
          <w:rFonts w:ascii="Calibri" w:hAnsi="Calibri" w:eastAsia="Microsoft YaHei"/>
          <w:b/>
          <w:i w:val="0"/>
          <w:color w:val="0B2545"/>
          <w:sz w:val="22"/>
        </w:rPr>
        <w:t>结论：</w:t>
      </w:r>
      <w:r>
        <w:rPr>
          <w:rFonts w:ascii="Calibri" w:hAnsi="Calibri" w:eastAsia="Microsoft YaHei"/>
          <w:b w:val="0"/>
          <w:i w:val="0"/>
          <w:color w:val="17202A"/>
          <w:sz w:val="22"/>
        </w:rPr>
        <w:t>阿富汗不是传统意义的战后基建市场，而是由基本需求、捐助资金和本地采购组织起来的受限恢复市场。真正的优势来自合规、轻资产、标准化设备与可验证交付。</w:t>
      </w:r>
    </w:p>
    <w:p>
      <w:r>
        <w:br w:type="page"/>
      </w:r>
    </w:p>
    <w:p>
      <w:pPr>
        <w:pStyle w:val="Heading1"/>
      </w:pPr>
      <w:r>
        <w:t>资料来源与使用说明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以下来源优先采用政府、多边机构和公司原始公告。宏观预测、项目金额和制裁状态会变化；进入任何交易前，应重新核验招标文件、最终受益所有人、制裁清单、出口管制、税务和付款银行。</w:t>
      </w:r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CRS：Afghanistan背景与美国政策 — </w:t>
      </w:r>
      <w:hyperlink r:id="rId11">
        <w:r>
          <w:rPr>
            <w:color w:val="2E74B5"/>
            <w:u w:val="single"/>
            <w:rFonts w:ascii="Calibri" w:hAnsi="Calibri" w:eastAsia="Microsoft YaHei"/>
          </w:rPr>
          <w:t>congress.gov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S2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SIGAR：截至2025年6月的美国重建拨款 — </w:t>
      </w:r>
      <w:hyperlink r:id="rId12">
        <w:r>
          <w:rPr>
            <w:color w:val="2E74B5"/>
            <w:u w:val="single"/>
            <w:rFonts w:ascii="Calibri" w:hAnsi="Calibri" w:eastAsia="Microsoft YaHei"/>
          </w:rPr>
          <w:t>sigar.mil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S3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世界银行：2026 Afghanistan Development Update新闻稿 — </w:t>
      </w:r>
      <w:hyperlink r:id="rId13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S4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UNDP：阿富汗私营部门地图 — </w:t>
      </w:r>
      <w:hyperlink r:id="rId14">
        <w:r>
          <w:rPr>
            <w:color w:val="2E74B5"/>
            <w:u w:val="single"/>
            <w:rFonts w:ascii="Calibri" w:hAnsi="Calibri" w:eastAsia="Microsoft YaHei"/>
          </w:rPr>
          <w:t>undp.org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S5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UNOPS：CRLP追加融资 — </w:t>
      </w:r>
      <w:hyperlink r:id="rId15">
        <w:r>
          <w:rPr>
            <w:color w:val="2E74B5"/>
            <w:u w:val="single"/>
            <w:rFonts w:ascii="Calibri" w:hAnsi="Calibri" w:eastAsia="Microsoft YaHei"/>
          </w:rPr>
          <w:t>unops.org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S6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联合国：ADB—FAO 1亿美元粮食项目 — </w:t>
      </w:r>
      <w:hyperlink r:id="rId16">
        <w:r>
          <w:rPr>
            <w:color w:val="2E74B5"/>
            <w:u w:val="single"/>
            <w:rFonts w:ascii="Calibri" w:hAnsi="Calibri" w:eastAsia="Microsoft YaHei"/>
          </w:rPr>
          <w:t>afghanistan.un.org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S7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UNOPS：JICA支持喀布尔水项目 — </w:t>
      </w:r>
      <w:hyperlink r:id="rId17">
        <w:r>
          <w:rPr>
            <w:color w:val="2E74B5"/>
            <w:u w:val="single"/>
            <w:rFonts w:ascii="Calibri" w:hAnsi="Calibri" w:eastAsia="Microsoft YaHei"/>
          </w:rPr>
          <w:t>unops.org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S8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联合国：2026回返者响应计划 — </w:t>
      </w:r>
      <w:hyperlink r:id="rId18">
        <w:r>
          <w:rPr>
            <w:color w:val="2E74B5"/>
            <w:u w:val="single"/>
            <w:rFonts w:ascii="Calibri" w:hAnsi="Calibri" w:eastAsia="Microsoft YaHei"/>
          </w:rPr>
          <w:t>afghanistan.un.org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S9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美国财政部：阿富汗经济活动一般许可 — </w:t>
      </w:r>
      <w:hyperlink r:id="rId19">
        <w:r>
          <w:rPr>
            <w:color w:val="2E74B5"/>
            <w:u w:val="single"/>
            <w:rFonts w:ascii="Calibri" w:hAnsi="Calibri" w:eastAsia="Microsoft YaHei"/>
          </w:rPr>
          <w:t>home.treasury.gov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S10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美国财政部：35亿美元Afghan Fund — </w:t>
      </w:r>
      <w:hyperlink r:id="rId20">
        <w:r>
          <w:rPr>
            <w:color w:val="2E74B5"/>
            <w:u w:val="single"/>
            <w:rFonts w:ascii="Calibri" w:hAnsi="Calibri" w:eastAsia="Microsoft YaHei"/>
          </w:rPr>
          <w:t>home.treasury.gov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S11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Siemens：Bayat Power移动燃机 — </w:t>
      </w:r>
      <w:hyperlink r:id="rId21">
        <w:r>
          <w:rPr>
            <w:color w:val="2E74B5"/>
            <w:u w:val="single"/>
            <w:rFonts w:ascii="Calibri" w:hAnsi="Calibri" w:eastAsia="Microsoft YaHei"/>
          </w:rPr>
          <w:t>press.siemens.com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S12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阿富汗经济副总理办公室：2025年十项电力合同 — </w:t>
      </w:r>
      <w:hyperlink r:id="rId22">
        <w:r>
          <w:rPr>
            <w:color w:val="2E74B5"/>
            <w:u w:val="single"/>
            <w:rFonts w:ascii="Calibri" w:hAnsi="Calibri" w:eastAsia="Microsoft YaHei"/>
          </w:rPr>
          <w:t>dpmea.gov.af</w:t>
        </w:r>
      </w:hyperlink>
    </w:p>
    <w:p>
      <w:pPr>
        <w:pStyle w:val="Heading2"/>
      </w:pPr>
      <w:r>
        <w:t>免责声明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本报告为专题研究底稿，不构成证券研究评级、法律意见、制裁许可判断、投标承诺或投资建议。涉及冲突地区的人员安全、人权尽调、反腐败、反洗钱、出口管制和战争险，应由具备相关资质的专业团队独立审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 w:eastAsia="Microsoft YaHei"/>
        <w:b w:val="0"/>
        <w:i w:val="0"/>
        <w:color w:val="667085"/>
        <w:sz w:val="16"/>
      </w:rPr>
      <w:t xml:space="preserve">战后重建专题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1" w:color="D8DEE8"/>
      </w:pBdr>
    </w:pPr>
    <w:r>
      <w:rPr>
        <w:rFonts w:ascii="Calibri" w:hAnsi="Calibri" w:eastAsia="Microsoft YaHei"/>
        <w:b/>
        <w:i w:val="0"/>
        <w:color w:val="667085"/>
        <w:sz w:val="17"/>
      </w:rPr>
      <w:t>阿富汗｜战后重建与产业机会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69"/>
        </w:tabs>
        <w:ind w:left="540" w:hanging="271"/>
      </w:pPr>
      <w:rPr>
        <w:rFonts w:ascii="Arial" w:hAnsi="Arial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num w:numId="11">
    <w:abstractNumId w:val="1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ongress.gov/crs-product/R45122" TargetMode="External"/><Relationship Id="rId12" Type="http://schemas.openxmlformats.org/officeDocument/2006/relationships/hyperlink" Target="https://www.sigar.mil/Reports/Quarterly-Reports/Funding-Tables/" TargetMode="External"/><Relationship Id="rId13" Type="http://schemas.openxmlformats.org/officeDocument/2006/relationships/hyperlink" Target="https://www.worldbank.org/en/news/press-release/2026/05/26/afghanistan-s-economy-shows-resilience-but-living-standards-are-falling" TargetMode="External"/><Relationship Id="rId14" Type="http://schemas.openxmlformats.org/officeDocument/2006/relationships/hyperlink" Target="https://www.undp.org/afghanistan/press-releases/private-sector-key-afghanistans-economic-recovery-new-undp-report-shows" TargetMode="External"/><Relationship Id="rId15" Type="http://schemas.openxmlformats.org/officeDocument/2006/relationships/hyperlink" Target="https://www.unops.org/news-and-stories/news/for-more-jobs-services-and-climate-resilience-across-afghanistan" TargetMode="External"/><Relationship Id="rId16" Type="http://schemas.openxmlformats.org/officeDocument/2006/relationships/hyperlink" Target="https://afghanistan.un.org/en/309101-fao-and-asian-development-bank-advance-100-million-initiative-boost-food-security-and" TargetMode="External"/><Relationship Id="rId17" Type="http://schemas.openxmlformats.org/officeDocument/2006/relationships/hyperlink" Target="https://www.unops.org/news-and-stories/news/building-climate-resilience-in-kabul-new-initiative-to-tackle-acute-water-stress" TargetMode="External"/><Relationship Id="rId18" Type="http://schemas.openxmlformats.org/officeDocument/2006/relationships/hyperlink" Target="https://afghanistan.un.org/en/315785-2026-response-plan-afghan-returnees-rpar-published" TargetMode="External"/><Relationship Id="rId19" Type="http://schemas.openxmlformats.org/officeDocument/2006/relationships/hyperlink" Target="https://home.treasury.gov/news/press-releases/jy0609" TargetMode="External"/><Relationship Id="rId20" Type="http://schemas.openxmlformats.org/officeDocument/2006/relationships/hyperlink" Target="https://home.treasury.gov/news/press-releases/jy0947" TargetMode="External"/><Relationship Id="rId21" Type="http://schemas.openxmlformats.org/officeDocument/2006/relationships/hyperlink" Target="https://press.siemens.com/middleeast/en/pressrelease/siemens-supplies-first-sgt-a45-mobile-power-generation-unit" TargetMode="External"/><Relationship Id="rId22" Type="http://schemas.openxmlformats.org/officeDocument/2006/relationships/hyperlink" Target="https://dpmea.gov.af/index.php/1404-Engliah-News-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阿富汗：战后重建与产业机会</dc:title>
  <dc:subject>战后重建专题</dc:subject>
  <dc:creator>Codex research workflow</dc:creator>
  <cp:keywords>战后重建, 美国参与, 产业机会, 项目管线, 风险</cp:keywords>
  <dc:description>资料截止2026年7月24日; preset=compact_reference_guide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