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360"/>
        <w:jc w:val="center"/>
      </w:pPr>
      <w:r>
        <w:rPr>
          <w:rFonts w:ascii="Calibri" w:hAnsi="Calibri" w:eastAsia="Microsoft YaHei"/>
          <w:b/>
          <w:i w:val="0"/>
          <w:color w:val="9A6B16"/>
          <w:sz w:val="22"/>
        </w:rPr>
        <w:t>D03  战后重建国家专题</w:t>
      </w:r>
    </w:p>
    <w:p>
      <w:pPr>
        <w:spacing w:after="160"/>
        <w:jc w:val="center"/>
      </w:pPr>
      <w:r>
        <w:rPr>
          <w:rFonts w:ascii="Calibri" w:hAnsi="Calibri" w:eastAsia="Microsoft YaHei"/>
          <w:b/>
          <w:i w:val="0"/>
          <w:color w:val="0B2545"/>
          <w:sz w:val="60"/>
        </w:rPr>
        <w:t>伊朗</w:t>
      </w:r>
    </w:p>
    <w:p>
      <w:pPr>
        <w:spacing w:after="80"/>
        <w:jc w:val="center"/>
      </w:pPr>
      <w:r>
        <w:rPr>
          <w:rFonts w:ascii="Calibri" w:hAnsi="Calibri" w:eastAsia="Microsoft YaHei"/>
          <w:b/>
          <w:i w:val="0"/>
          <w:color w:val="1F4D78"/>
          <w:sz w:val="30"/>
        </w:rPr>
        <w:t>经济建设、重建资金与全球产业机会</w:t>
      </w:r>
    </w:p>
    <w:p>
      <w:pPr>
        <w:spacing w:after="560"/>
        <w:jc w:val="center"/>
      </w:pPr>
      <w:r>
        <w:rPr>
          <w:rFonts w:ascii="Calibri" w:hAnsi="Calibri" w:eastAsia="Microsoft YaHei"/>
          <w:b w:val="0"/>
          <w:i/>
          <w:color w:val="667085"/>
          <w:sz w:val="21"/>
        </w:rPr>
        <w:t>停火后的高不确定性、强制裁与情景型重建观察</w:t>
      </w:r>
    </w:p>
    <w:p>
      <w:pPr>
        <w:spacing w:after="80"/>
        <w:jc w:val="center"/>
      </w:pPr>
      <w:r>
        <w:rPr>
          <w:rFonts w:ascii="Calibri" w:hAnsi="Calibri" w:eastAsia="Microsoft YaHei"/>
          <w:b/>
          <w:i w:val="0"/>
          <w:color w:val="0B2545"/>
          <w:sz w:val="22"/>
        </w:rPr>
        <w:t>资料截止：2026年7月24日</w:t>
      </w:r>
    </w:p>
    <w:p>
      <w:pPr>
        <w:spacing w:after="120"/>
        <w:jc w:val="center"/>
      </w:pPr>
      <w:r>
        <w:rPr>
          <w:rFonts w:ascii="Calibri" w:hAnsi="Calibri" w:eastAsia="Microsoft YaHei"/>
          <w:b w:val="0"/>
          <w:i w:val="0"/>
          <w:color w:val="667085"/>
          <w:sz w:val="18"/>
        </w:rPr>
        <w:t>设计体系：compact_reference_guide｜证据分级：A 已确认 / B 官方管线 / C 能力匹配</w:t>
      </w:r>
    </w:p>
    <w:p>
      <w:pPr>
        <w:spacing w:before="900" w:after="0"/>
        <w:jc w:val="center"/>
      </w:pPr>
      <w:r>
        <w:rPr>
          <w:rFonts w:ascii="Calibri" w:hAnsi="Calibri" w:eastAsia="Microsoft YaHei"/>
          <w:b w:val="0"/>
          <w:i w:val="0"/>
          <w:color w:val="667085"/>
          <w:sz w:val="19"/>
        </w:rPr>
        <w:t>研究用途：跨国产业扫描、项目获取与风险监测</w:t>
      </w:r>
    </w:p>
    <w:p>
      <w:r>
        <w:br w:type="page"/>
      </w:r>
    </w:p>
    <w:p>
      <w:pPr>
        <w:pStyle w:val="Heading1"/>
      </w:pPr>
      <w:r>
        <w:t>执行摘要</w:t>
      </w:r>
    </w:p>
    <w:p>
      <w:pPr>
        <w:spacing w:before="80" w:after="160" w:line="283" w:lineRule="auto"/>
        <w:ind w:left="115" w:right="115"/>
        <w:shd w:fill="FFF4E5"/>
        <w:pBdr>
          <w:top w:val="single" w:sz="6" w:space="5" w:color="E8C77A"/>
          <w:left w:val="single" w:sz="6" w:space="5" w:color="E8C77A"/>
          <w:bottom w:val="single" w:sz="6" w:space="5" w:color="E8C77A"/>
          <w:right w:val="single" w:sz="6" w:space="5" w:color="E8C77A"/>
        </w:pBdr>
      </w:pPr>
      <w:r>
        <w:rPr>
          <w:rFonts w:ascii="Calibri" w:hAnsi="Calibri" w:eastAsia="Microsoft YaHei"/>
          <w:b/>
          <w:i w:val="0"/>
          <w:color w:val="9A6B16"/>
          <w:sz w:val="21"/>
        </w:rPr>
        <w:t>一句话判断：</w:t>
      </w:r>
      <w:r>
        <w:rPr>
          <w:rFonts w:ascii="Calibri" w:hAnsi="Calibri" w:eastAsia="Microsoft YaHei"/>
          <w:b w:val="0"/>
          <w:i w:val="0"/>
          <w:color w:val="17202A"/>
          <w:sz w:val="21"/>
        </w:rPr>
        <w:t>伊朗存在能源、交通、供水、通信和公共设施修复需求，但截至资料截止日，没有可验证的全面重建融资与国际采购框架。美国制裁仍属决定性边界；除经授权的人道、农业、医疗、通信和安全环保活动外，应采取“监测而非部署资本”的策略。</w:t>
      </w:r>
    </w:p>
    <w:p>
      <w:pPr>
        <w:pStyle w:val="Heading2"/>
      </w:pPr>
      <w:r>
        <w:t>五项核心判断</w:t>
      </w:r>
    </w:p>
    <w:p>
      <w:pPr>
        <w:numPr>
          <w:ilvl w:val="0"/>
          <w:numId w:val="10"/>
        </w:numPr>
        <w:spacing w:before="0" w:after="80" w:line="300" w:lineRule="auto"/>
        <w:ind w:left="540" w:hanging="271"/>
      </w:pPr>
      <w:r>
        <w:rPr>
          <w:rFonts w:ascii="Calibri" w:hAnsi="Calibri" w:eastAsia="Microsoft YaHei"/>
          <w:b w:val="0"/>
          <w:i w:val="0"/>
          <w:color w:val="17202A"/>
          <w:sz w:val="22"/>
        </w:rPr>
        <w:t>美国在2025年“午夜之锤”中打击三处核设施，并于2026年2月28日启动“史诗怒火”；白宫4月8日宣布停火与霍尔木兹海峡重开安排。[S1][S2]</w:t>
      </w:r>
    </w:p>
    <w:p>
      <w:pPr>
        <w:numPr>
          <w:ilvl w:val="0"/>
          <w:numId w:val="10"/>
        </w:numPr>
        <w:spacing w:before="0" w:after="80" w:line="300" w:lineRule="auto"/>
        <w:ind w:left="540" w:hanging="271"/>
      </w:pPr>
      <w:r>
        <w:rPr>
          <w:rFonts w:ascii="Calibri" w:hAnsi="Calibri" w:eastAsia="Microsoft YaHei"/>
          <w:b w:val="0"/>
          <w:i w:val="0"/>
          <w:color w:val="17202A"/>
          <w:sz w:val="22"/>
        </w:rPr>
        <w:t>世界银行估计伊朗2025/26财年GDP收缩2.7%；IMF 2026年7月数据预计2026年实际GDP-5.4%、通胀68.9%。[S3][S4]</w:t>
      </w:r>
    </w:p>
    <w:p>
      <w:pPr>
        <w:numPr>
          <w:ilvl w:val="0"/>
          <w:numId w:val="10"/>
        </w:numPr>
        <w:spacing w:before="0" w:after="80" w:line="300" w:lineRule="auto"/>
        <w:ind w:left="540" w:hanging="271"/>
      </w:pPr>
      <w:r>
        <w:rPr>
          <w:rFonts w:ascii="Calibri" w:hAnsi="Calibri" w:eastAsia="Microsoft YaHei"/>
          <w:b w:val="0"/>
          <w:i w:val="0"/>
          <w:color w:val="17202A"/>
          <w:sz w:val="22"/>
        </w:rPr>
        <w:t>战损、能源短缺、互联网中断和海峡贸易扰动叠加，但公开的一手资料尚无全国性损失与重建需求评估。</w:t>
      </w:r>
    </w:p>
    <w:p>
      <w:pPr>
        <w:numPr>
          <w:ilvl w:val="0"/>
          <w:numId w:val="10"/>
        </w:numPr>
        <w:spacing w:before="0" w:after="80" w:line="300" w:lineRule="auto"/>
        <w:ind w:left="540" w:hanging="271"/>
      </w:pPr>
      <w:r>
        <w:rPr>
          <w:rFonts w:ascii="Calibri" w:hAnsi="Calibri" w:eastAsia="Microsoft YaHei"/>
          <w:b w:val="0"/>
          <w:i w:val="0"/>
          <w:color w:val="17202A"/>
          <w:sz w:val="22"/>
        </w:rPr>
        <w:t>OFAC仍维持伊朗综合制裁；GL 8A、E及通信相关授权只覆盖特定活动，2026年的U/W/Y/Z等多为限时卸货、风控或退出许可。[S5]</w:t>
      </w:r>
    </w:p>
    <w:p>
      <w:pPr>
        <w:numPr>
          <w:ilvl w:val="0"/>
          <w:numId w:val="10"/>
        </w:numPr>
        <w:spacing w:before="0" w:after="80" w:line="300" w:lineRule="auto"/>
        <w:ind w:left="540" w:hanging="271"/>
      </w:pPr>
      <w:r>
        <w:rPr>
          <w:rFonts w:ascii="Calibri" w:hAnsi="Calibri" w:eastAsia="Microsoft YaHei"/>
          <w:b w:val="0"/>
          <w:i w:val="0"/>
          <w:color w:val="17202A"/>
          <w:sz w:val="22"/>
        </w:rPr>
        <w:t>因此公司名单以C级能力匹配和制裁情景分析为主；不得把历史在伊业务或第三国贸易推断为当前可执行重建订单。</w:t>
      </w:r>
    </w:p>
    <w:p>
      <w:pPr>
        <w:pStyle w:val="Heading2"/>
      </w:pPr>
      <w:r>
        <w:t>市场进入评分</w:t>
      </w:r>
    </w:p>
    <w:tbl>
      <w:tblPr>
        <w:tblStyle w:val="TableGrid"/>
        <w:tblLook w:firstColumn="1" w:firstRow="1" w:lastColumn="0" w:lastRow="0" w:noHBand="0" w:noVBand="1" w:val="04A0"/>
        <w:jc w:val="left"/>
        <w:tblW w:w="9360" w:type="dxa"/>
        <w:tblInd w:w="120" w:type="dxa"/>
        <w:tblLayout w:type="fixed"/>
      </w:tblPr>
      <w:tblGrid>
        <w:gridCol w:w="1500"/>
        <w:gridCol w:w="2100"/>
        <w:gridCol w:w="1000"/>
        <w:gridCol w:w="4760"/>
      </w:tblGrid>
      <w:tr>
        <w:trPr>
          <w:tblHeader w:val="true"/>
        </w:trPr>
        <w:tc>
          <w:tcPr>
            <w:tcW w:type="dxa" w:w="15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维度</w:t>
            </w:r>
          </w:p>
        </w:tc>
        <w:tc>
          <w:tcPr>
            <w:tcW w:type="dxa" w:w="21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当前判断</w:t>
            </w:r>
          </w:p>
        </w:tc>
        <w:tc>
          <w:tcPr>
            <w:tcW w:type="dxa" w:w="10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评分/5</w:t>
            </w:r>
          </w:p>
        </w:tc>
        <w:tc>
          <w:tcPr>
            <w:tcW w:type="dxa" w:w="476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含义</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商业可进入性</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除授权范围外近乎关闭</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0.8</w:t>
            </w:r>
          </w:p>
        </w:tc>
        <w:tc>
          <w:tcPr>
            <w:tcW w:type="dxa" w:w="47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美国企业及大量第三国企业面临一级/次级制裁</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资金清晰度</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低</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0.8</w:t>
            </w:r>
          </w:p>
        </w:tc>
        <w:tc>
          <w:tcPr>
            <w:tcW w:type="dxa" w:w="47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无全面国际重建基金或公开采购框架</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付款可控性</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极低</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0.5</w:t>
            </w:r>
          </w:p>
        </w:tc>
        <w:tc>
          <w:tcPr>
            <w:tcW w:type="dxa" w:w="47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银行受限、汇率失真、资本管制和制裁叠加</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安全与执行</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停火但不稳定</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1.0</w:t>
            </w:r>
          </w:p>
        </w:tc>
        <w:tc>
          <w:tcPr>
            <w:tcW w:type="dxa" w:w="47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冲突再起、基础设施损坏和互联网限制风险高</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制裁/合规</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极高复杂度</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0.5</w:t>
            </w:r>
          </w:p>
        </w:tc>
        <w:tc>
          <w:tcPr>
            <w:tcW w:type="dxa" w:w="47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产品、最终用户、银行、船舶和所有权均需逐层核验</w:t>
            </w:r>
          </w:p>
        </w:tc>
      </w:tr>
    </w:tbl>
    <w:p>
      <w:pPr>
        <w:spacing w:before="0" w:after="40" w:line="240" w:lineRule="auto"/>
      </w:pPr>
    </w:p>
    <w:p>
      <w:pPr/>
      <w:r>
        <w:rPr>
          <w:rFonts w:ascii="Calibri" w:hAnsi="Calibri" w:eastAsia="Microsoft YaHei"/>
          <w:b w:val="0"/>
          <w:i w:val="0"/>
          <w:color w:val="17202A"/>
          <w:sz w:val="22"/>
        </w:rPr>
        <w:t>阅读口径：本报告把“国家存在巨大重建需求”与“企业今天可以签约、收款、退出”严格分开。A/B/C等级只描述证据成熟度，不等同于信用评级或投资建议。</w:t>
      </w:r>
    </w:p>
    <w:p>
      <w:r>
        <w:br w:type="page"/>
      </w:r>
    </w:p>
    <w:p>
      <w:pPr>
        <w:pStyle w:val="Heading1"/>
      </w:pPr>
      <w:r>
        <w:t>1. 战争轨迹、美国角色与当前权力结构</w:t>
      </w:r>
    </w:p>
    <w:p>
      <w:pPr>
        <w:pStyle w:val="Heading2"/>
      </w:pPr>
      <w:r>
        <w:t>关键时间线</w:t>
      </w:r>
    </w:p>
    <w:tbl>
      <w:tblPr>
        <w:tblStyle w:val="TableGrid"/>
        <w:tblLook w:firstColumn="1" w:firstRow="1" w:lastColumn="0" w:lastRow="0" w:noHBand="0" w:noVBand="1" w:val="04A0"/>
        <w:jc w:val="left"/>
        <w:tblW w:w="9360" w:type="dxa"/>
        <w:tblInd w:w="120" w:type="dxa"/>
        <w:tblLayout w:type="fixed"/>
      </w:tblPr>
      <w:tblGrid>
        <w:gridCol w:w="1250"/>
        <w:gridCol w:w="2750"/>
        <w:gridCol w:w="2500"/>
        <w:gridCol w:w="2860"/>
      </w:tblGrid>
      <w:tr>
        <w:trPr>
          <w:tblHeader w:val="true"/>
        </w:trPr>
        <w:tc>
          <w:tcPr>
            <w:tcW w:type="dxa" w:w="12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时期</w:t>
            </w:r>
          </w:p>
        </w:tc>
        <w:tc>
          <w:tcPr>
            <w:tcW w:type="dxa" w:w="27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事件</w:t>
            </w:r>
          </w:p>
        </w:tc>
        <w:tc>
          <w:tcPr>
            <w:tcW w:type="dxa" w:w="25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美国参与</w:t>
            </w:r>
          </w:p>
        </w:tc>
        <w:tc>
          <w:tcPr>
            <w:tcW w:type="dxa" w:w="286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对重建格局的影响</w:t>
            </w:r>
          </w:p>
        </w:tc>
      </w:tr>
      <w:tr>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2003—2023</w:t>
            </w:r>
          </w:p>
        </w:tc>
        <w:tc>
          <w:tcPr>
            <w:tcW w:type="dxa" w:w="27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与美国长期对抗；代理人网络与核争议反复升级</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美国以制裁、地区军事部署和有限直接行动为主</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投资长期受制裁与技术/融资隔离</w:t>
            </w:r>
          </w:p>
        </w:tc>
      </w:tr>
      <w:tr>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2024</w:t>
            </w:r>
          </w:p>
        </w:tc>
        <w:tc>
          <w:tcPr>
            <w:tcW w:type="dxa" w:w="27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伊朗与以色列直接导弹/无人机互击</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美军协助以色列防御并维持地区威慑</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保险、航运与能源风险溢价上升</w:t>
            </w:r>
          </w:p>
        </w:tc>
      </w:tr>
      <w:tr>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2025年6月</w:t>
            </w:r>
          </w:p>
        </w:tc>
        <w:tc>
          <w:tcPr>
            <w:tcW w:type="dxa" w:w="27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以色列发动大规模打击；伊朗还击</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美国“午夜之锤”打击福尔多、纳坦兹和伊斯法罕核设施</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核设施和相关基础设施受损，制裁进一步强化</w:t>
            </w:r>
          </w:p>
        </w:tc>
      </w:tr>
      <w:tr>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2026年2—3月</w:t>
            </w:r>
          </w:p>
        </w:tc>
        <w:tc>
          <w:tcPr>
            <w:tcW w:type="dxa" w:w="27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海湾冲突扩大，霍尔木兹通行受阻</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CENTCOM启动“史诗怒火”，29天内称打击1.1万余目标</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军事、能源、交通和公共基础设施损失扩大</w:t>
            </w:r>
          </w:p>
        </w:tc>
      </w:tr>
      <w:tr>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2026年4月后</w:t>
            </w:r>
          </w:p>
        </w:tc>
        <w:tc>
          <w:tcPr>
            <w:tcW w:type="dxa" w:w="27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宣布停火并讨论更广泛协议</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美国仍保持军事与制裁杠杆</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出现修复需求，但政治、金融与许可条件未形成</w:t>
            </w:r>
          </w:p>
        </w:tc>
      </w:tr>
    </w:tbl>
    <w:p>
      <w:pPr>
        <w:spacing w:before="0" w:after="40" w:line="240" w:lineRule="auto"/>
      </w:pPr>
    </w:p>
    <w:p>
      <w:pPr>
        <w:pStyle w:val="Heading2"/>
      </w:pPr>
      <w:r>
        <w:t>当前政治与安全结构</w:t>
      </w:r>
    </w:p>
    <w:p>
      <w:pPr>
        <w:numPr>
          <w:ilvl w:val="0"/>
          <w:numId w:val="10"/>
        </w:numPr>
        <w:spacing w:before="0" w:after="80" w:line="300" w:lineRule="auto"/>
        <w:ind w:left="540" w:hanging="271"/>
      </w:pPr>
      <w:r>
        <w:rPr>
          <w:rFonts w:ascii="Calibri" w:hAnsi="Calibri" w:eastAsia="Microsoft YaHei"/>
          <w:b w:val="0"/>
          <w:i w:val="0"/>
          <w:color w:val="17202A"/>
          <w:sz w:val="22"/>
        </w:rPr>
        <w:t>停火不等于政治和制裁正常化。政权结构、革命卫队关联经济实体和安全机构在大量关键产业中具有直接或间接影响。</w:t>
      </w:r>
    </w:p>
    <w:p>
      <w:pPr>
        <w:numPr>
          <w:ilvl w:val="0"/>
          <w:numId w:val="10"/>
        </w:numPr>
        <w:spacing w:before="0" w:after="80" w:line="300" w:lineRule="auto"/>
        <w:ind w:left="540" w:hanging="271"/>
      </w:pPr>
      <w:r>
        <w:rPr>
          <w:rFonts w:ascii="Calibri" w:hAnsi="Calibri" w:eastAsia="Microsoft YaHei"/>
          <w:b w:val="0"/>
          <w:i w:val="0"/>
          <w:color w:val="17202A"/>
          <w:sz w:val="22"/>
        </w:rPr>
        <w:t>正式与非正式汇率、多层国有/半国有所有权、互联网控制和贸易规避网络，使最终受益所有人和最终用户尽调异常困难。</w:t>
      </w:r>
    </w:p>
    <w:p>
      <w:pPr>
        <w:numPr>
          <w:ilvl w:val="0"/>
          <w:numId w:val="10"/>
        </w:numPr>
        <w:spacing w:before="0" w:after="80" w:line="300" w:lineRule="auto"/>
        <w:ind w:left="540" w:hanging="271"/>
      </w:pPr>
      <w:r>
        <w:rPr>
          <w:rFonts w:ascii="Calibri" w:hAnsi="Calibri" w:eastAsia="Microsoft YaHei"/>
          <w:b w:val="0"/>
          <w:i w:val="0"/>
          <w:color w:val="17202A"/>
          <w:sz w:val="22"/>
        </w:rPr>
        <w:t>任何“战后重建”情景都取决于停火持久性、核/地区协议、制裁减免、银行重联和第三方损害评估五个前提。</w:t>
      </w:r>
    </w:p>
    <w:p>
      <w:pPr>
        <w:spacing w:before="80" w:after="160" w:line="283" w:lineRule="auto"/>
        <w:ind w:left="115" w:right="115"/>
        <w:shd w:fill="FFF4E5"/>
        <w:pBdr>
          <w:top w:val="single" w:sz="6" w:space="5" w:color="E8C77A"/>
          <w:left w:val="single" w:sz="6" w:space="5" w:color="E8C77A"/>
          <w:bottom w:val="single" w:sz="6" w:space="5" w:color="E8C77A"/>
          <w:right w:val="single" w:sz="6" w:space="5" w:color="E8C77A"/>
        </w:pBdr>
      </w:pPr>
      <w:r>
        <w:rPr>
          <w:rFonts w:ascii="Calibri" w:hAnsi="Calibri" w:eastAsia="Microsoft YaHei"/>
          <w:b/>
          <w:i w:val="0"/>
          <w:color w:val="9A6B16"/>
          <w:sz w:val="21"/>
        </w:rPr>
        <w:t>商业边界：</w:t>
      </w:r>
      <w:r>
        <w:rPr>
          <w:rFonts w:ascii="Calibri" w:hAnsi="Calibri" w:eastAsia="Microsoft YaHei"/>
          <w:b w:val="0"/>
          <w:i w:val="0"/>
          <w:color w:val="17202A"/>
          <w:sz w:val="21"/>
        </w:rPr>
        <w:t>目前只研究授权范围内的人道、食品、农业、药品、医疗设备、部分通信与安全环保交易；大宗能源、金融、金属、航运、建筑和政府工程均默认不可执行，除非得到明确许可和银行确认。</w:t>
      </w:r>
    </w:p>
    <w:p>
      <w:r>
        <w:br w:type="page"/>
      </w:r>
    </w:p>
    <w:p>
      <w:pPr>
        <w:pStyle w:val="Heading1"/>
      </w:pPr>
      <w:r>
        <w:t>2. 宏观经济、财政与重建约束</w:t>
      </w:r>
    </w:p>
    <w:p>
      <w:pPr>
        <w:pStyle w:val="Heading2"/>
      </w:pPr>
      <w:r>
        <w:t>最新宏观快照</w:t>
      </w:r>
    </w:p>
    <w:tbl>
      <w:tblPr>
        <w:tblStyle w:val="TableGrid"/>
        <w:tblLook w:firstColumn="1" w:firstRow="1" w:lastColumn="0" w:lastRow="0" w:noHBand="0" w:noVBand="1" w:val="04A0"/>
        <w:jc w:val="left"/>
        <w:tblW w:w="9360" w:type="dxa"/>
        <w:tblInd w:w="120" w:type="dxa"/>
        <w:tblLayout w:type="fixed"/>
      </w:tblPr>
      <w:tblGrid>
        <w:gridCol w:w="1900"/>
        <w:gridCol w:w="3000"/>
        <w:gridCol w:w="4460"/>
      </w:tblGrid>
      <w:tr>
        <w:trPr>
          <w:tblHeader w:val="true"/>
        </w:trPr>
        <w:tc>
          <w:tcPr>
            <w:tcW w:type="dxa" w:w="19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指标</w:t>
            </w:r>
          </w:p>
        </w:tc>
        <w:tc>
          <w:tcPr>
            <w:tcW w:type="dxa" w:w="30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最新读数/判断</w:t>
            </w:r>
          </w:p>
        </w:tc>
        <w:tc>
          <w:tcPr>
            <w:tcW w:type="dxa" w:w="446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研究含义</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2025/26 GDP</w:t>
            </w:r>
          </w:p>
        </w:tc>
        <w:tc>
          <w:tcPr>
            <w:tcW w:type="dxa" w:w="3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世界银行估计-2.7% [S3]</w:t>
            </w:r>
          </w:p>
        </w:tc>
        <w:tc>
          <w:tcPr>
            <w:tcW w:type="dxa" w:w="4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冲突、抗议、能源短缺和贸易扰动共同压低产出</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2026 GDP预测</w:t>
            </w:r>
          </w:p>
        </w:tc>
        <w:tc>
          <w:tcPr>
            <w:tcW w:type="dxa" w:w="3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IMF 2026年7月预计-5.4% [S4]</w:t>
            </w:r>
          </w:p>
        </w:tc>
        <w:tc>
          <w:tcPr>
            <w:tcW w:type="dxa" w:w="4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衰退与政策不确定性显著</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2026通胀预测</w:t>
            </w:r>
          </w:p>
        </w:tc>
        <w:tc>
          <w:tcPr>
            <w:tcW w:type="dxa" w:w="3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IMF预计68.9% [S4]</w:t>
            </w:r>
          </w:p>
        </w:tc>
        <w:tc>
          <w:tcPr>
            <w:tcW w:type="dxa" w:w="4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固定价合同、本币应收和工资成本不可控</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能源/水</w:t>
            </w:r>
          </w:p>
        </w:tc>
        <w:tc>
          <w:tcPr>
            <w:tcW w:type="dxa" w:w="3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长期短缺叠加设施受损</w:t>
            </w:r>
          </w:p>
        </w:tc>
        <w:tc>
          <w:tcPr>
            <w:tcW w:type="dxa" w:w="4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需求巨大，但资产、燃料、制裁和收款均受限</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贸易</w:t>
            </w:r>
          </w:p>
        </w:tc>
        <w:tc>
          <w:tcPr>
            <w:tcW w:type="dxa" w:w="3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霍尔木兹冲突造成航运和出口中断</w:t>
            </w:r>
          </w:p>
        </w:tc>
        <w:tc>
          <w:tcPr>
            <w:tcW w:type="dxa" w:w="4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物流、战争险与合规成本上升</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重建评估</w:t>
            </w:r>
          </w:p>
        </w:tc>
        <w:tc>
          <w:tcPr>
            <w:tcW w:type="dxa" w:w="3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尚无公开的全国性RDNA/PDNA</w:t>
            </w:r>
          </w:p>
        </w:tc>
        <w:tc>
          <w:tcPr>
            <w:tcW w:type="dxa" w:w="4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不能对市场规模做精确估值或公司收入外推</w:t>
            </w:r>
          </w:p>
        </w:tc>
      </w:tr>
    </w:tbl>
    <w:p>
      <w:pPr>
        <w:spacing w:before="0" w:after="40" w:line="240" w:lineRule="auto"/>
      </w:pPr>
    </w:p>
    <w:p>
      <w:pPr>
        <w:pStyle w:val="Heading2"/>
      </w:pPr>
      <w:r>
        <w:t>经济建设阶段</w:t>
      </w:r>
    </w:p>
    <w:p>
      <w:pPr/>
      <w:r>
        <w:rPr>
          <w:rFonts w:ascii="Calibri" w:hAnsi="Calibri" w:eastAsia="Microsoft YaHei"/>
          <w:b w:val="0"/>
          <w:i w:val="0"/>
          <w:color w:val="17202A"/>
          <w:sz w:val="22"/>
        </w:rPr>
        <w:t>伊朗处于停火后的紧急修复与宏观失稳阶段，而不是形成国际重建市场的阶段。政府可能优先恢复电力、燃料、水、通信、机场、港口和工业安全，但资金与承包更可能由国内国企、半国有体系和少数承受制裁风险的伙伴承担。</w:t>
      </w:r>
    </w:p>
    <w:p>
      <w:pPr/>
      <w:r>
        <w:rPr>
          <w:rFonts w:ascii="Calibri" w:hAnsi="Calibri" w:eastAsia="Microsoft YaHei"/>
          <w:b w:val="0"/>
          <w:i w:val="0"/>
          <w:color w:val="17202A"/>
          <w:sz w:val="22"/>
        </w:rPr>
        <w:t>对全球公司而言，机会价值主要是期权：提前完成产品分类、制裁地图、潜在损害场景和合作方筛查，在政策解除时快速响应；不应为尚未发生的制裁松绑提前承担不可逆资本支出。</w:t>
      </w:r>
    </w:p>
    <w:p>
      <w:pPr>
        <w:pStyle w:val="Heading2"/>
      </w:pPr>
      <w:r>
        <w:t>主要约束</w:t>
      </w:r>
    </w:p>
    <w:p>
      <w:pPr>
        <w:numPr>
          <w:ilvl w:val="0"/>
          <w:numId w:val="10"/>
        </w:numPr>
        <w:spacing w:before="0" w:after="80" w:line="300" w:lineRule="auto"/>
        <w:ind w:left="540" w:hanging="271"/>
      </w:pPr>
      <w:r>
        <w:rPr>
          <w:rFonts w:ascii="Calibri" w:hAnsi="Calibri" w:eastAsia="Microsoft YaHei"/>
          <w:b w:val="0"/>
          <w:i w:val="0"/>
          <w:color w:val="17202A"/>
          <w:sz w:val="22"/>
        </w:rPr>
        <w:t>综合制裁与次级制裁覆盖金融、能源、航运、金属和大量实体。</w:t>
      </w:r>
    </w:p>
    <w:p>
      <w:pPr>
        <w:numPr>
          <w:ilvl w:val="0"/>
          <w:numId w:val="10"/>
        </w:numPr>
        <w:spacing w:before="0" w:after="80" w:line="300" w:lineRule="auto"/>
        <w:ind w:left="540" w:hanging="271"/>
      </w:pPr>
      <w:r>
        <w:rPr>
          <w:rFonts w:ascii="Calibri" w:hAnsi="Calibri" w:eastAsia="Microsoft YaHei"/>
          <w:b w:val="0"/>
          <w:i w:val="0"/>
          <w:color w:val="17202A"/>
          <w:sz w:val="22"/>
        </w:rPr>
        <w:t>革命卫队及其关联方在工程、能源、港口、通信和金融中的隐性控制增加50%规则风险。</w:t>
      </w:r>
    </w:p>
    <w:p>
      <w:pPr>
        <w:numPr>
          <w:ilvl w:val="0"/>
          <w:numId w:val="10"/>
        </w:numPr>
        <w:spacing w:before="0" w:after="80" w:line="300" w:lineRule="auto"/>
        <w:ind w:left="540" w:hanging="271"/>
      </w:pPr>
      <w:r>
        <w:rPr>
          <w:rFonts w:ascii="Calibri" w:hAnsi="Calibri" w:eastAsia="Microsoft YaHei"/>
          <w:b w:val="0"/>
          <w:i w:val="0"/>
          <w:color w:val="17202A"/>
          <w:sz w:val="22"/>
        </w:rPr>
        <w:t>高通胀、汇率多轨、资本管制和代理行缺失使付款与利润汇回困难。</w:t>
      </w:r>
    </w:p>
    <w:p>
      <w:pPr>
        <w:numPr>
          <w:ilvl w:val="0"/>
          <w:numId w:val="10"/>
        </w:numPr>
        <w:spacing w:before="0" w:after="80" w:line="300" w:lineRule="auto"/>
        <w:ind w:left="540" w:hanging="271"/>
      </w:pPr>
      <w:r>
        <w:rPr>
          <w:rFonts w:ascii="Calibri" w:hAnsi="Calibri" w:eastAsia="Microsoft YaHei"/>
          <w:b w:val="0"/>
          <w:i w:val="0"/>
          <w:color w:val="17202A"/>
          <w:sz w:val="22"/>
        </w:rPr>
        <w:t>冲突再起、网络关闭、设施安全和人员拘留风险无法通过普通合同完全转移。</w:t>
      </w:r>
    </w:p>
    <w:p>
      <w:pPr>
        <w:numPr>
          <w:ilvl w:val="0"/>
          <w:numId w:val="10"/>
        </w:numPr>
        <w:spacing w:before="0" w:after="80" w:line="300" w:lineRule="auto"/>
        <w:ind w:left="540" w:hanging="271"/>
      </w:pPr>
      <w:r>
        <w:rPr>
          <w:rFonts w:ascii="Calibri" w:hAnsi="Calibri" w:eastAsia="Microsoft YaHei"/>
          <w:b w:val="0"/>
          <w:i w:val="0"/>
          <w:color w:val="17202A"/>
          <w:sz w:val="22"/>
        </w:rPr>
        <w:t>缺乏独立战损评估与透明采购，项目规模、业主和资金来源难以核实。</w:t>
      </w:r>
    </w:p>
    <w:p>
      <w:r>
        <w:br w:type="page"/>
      </w:r>
    </w:p>
    <w:p>
      <w:pPr>
        <w:pStyle w:val="Heading1"/>
      </w:pPr>
      <w:r>
        <w:t>3. 破坏、重建需求与12—36个月催化剂</w:t>
      </w:r>
    </w:p>
    <w:tbl>
      <w:tblPr>
        <w:tblStyle w:val="TableGrid"/>
        <w:tblLook w:firstColumn="1" w:firstRow="1" w:lastColumn="0" w:lastRow="0" w:noHBand="0" w:noVBand="1" w:val="04A0"/>
        <w:jc w:val="left"/>
        <w:tblW w:w="9360" w:type="dxa"/>
        <w:tblInd w:w="120" w:type="dxa"/>
        <w:tblLayout w:type="fixed"/>
      </w:tblPr>
      <w:tblGrid>
        <w:gridCol w:w="1450"/>
        <w:gridCol w:w="3200"/>
        <w:gridCol w:w="3370"/>
        <w:gridCol w:w="1340"/>
      </w:tblGrid>
      <w:tr>
        <w:trPr>
          <w:tblHeader w:val="true"/>
        </w:trPr>
        <w:tc>
          <w:tcPr>
            <w:tcW w:type="dxa" w:w="14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板块</w:t>
            </w:r>
          </w:p>
        </w:tc>
        <w:tc>
          <w:tcPr>
            <w:tcW w:type="dxa" w:w="32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现状/缺口</w:t>
            </w:r>
          </w:p>
        </w:tc>
        <w:tc>
          <w:tcPr>
            <w:tcW w:type="dxa" w:w="337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12—36个月催化剂</w:t>
            </w:r>
          </w:p>
        </w:tc>
        <w:tc>
          <w:tcPr>
            <w:tcW w:type="dxa" w:w="134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机会等级</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电力/电网</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发电燃料、输配电与工业供电受战争和长期短缺影响</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仅在制裁减免、买方和付款明确后进入</w:t>
            </w:r>
          </w:p>
        </w:tc>
        <w:tc>
          <w:tcPr>
            <w:tcW w:type="dxa" w:w="134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水务</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多地水资源紧张、泵站和管网耗能高</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人道/民生项目可能优先，但授权需逐案确认</w:t>
            </w:r>
          </w:p>
        </w:tc>
        <w:tc>
          <w:tcPr>
            <w:tcW w:type="dxa" w:w="134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医疗</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药品、耗材、诊断和医院设施需求刚性</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GL 8A等授权下的合规贸易</w:t>
            </w:r>
          </w:p>
        </w:tc>
        <w:tc>
          <w:tcPr>
            <w:tcW w:type="dxa" w:w="134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B</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通信</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互联网中断、网络韧性与民用通信需求</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通信授权范围内设备/软件，严格最终用户控制</w:t>
            </w:r>
          </w:p>
        </w:tc>
        <w:tc>
          <w:tcPr>
            <w:tcW w:type="dxa" w:w="134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B</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交通物流</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道路、铁路、机场、港口和航运安全可能受损</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需等待损害评估和制裁框架变化</w:t>
            </w:r>
          </w:p>
        </w:tc>
        <w:tc>
          <w:tcPr>
            <w:tcW w:type="dxa" w:w="134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油气/炼化</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设施安全、产能恢复和减排需求大</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当前高制裁；仅安全环保特殊许可可能可行</w:t>
            </w:r>
          </w:p>
        </w:tc>
        <w:tc>
          <w:tcPr>
            <w:tcW w:type="dxa" w:w="134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住房/公共设施</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冲突地区住宅和公共设施需修复</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国内承包为主，国际资本入口不明</w:t>
            </w:r>
          </w:p>
        </w:tc>
        <w:tc>
          <w:tcPr>
            <w:tcW w:type="dxa" w:w="134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数字支付/银行</w:t>
            </w:r>
          </w:p>
        </w:tc>
        <w:tc>
          <w:tcPr>
            <w:tcW w:type="dxa" w:w="3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金融隔离与系统升级需求</w:t>
            </w:r>
          </w:p>
        </w:tc>
        <w:tc>
          <w:tcPr>
            <w:tcW w:type="dxa" w:w="337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制裁解除前不可作为常规机会</w:t>
            </w:r>
          </w:p>
        </w:tc>
        <w:tc>
          <w:tcPr>
            <w:tcW w:type="dxa" w:w="134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6"/>
              </w:rPr>
              <w:t>C</w:t>
            </w:r>
          </w:p>
        </w:tc>
      </w:tr>
    </w:tbl>
    <w:p>
      <w:pPr>
        <w:spacing w:before="0" w:after="40" w:line="240" w:lineRule="auto"/>
      </w:pPr>
    </w:p>
    <w:p>
      <w:pPr>
        <w:pStyle w:val="Heading2"/>
      </w:pPr>
      <w:r>
        <w:t>优先级解读</w:t>
      </w:r>
    </w:p>
    <w:p>
      <w:pPr>
        <w:numPr>
          <w:ilvl w:val="0"/>
          <w:numId w:val="10"/>
        </w:numPr>
        <w:spacing w:before="0" w:after="80" w:line="300" w:lineRule="auto"/>
        <w:ind w:left="540" w:hanging="271"/>
      </w:pPr>
      <w:r>
        <w:rPr>
          <w:rFonts w:ascii="Calibri" w:hAnsi="Calibri" w:eastAsia="Microsoft YaHei"/>
          <w:b w:val="0"/>
          <w:i w:val="0"/>
          <w:color w:val="17202A"/>
          <w:sz w:val="22"/>
        </w:rPr>
        <w:t>医疗、食品、农业和民用通信的授权空间不等于所有交易自动合法，银行和最终用户仍可能拒绝。</w:t>
      </w:r>
    </w:p>
    <w:p>
      <w:pPr>
        <w:numPr>
          <w:ilvl w:val="0"/>
          <w:numId w:val="10"/>
        </w:numPr>
        <w:spacing w:before="0" w:after="80" w:line="300" w:lineRule="auto"/>
        <w:ind w:left="540" w:hanging="271"/>
      </w:pPr>
      <w:r>
        <w:rPr>
          <w:rFonts w:ascii="Calibri" w:hAnsi="Calibri" w:eastAsia="Microsoft YaHei"/>
          <w:b w:val="0"/>
          <w:i w:val="0"/>
          <w:color w:val="17202A"/>
          <w:sz w:val="22"/>
        </w:rPr>
        <w:t>能源和基础设施修复规模可能很大，但没有战损评估、资金封闭和制裁减免，不能纳入收入预测。</w:t>
      </w:r>
    </w:p>
    <w:p>
      <w:pPr>
        <w:numPr>
          <w:ilvl w:val="0"/>
          <w:numId w:val="10"/>
        </w:numPr>
        <w:spacing w:before="0" w:after="80" w:line="300" w:lineRule="auto"/>
        <w:ind w:left="540" w:hanging="271"/>
      </w:pPr>
      <w:r>
        <w:rPr>
          <w:rFonts w:ascii="Calibri" w:hAnsi="Calibri" w:eastAsia="Microsoft YaHei"/>
          <w:b w:val="0"/>
          <w:i w:val="0"/>
          <w:color w:val="17202A"/>
          <w:sz w:val="22"/>
        </w:rPr>
        <w:t>最有价值的前置工作是建立制裁解除情景下的产品清单、供应链替代和尽调模板。</w:t>
      </w:r>
    </w:p>
    <w:p>
      <w:r>
        <w:br w:type="page"/>
      </w:r>
    </w:p>
    <w:p>
      <w:pPr>
        <w:pStyle w:val="Heading1"/>
      </w:pPr>
      <w:r>
        <w:t>4. 资金来源、采购机制与项目管线</w:t>
      </w:r>
    </w:p>
    <w:p>
      <w:pPr>
        <w:pStyle w:val="Heading2"/>
      </w:pPr>
      <w:r>
        <w:t>可见资金池</w:t>
      </w:r>
    </w:p>
    <w:tbl>
      <w:tblPr>
        <w:tblStyle w:val="TableGrid"/>
        <w:tblLook w:firstColumn="1" w:firstRow="1" w:lastColumn="0" w:lastRow="0" w:noHBand="0" w:noVBand="1" w:val="04A0"/>
        <w:jc w:val="left"/>
        <w:tblW w:w="9360" w:type="dxa"/>
        <w:tblInd w:w="120" w:type="dxa"/>
        <w:tblLayout w:type="fixed"/>
      </w:tblPr>
      <w:tblGrid>
        <w:gridCol w:w="2000"/>
        <w:gridCol w:w="1250"/>
        <w:gridCol w:w="1500"/>
        <w:gridCol w:w="3510"/>
        <w:gridCol w:w="1100"/>
      </w:tblGrid>
      <w:tr>
        <w:trPr>
          <w:tblHeader w:val="true"/>
        </w:trPr>
        <w:tc>
          <w:tcPr>
            <w:tcW w:type="dxa" w:w="20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资金/项目</w:t>
            </w:r>
          </w:p>
        </w:tc>
        <w:tc>
          <w:tcPr>
            <w:tcW w:type="dxa" w:w="12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规模</w:t>
            </w:r>
          </w:p>
        </w:tc>
        <w:tc>
          <w:tcPr>
            <w:tcW w:type="dxa" w:w="15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状态</w:t>
            </w:r>
          </w:p>
        </w:tc>
        <w:tc>
          <w:tcPr>
            <w:tcW w:type="dxa" w:w="351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企业切入点</w:t>
            </w:r>
          </w:p>
        </w:tc>
        <w:tc>
          <w:tcPr>
            <w:tcW w:type="dxa" w:w="11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证据</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全国重建计划</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未披露</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无可核验国际框架</w:t>
            </w:r>
          </w:p>
        </w:tc>
        <w:tc>
          <w:tcPr>
            <w:tcW w:type="dxa" w:w="35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仅做需求地图与政策监测</w:t>
            </w:r>
          </w:p>
        </w:tc>
        <w:tc>
          <w:tcPr>
            <w:tcW w:type="dxa" w:w="110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世界银行/IMF融资</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无项目</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无现行贷款/重建安排</w:t>
            </w:r>
          </w:p>
        </w:tc>
        <w:tc>
          <w:tcPr>
            <w:tcW w:type="dxa" w:w="35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等待成员政策与冲突评估</w:t>
            </w:r>
          </w:p>
        </w:tc>
        <w:tc>
          <w:tcPr>
            <w:tcW w:type="dxa" w:w="110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人道贸易</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交易型</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GL 8A及法定豁免仍适用</w:t>
            </w:r>
          </w:p>
        </w:tc>
        <w:tc>
          <w:tcPr>
            <w:tcW w:type="dxa" w:w="35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食品、农业、药品、医疗设备</w:t>
            </w:r>
          </w:p>
        </w:tc>
        <w:tc>
          <w:tcPr>
            <w:tcW w:type="dxa" w:w="110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NGO活动</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项目型</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GL E授权特定非政府活动</w:t>
            </w:r>
          </w:p>
        </w:tc>
        <w:tc>
          <w:tcPr>
            <w:tcW w:type="dxa" w:w="35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基本需求、环境和人道服务</w:t>
            </w:r>
          </w:p>
        </w:tc>
        <w:tc>
          <w:tcPr>
            <w:tcW w:type="dxa" w:w="110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民用通信</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产品/服务型</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受通信相关授权和出口控制约束</w:t>
            </w:r>
          </w:p>
        </w:tc>
        <w:tc>
          <w:tcPr>
            <w:tcW w:type="dxa" w:w="35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信息访问、软件和硬件</w:t>
            </w:r>
          </w:p>
        </w:tc>
        <w:tc>
          <w:tcPr>
            <w:tcW w:type="dxa" w:w="110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安全/环保退出许可</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限时/特定</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2026多项GL为特定船货、卸货或退出</w:t>
            </w:r>
          </w:p>
        </w:tc>
        <w:tc>
          <w:tcPr>
            <w:tcW w:type="dxa" w:w="35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不可扩张解释为一般重建许可</w:t>
            </w:r>
          </w:p>
        </w:tc>
        <w:tc>
          <w:tcPr>
            <w:tcW w:type="dxa" w:w="110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bl>
    <w:p>
      <w:pPr>
        <w:spacing w:before="0" w:after="40" w:line="240" w:lineRule="auto"/>
      </w:pPr>
    </w:p>
    <w:p>
      <w:pPr>
        <w:pStyle w:val="Heading2"/>
      </w:pPr>
      <w:r>
        <w:t>采购与收款路径</w:t>
      </w:r>
    </w:p>
    <w:p>
      <w:pPr>
        <w:numPr>
          <w:ilvl w:val="0"/>
          <w:numId w:val="10"/>
        </w:numPr>
        <w:spacing w:before="0" w:after="80" w:line="300" w:lineRule="auto"/>
        <w:ind w:left="540" w:hanging="271"/>
      </w:pPr>
      <w:r>
        <w:rPr>
          <w:rFonts w:ascii="Calibri" w:hAnsi="Calibri" w:eastAsia="Microsoft YaHei"/>
          <w:b w:val="0"/>
          <w:i w:val="0"/>
          <w:color w:val="17202A"/>
          <w:sz w:val="22"/>
        </w:rPr>
        <w:t>任何询价先做交易可行性备忘录：产品ECCN/HS、最终用户、50%所有权、银行、船舶、保险和再出口。</w:t>
      </w:r>
    </w:p>
    <w:p>
      <w:pPr>
        <w:numPr>
          <w:ilvl w:val="0"/>
          <w:numId w:val="10"/>
        </w:numPr>
        <w:spacing w:before="0" w:after="80" w:line="300" w:lineRule="auto"/>
        <w:ind w:left="540" w:hanging="271"/>
      </w:pPr>
      <w:r>
        <w:rPr>
          <w:rFonts w:ascii="Calibri" w:hAnsi="Calibri" w:eastAsia="Microsoft YaHei"/>
          <w:b w:val="0"/>
          <w:i w:val="0"/>
          <w:color w:val="17202A"/>
          <w:sz w:val="22"/>
        </w:rPr>
        <w:t>只在银行书面确认可处理、法律顾问确认授权、物流商确认可承运后报价。</w:t>
      </w:r>
    </w:p>
    <w:p>
      <w:pPr>
        <w:numPr>
          <w:ilvl w:val="0"/>
          <w:numId w:val="10"/>
        </w:numPr>
        <w:spacing w:before="0" w:after="80" w:line="300" w:lineRule="auto"/>
        <w:ind w:left="540" w:hanging="271"/>
      </w:pPr>
      <w:r>
        <w:rPr>
          <w:rFonts w:ascii="Calibri" w:hAnsi="Calibri" w:eastAsia="Microsoft YaHei"/>
          <w:b w:val="0"/>
          <w:i w:val="0"/>
          <w:color w:val="17202A"/>
          <w:sz w:val="22"/>
        </w:rPr>
        <w:t>合同加入制裁变更、许可证先决条件、无罚终止、预付款退回和最终用途核查条款。</w:t>
      </w:r>
    </w:p>
    <w:p>
      <w:pPr>
        <w:numPr>
          <w:ilvl w:val="0"/>
          <w:numId w:val="10"/>
        </w:numPr>
        <w:spacing w:before="0" w:after="80" w:line="300" w:lineRule="auto"/>
        <w:ind w:left="540" w:hanging="271"/>
      </w:pPr>
      <w:r>
        <w:rPr>
          <w:rFonts w:ascii="Calibri" w:hAnsi="Calibri" w:eastAsia="Microsoft YaHei"/>
          <w:b w:val="0"/>
          <w:i w:val="0"/>
          <w:color w:val="17202A"/>
          <w:sz w:val="22"/>
        </w:rPr>
        <w:t>不得通过第三国经销商掩盖伊朗最终目的地或规避美国/欧盟/英国限制。</w:t>
      </w:r>
    </w:p>
    <w:p>
      <w:pPr>
        <w:spacing w:before="80" w:after="160" w:line="283" w:lineRule="auto"/>
        <w:ind w:left="115" w:right="115"/>
        <w:shd w:fill="F4F6F9"/>
        <w:pBdr>
          <w:top w:val="single" w:sz="6" w:space="5" w:color="CBD5E1"/>
          <w:left w:val="single" w:sz="6" w:space="5" w:color="CBD5E1"/>
          <w:bottom w:val="single" w:sz="6" w:space="5" w:color="CBD5E1"/>
          <w:right w:val="single" w:sz="6" w:space="5" w:color="CBD5E1"/>
        </w:pBdr>
      </w:pPr>
      <w:r>
        <w:rPr>
          <w:rFonts w:ascii="Calibri" w:hAnsi="Calibri" w:eastAsia="Microsoft YaHei"/>
          <w:b/>
          <w:i w:val="0"/>
          <w:color w:val="0B2545"/>
          <w:sz w:val="21"/>
        </w:rPr>
        <w:t>资金判断：</w:t>
      </w:r>
      <w:r>
        <w:rPr>
          <w:rFonts w:ascii="Calibri" w:hAnsi="Calibri" w:eastAsia="Microsoft YaHei"/>
          <w:b w:val="0"/>
          <w:i w:val="0"/>
          <w:color w:val="17202A"/>
          <w:sz w:val="21"/>
        </w:rPr>
        <w:t>当前没有形成可投资的国际重建资金池。所谓机会主要是授权贸易和政策期权；任何大额资本开支都应以正式制裁减免、银行重联和独立战损评估为先决条件。</w:t>
      </w:r>
    </w:p>
    <w:p>
      <w:r>
        <w:br w:type="page"/>
      </w:r>
    </w:p>
    <w:p>
      <w:pPr>
        <w:pStyle w:val="Heading1"/>
      </w:pPr>
      <w:r>
        <w:t>5. 全球产业机会排序</w:t>
      </w:r>
    </w:p>
    <w:tbl>
      <w:tblPr>
        <w:tblStyle w:val="TableGrid"/>
        <w:tblLook w:firstColumn="1" w:firstRow="1" w:lastColumn="0" w:lastRow="0" w:noHBand="0" w:noVBand="1" w:val="04A0"/>
        <w:jc w:val="left"/>
        <w:tblW w:w="9360" w:type="dxa"/>
        <w:tblInd w:w="120" w:type="dxa"/>
        <w:tblLayout w:type="fixed"/>
      </w:tblPr>
      <w:tblGrid>
        <w:gridCol w:w="1450"/>
        <w:gridCol w:w="3340"/>
        <w:gridCol w:w="2050"/>
        <w:gridCol w:w="1400"/>
        <w:gridCol w:w="1120"/>
      </w:tblGrid>
      <w:tr>
        <w:trPr>
          <w:tblHeader w:val="true"/>
        </w:trPr>
        <w:tc>
          <w:tcPr>
            <w:tcW w:type="dxa" w:w="14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产业</w:t>
            </w:r>
          </w:p>
        </w:tc>
        <w:tc>
          <w:tcPr>
            <w:tcW w:type="dxa" w:w="334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机会逻辑</w:t>
            </w:r>
          </w:p>
        </w:tc>
        <w:tc>
          <w:tcPr>
            <w:tcW w:type="dxa" w:w="20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建议模式</w:t>
            </w:r>
          </w:p>
        </w:tc>
        <w:tc>
          <w:tcPr>
            <w:tcW w:type="dxa" w:w="14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时点</w:t>
            </w:r>
          </w:p>
        </w:tc>
        <w:tc>
          <w:tcPr>
            <w:tcW w:type="dxa" w:w="112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证据</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医疗设备/药品</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民生刚需且存在特定授权</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合规经销、预付款、最终用户审计</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0—12月</w:t>
            </w:r>
          </w:p>
        </w:tc>
        <w:tc>
          <w:tcPr>
            <w:tcW w:type="dxa" w:w="112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农业/食品</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粮食安全与通胀压力</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授权贸易、质量与冷链服务</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0—12月</w:t>
            </w:r>
          </w:p>
        </w:tc>
        <w:tc>
          <w:tcPr>
            <w:tcW w:type="dxa" w:w="112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民用通信</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网络韧性和信息访问需求</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授权产品/软件、远程支持</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0—12月</w:t>
            </w:r>
          </w:p>
        </w:tc>
        <w:tc>
          <w:tcPr>
            <w:tcW w:type="dxa" w:w="1120"/>
            <w:shd w:fill="FFF2CC"/>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B</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水处理</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长期水危机与公共服务修复</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仅人道/民生情景准备</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12月+</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电网设备</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短缺和战损可能带来大规模需求</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等待制裁和融资窗口</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12月+</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油气安全</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设施恢复、泄漏和环保需求</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仅明确安全环保许可</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12月+</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交通/工程</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潜在战损广泛</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不投标，先做损害与合规研究</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24月+</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金融科技</w:t>
            </w:r>
          </w:p>
        </w:tc>
        <w:tc>
          <w:tcPr>
            <w:tcW w:type="dxa" w:w="334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银行隔离与支付低效</w:t>
            </w:r>
          </w:p>
        </w:tc>
        <w:tc>
          <w:tcPr>
            <w:tcW w:type="dxa" w:w="2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制裁解除情景方案</w:t>
            </w:r>
          </w:p>
        </w:tc>
        <w:tc>
          <w:tcPr>
            <w:tcW w:type="dxa" w:w="14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24月+</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bl>
    <w:p>
      <w:pPr>
        <w:spacing w:before="0" w:after="40" w:line="240" w:lineRule="auto"/>
      </w:pPr>
    </w:p>
    <w:p>
      <w:pPr>
        <w:pStyle w:val="Heading2"/>
      </w:pPr>
      <w:r>
        <w:t>组合建议</w:t>
      </w:r>
    </w:p>
    <w:p>
      <w:pPr>
        <w:numPr>
          <w:ilvl w:val="0"/>
          <w:numId w:val="10"/>
        </w:numPr>
        <w:spacing w:before="0" w:after="80" w:line="300" w:lineRule="auto"/>
        <w:ind w:left="540" w:hanging="271"/>
      </w:pPr>
      <w:r>
        <w:rPr>
          <w:rFonts w:ascii="Calibri" w:hAnsi="Calibri" w:eastAsia="Microsoft YaHei"/>
          <w:b w:val="0"/>
          <w:i w:val="0"/>
          <w:color w:val="17202A"/>
          <w:sz w:val="22"/>
        </w:rPr>
        <w:t>可执行：经法律和银行双重确认的人道、食品、农业、医疗和民用通信交易。</w:t>
      </w:r>
    </w:p>
    <w:p>
      <w:pPr>
        <w:numPr>
          <w:ilvl w:val="0"/>
          <w:numId w:val="10"/>
        </w:numPr>
        <w:spacing w:before="0" w:after="80" w:line="300" w:lineRule="auto"/>
        <w:ind w:left="540" w:hanging="271"/>
      </w:pPr>
      <w:r>
        <w:rPr>
          <w:rFonts w:ascii="Calibri" w:hAnsi="Calibri" w:eastAsia="Microsoft YaHei"/>
          <w:b w:val="0"/>
          <w:i w:val="0"/>
          <w:color w:val="17202A"/>
          <w:sz w:val="22"/>
        </w:rPr>
        <w:t>观察：水、电、医院修复和环境安全；只做产品准备、伙伴筛查和情景报价。</w:t>
      </w:r>
    </w:p>
    <w:p>
      <w:pPr>
        <w:numPr>
          <w:ilvl w:val="0"/>
          <w:numId w:val="10"/>
        </w:numPr>
        <w:spacing w:before="0" w:after="80" w:line="300" w:lineRule="auto"/>
        <w:ind w:left="540" w:hanging="271"/>
      </w:pPr>
      <w:r>
        <w:rPr>
          <w:rFonts w:ascii="Calibri" w:hAnsi="Calibri" w:eastAsia="Microsoft YaHei"/>
          <w:b w:val="0"/>
          <w:i w:val="0"/>
          <w:color w:val="17202A"/>
          <w:sz w:val="22"/>
        </w:rPr>
        <w:t>禁止：大宗能源、受制裁银行、革命卫队关联工程、规避性第三国转口和长期本币应收。</w:t>
      </w:r>
    </w:p>
    <w:p>
      <w:r>
        <w:br w:type="page"/>
      </w:r>
    </w:p>
    <w:p>
      <w:pPr>
        <w:pStyle w:val="Heading1"/>
      </w:pPr>
      <w:r>
        <w:t>6. 公司与竞争格局：谁已进入，谁在候选池</w:t>
      </w:r>
    </w:p>
    <w:p>
      <w:pPr/>
      <w:r>
        <w:rPr>
          <w:rFonts w:ascii="Calibri" w:hAnsi="Calibri" w:eastAsia="Microsoft YaHei"/>
          <w:b w:val="0"/>
          <w:i w:val="0"/>
          <w:color w:val="17202A"/>
          <w:sz w:val="22"/>
        </w:rPr>
        <w:t>证据定义：A＝已确认合同、特许权、在建项目或正式采购；B＝官方预算、采购计划、市场接洽或MoU，尚未证明形成可确认收入；C＝仅依据能力与区域足迹推断，必须等待招标和合规条件。</w:t>
      </w:r>
    </w:p>
    <w:tbl>
      <w:tblPr>
        <w:tblStyle w:val="TableGrid"/>
        <w:tblLook w:firstColumn="1" w:firstRow="1" w:lastColumn="0" w:lastRow="0" w:noHBand="0" w:noVBand="1" w:val="04A0"/>
        <w:jc w:val="left"/>
        <w:tblW w:w="9360" w:type="dxa"/>
        <w:tblInd w:w="120" w:type="dxa"/>
        <w:tblLayout w:type="fixed"/>
      </w:tblPr>
      <w:tblGrid>
        <w:gridCol w:w="1050"/>
        <w:gridCol w:w="1800"/>
        <w:gridCol w:w="1500"/>
        <w:gridCol w:w="3890"/>
        <w:gridCol w:w="1120"/>
      </w:tblGrid>
      <w:tr>
        <w:trPr>
          <w:tblHeader w:val="true"/>
        </w:trPr>
        <w:tc>
          <w:tcPr>
            <w:tcW w:type="dxa" w:w="10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区域</w:t>
            </w:r>
          </w:p>
        </w:tc>
        <w:tc>
          <w:tcPr>
            <w:tcW w:type="dxa" w:w="18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公司/机构</w:t>
            </w:r>
          </w:p>
        </w:tc>
        <w:tc>
          <w:tcPr>
            <w:tcW w:type="dxa" w:w="15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板块</w:t>
            </w:r>
          </w:p>
        </w:tc>
        <w:tc>
          <w:tcPr>
            <w:tcW w:type="dxa" w:w="389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观察</w:t>
            </w:r>
          </w:p>
        </w:tc>
        <w:tc>
          <w:tcPr>
            <w:tcW w:type="dxa" w:w="112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证据</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美国</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GE HealthCare / Medtronic</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医疗</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能力与授权贸易场景匹配；未确认战后重建合同。</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美国</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Xylem / Caterpillar</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水/应急电源</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民生和应急修复能力匹配，进入须满足许可与银行条件。</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美国</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Cisco / Microsoft</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通信</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部分民用通信产品可能在授权范围内，最终用户和出口控制仍关键。</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欧洲</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Siemens Energy / ABB</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电网</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技术能力适配，但当前制裁与付款条件阻断常规业务。</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欧洲</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Siemens Healthineers / Philips</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医疗</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可关注授权医疗贸易，不代表已获订单。</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欧洲</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Veolia / Maersk</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水/物流</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能力匹配，航运和制裁风险使常规进入不可行。</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中国</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Sinopec / CNPC</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能源</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具备历史/区域关联，但本报告不据此推断当前重建合同。</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中国</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PowerChina / Huawei</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基础设施/通信</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可能具备制裁承受能力，但仍面临次级制裁与最终用户风险。</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日韩</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JGC / Samsung E&amp;A</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炼化/EPC</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技术适配，制裁解除前仅做情景观察。</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中东</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Metito / DP World</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水/物流</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区域能力适配，银行、港口和次级制裁风险很高。</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本地</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MAPNA</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电力</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本地工业能力重要；合作前需核验所有权和制裁状态。</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r>
        <w:tc>
          <w:tcPr>
            <w:tcW w:type="dxa" w:w="10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高风险对手</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IRGC关联工程实体</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多板块</w:t>
            </w:r>
          </w:p>
        </w:tc>
        <w:tc>
          <w:tcPr>
            <w:tcW w:type="dxa" w:w="389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可能控制关键项目；出现关联即触发加强尽调或退出。</w:t>
            </w:r>
          </w:p>
        </w:tc>
        <w:tc>
          <w:tcPr>
            <w:tcW w:type="dxa" w:w="1120"/>
            <w:shd w:fill="E8EEF5"/>
            <w:vAlign w:val="center"/>
            <w:tcMar>
              <w:top w:w="80" w:type="dxa"/>
              <w:start w:w="120" w:type="dxa"/>
              <w:bottom w:w="80" w:type="dxa"/>
              <w:end w:w="120" w:type="dxa"/>
            </w:tcMar>
          </w:tcPr>
          <w:p>
            <w:pPr>
              <w:spacing w:before="0" w:after="0" w:line="259" w:lineRule="auto"/>
              <w:jc w:val="center"/>
            </w:pPr>
            <w:r>
              <w:rPr>
                <w:rFonts w:ascii="Calibri" w:hAnsi="Calibri" w:eastAsia="Microsoft YaHei"/>
                <w:b/>
                <w:i w:val="0"/>
                <w:color w:val="0B2545"/>
                <w:sz w:val="15"/>
              </w:rPr>
              <w:t>C</w:t>
            </w:r>
          </w:p>
        </w:tc>
      </w:tr>
    </w:tbl>
    <w:p>
      <w:pPr>
        <w:spacing w:before="0" w:after="40" w:line="240" w:lineRule="auto"/>
      </w:pPr>
    </w:p>
    <w:p>
      <w:pPr>
        <w:pStyle w:val="Heading2"/>
      </w:pPr>
      <w:r>
        <w:t>竞争策略</w:t>
      </w:r>
    </w:p>
    <w:p>
      <w:pPr>
        <w:numPr>
          <w:ilvl w:val="0"/>
          <w:numId w:val="10"/>
        </w:numPr>
        <w:spacing w:before="0" w:after="80" w:line="300" w:lineRule="auto"/>
        <w:ind w:left="540" w:hanging="271"/>
      </w:pPr>
      <w:r>
        <w:rPr>
          <w:rFonts w:ascii="Calibri" w:hAnsi="Calibri" w:eastAsia="Microsoft YaHei"/>
          <w:b w:val="0"/>
          <w:i w:val="0"/>
          <w:color w:val="17202A"/>
          <w:sz w:val="22"/>
        </w:rPr>
        <w:t>当前不存在可正常比较的开放竞争市场；真正竞争变量是制裁许可、支付通道和政治关系，而非单纯技术价格。</w:t>
      </w:r>
    </w:p>
    <w:p>
      <w:pPr>
        <w:numPr>
          <w:ilvl w:val="0"/>
          <w:numId w:val="10"/>
        </w:numPr>
        <w:spacing w:before="0" w:after="80" w:line="300" w:lineRule="auto"/>
        <w:ind w:left="540" w:hanging="271"/>
      </w:pPr>
      <w:r>
        <w:rPr>
          <w:rFonts w:ascii="Calibri" w:hAnsi="Calibri" w:eastAsia="Microsoft YaHei"/>
          <w:b w:val="0"/>
          <w:i w:val="0"/>
          <w:color w:val="17202A"/>
          <w:sz w:val="22"/>
        </w:rPr>
        <w:t>欧美公司可保留合规与高端技术优势；中国和部分区域企业可能更早进入，但需承担次级制裁和结算风险。</w:t>
      </w:r>
    </w:p>
    <w:p>
      <w:pPr>
        <w:numPr>
          <w:ilvl w:val="0"/>
          <w:numId w:val="10"/>
        </w:numPr>
        <w:spacing w:before="0" w:after="80" w:line="300" w:lineRule="auto"/>
        <w:ind w:left="540" w:hanging="271"/>
      </w:pPr>
      <w:r>
        <w:rPr>
          <w:rFonts w:ascii="Calibri" w:hAnsi="Calibri" w:eastAsia="Microsoft YaHei"/>
          <w:b w:val="0"/>
          <w:i w:val="0"/>
          <w:color w:val="17202A"/>
          <w:sz w:val="22"/>
        </w:rPr>
        <w:t>所有公司观察均为情景候选池，除官方合同证据外不得标注为“受益者”。</w:t>
      </w:r>
    </w:p>
    <w:p>
      <w:r>
        <w:br w:type="page"/>
      </w:r>
    </w:p>
    <w:p>
      <w:pPr>
        <w:pStyle w:val="Heading1"/>
      </w:pPr>
      <w:r>
        <w:t>7. 进入模式、风险边界与止损条件</w:t>
      </w:r>
    </w:p>
    <w:p>
      <w:pPr>
        <w:pStyle w:val="Heading2"/>
      </w:pPr>
      <w:r>
        <w:t>建议进入顺序</w:t>
      </w:r>
    </w:p>
    <w:p>
      <w:pPr>
        <w:numPr>
          <w:ilvl w:val="0"/>
          <w:numId w:val="11"/>
        </w:numPr>
        <w:spacing w:before="0" w:after="80" w:line="300" w:lineRule="auto"/>
        <w:ind w:left="540" w:hanging="271"/>
      </w:pPr>
      <w:r>
        <w:rPr>
          <w:rFonts w:ascii="Calibri" w:hAnsi="Calibri" w:eastAsia="Microsoft YaHei"/>
          <w:b w:val="0"/>
          <w:i w:val="0"/>
          <w:color w:val="17202A"/>
          <w:sz w:val="22"/>
        </w:rPr>
        <w:t>维持零资本部署，建立每月制裁、停火、银行和战损评估监测。</w:t>
      </w:r>
    </w:p>
    <w:p>
      <w:pPr>
        <w:numPr>
          <w:ilvl w:val="0"/>
          <w:numId w:val="11"/>
        </w:numPr>
        <w:spacing w:before="0" w:after="80" w:line="300" w:lineRule="auto"/>
        <w:ind w:left="540" w:hanging="271"/>
      </w:pPr>
      <w:r>
        <w:rPr>
          <w:rFonts w:ascii="Calibri" w:hAnsi="Calibri" w:eastAsia="Microsoft YaHei"/>
          <w:b w:val="0"/>
          <w:i w:val="0"/>
          <w:color w:val="17202A"/>
          <w:sz w:val="22"/>
        </w:rPr>
        <w:t>把产品分为明确授权、可能许可、原则禁止三类，并由外部律师复核。</w:t>
      </w:r>
    </w:p>
    <w:p>
      <w:pPr>
        <w:numPr>
          <w:ilvl w:val="0"/>
          <w:numId w:val="11"/>
        </w:numPr>
        <w:spacing w:before="0" w:after="80" w:line="300" w:lineRule="auto"/>
        <w:ind w:left="540" w:hanging="271"/>
      </w:pPr>
      <w:r>
        <w:rPr>
          <w:rFonts w:ascii="Calibri" w:hAnsi="Calibri" w:eastAsia="Microsoft YaHei"/>
          <w:b w:val="0"/>
          <w:i w:val="0"/>
          <w:color w:val="17202A"/>
          <w:sz w:val="22"/>
        </w:rPr>
        <w:t>对可能的人道/医疗交易建立银行预审、最终用户证明和防转用条款。</w:t>
      </w:r>
    </w:p>
    <w:p>
      <w:pPr>
        <w:numPr>
          <w:ilvl w:val="0"/>
          <w:numId w:val="11"/>
        </w:numPr>
        <w:spacing w:before="0" w:after="80" w:line="300" w:lineRule="auto"/>
        <w:ind w:left="540" w:hanging="271"/>
      </w:pPr>
      <w:r>
        <w:rPr>
          <w:rFonts w:ascii="Calibri" w:hAnsi="Calibri" w:eastAsia="Microsoft YaHei"/>
          <w:b w:val="0"/>
          <w:i w:val="0"/>
          <w:color w:val="17202A"/>
          <w:sz w:val="22"/>
        </w:rPr>
        <w:t>准备水、电、医疗、通信四个快速损害评估和模块化修复方案，但不报价承诺。</w:t>
      </w:r>
    </w:p>
    <w:p>
      <w:pPr>
        <w:numPr>
          <w:ilvl w:val="0"/>
          <w:numId w:val="11"/>
        </w:numPr>
        <w:spacing w:before="0" w:after="80" w:line="300" w:lineRule="auto"/>
        <w:ind w:left="540" w:hanging="271"/>
      </w:pPr>
      <w:r>
        <w:rPr>
          <w:rFonts w:ascii="Calibri" w:hAnsi="Calibri" w:eastAsia="Microsoft YaHei"/>
          <w:b w:val="0"/>
          <w:i w:val="0"/>
          <w:color w:val="17202A"/>
          <w:sz w:val="22"/>
        </w:rPr>
        <w:t>只有在制裁正式减免、银行可处理、资金封闭和安全可接受四项同时满足后，才进入投标。</w:t>
      </w:r>
    </w:p>
    <w:p>
      <w:pPr>
        <w:pStyle w:val="Heading2"/>
      </w:pPr>
      <w:r>
        <w:t>关键风险登记表</w:t>
      </w:r>
    </w:p>
    <w:tbl>
      <w:tblPr>
        <w:tblStyle w:val="TableGrid"/>
        <w:tblLook w:firstColumn="1" w:firstRow="1" w:lastColumn="0" w:lastRow="0" w:noHBand="0" w:noVBand="1" w:val="04A0"/>
        <w:jc w:val="left"/>
        <w:tblW w:w="9360" w:type="dxa"/>
        <w:tblInd w:w="120" w:type="dxa"/>
        <w:tblLayout w:type="fixed"/>
      </w:tblPr>
      <w:tblGrid>
        <w:gridCol w:w="1450"/>
        <w:gridCol w:w="950"/>
        <w:gridCol w:w="950"/>
        <w:gridCol w:w="3550"/>
        <w:gridCol w:w="2460"/>
      </w:tblGrid>
      <w:tr>
        <w:trPr>
          <w:tblHeader w:val="true"/>
        </w:trPr>
        <w:tc>
          <w:tcPr>
            <w:tcW w:type="dxa" w:w="14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风险</w:t>
            </w:r>
          </w:p>
        </w:tc>
        <w:tc>
          <w:tcPr>
            <w:tcW w:type="dxa" w:w="9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概率</w:t>
            </w:r>
          </w:p>
        </w:tc>
        <w:tc>
          <w:tcPr>
            <w:tcW w:type="dxa" w:w="9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影响</w:t>
            </w:r>
          </w:p>
        </w:tc>
        <w:tc>
          <w:tcPr>
            <w:tcW w:type="dxa" w:w="35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控制措施</w:t>
            </w:r>
          </w:p>
        </w:tc>
        <w:tc>
          <w:tcPr>
            <w:tcW w:type="dxa" w:w="246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止损信号</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一级/次级制裁</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法律意见、银行确认、持续名单筛查</w:t>
            </w:r>
          </w:p>
        </w:tc>
        <w:tc>
          <w:tcPr>
            <w:tcW w:type="dxa" w:w="2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交易触及受阻实体或禁止行业</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所有权穿透</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50%规则、关联方与实际控制审查</w:t>
            </w:r>
          </w:p>
        </w:tc>
        <w:tc>
          <w:tcPr>
            <w:tcW w:type="dxa" w:w="2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无法解释的国企/基金持股</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冲突再起</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高</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不部署人员/资产；无罚退出</w:t>
            </w:r>
          </w:p>
        </w:tc>
        <w:tc>
          <w:tcPr>
            <w:tcW w:type="dxa" w:w="2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停火破裂或海峡再封锁</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付款/汇率</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高</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硬通货预付款、可撤销报价</w:t>
            </w:r>
          </w:p>
        </w:tc>
        <w:tc>
          <w:tcPr>
            <w:tcW w:type="dxa" w:w="2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要求本币长期应收或第三方代付</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拘留/人身</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中高</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极高</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不派驻或最小化人员；撤离方案</w:t>
            </w:r>
          </w:p>
        </w:tc>
        <w:tc>
          <w:tcPr>
            <w:tcW w:type="dxa" w:w="2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外交预警或任意拘留上升</w:t>
            </w:r>
          </w:p>
        </w:tc>
      </w:tr>
      <w:tr>
        <w:tc>
          <w:tcPr>
            <w:tcW w:type="dxa" w:w="14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声誉/人权</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高</w:t>
            </w:r>
          </w:p>
        </w:tc>
        <w:tc>
          <w:tcPr>
            <w:tcW w:type="dxa" w:w="9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高</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最终用途、人权和供应链尽调</w:t>
            </w:r>
          </w:p>
        </w:tc>
        <w:tc>
          <w:tcPr>
            <w:tcW w:type="dxa" w:w="246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5"/>
              </w:rPr>
              <w:t>项目服务安全机构或监控压迫</w:t>
            </w:r>
          </w:p>
        </w:tc>
      </w:tr>
    </w:tbl>
    <w:p>
      <w:pPr>
        <w:spacing w:before="0" w:after="40" w:line="240" w:lineRule="auto"/>
      </w:pPr>
    </w:p>
    <w:p>
      <w:pPr>
        <w:spacing w:before="80" w:after="160" w:line="283" w:lineRule="auto"/>
        <w:ind w:left="115" w:right="115"/>
        <w:shd w:fill="FFF4E5"/>
        <w:pBdr>
          <w:top w:val="single" w:sz="6" w:space="5" w:color="E8C77A"/>
          <w:left w:val="single" w:sz="6" w:space="5" w:color="E8C77A"/>
          <w:bottom w:val="single" w:sz="6" w:space="5" w:color="E8C77A"/>
          <w:right w:val="single" w:sz="6" w:space="5" w:color="E8C77A"/>
        </w:pBdr>
      </w:pPr>
      <w:r>
        <w:rPr>
          <w:rFonts w:ascii="Calibri" w:hAnsi="Calibri" w:eastAsia="Microsoft YaHei"/>
          <w:b/>
          <w:i w:val="0"/>
          <w:color w:val="9A6B16"/>
          <w:sz w:val="21"/>
        </w:rPr>
        <w:t>红线：</w:t>
      </w:r>
      <w:r>
        <w:rPr>
          <w:rFonts w:ascii="Calibri" w:hAnsi="Calibri" w:eastAsia="Microsoft YaHei"/>
          <w:b w:val="0"/>
          <w:i w:val="0"/>
          <w:color w:val="17202A"/>
          <w:sz w:val="21"/>
        </w:rPr>
        <w:t>无正式许可、无银行书面处理确认、无最终用户穿透、或任何革命卫队/受阻实体关联时，不得以第三国中间商、改票据或拆分付款方式规避。</w:t>
      </w:r>
    </w:p>
    <w:p>
      <w:r>
        <w:br w:type="page"/>
      </w:r>
    </w:p>
    <w:p>
      <w:pPr>
        <w:pStyle w:val="Heading1"/>
      </w:pPr>
      <w:r>
        <w:t>8. 未来12—36个月监测仪表盘</w:t>
      </w:r>
    </w:p>
    <w:tbl>
      <w:tblPr>
        <w:tblStyle w:val="TableGrid"/>
        <w:tblLook w:firstColumn="1" w:firstRow="1" w:lastColumn="0" w:lastRow="0" w:noHBand="0" w:noVBand="1" w:val="04A0"/>
        <w:jc w:val="left"/>
        <w:tblW w:w="9360" w:type="dxa"/>
        <w:tblInd w:w="120" w:type="dxa"/>
        <w:tblLayout w:type="fixed"/>
      </w:tblPr>
      <w:tblGrid>
        <w:gridCol w:w="2200"/>
        <w:gridCol w:w="3150"/>
        <w:gridCol w:w="3010"/>
        <w:gridCol w:w="1000"/>
      </w:tblGrid>
      <w:tr>
        <w:trPr>
          <w:tblHeader w:val="true"/>
        </w:trPr>
        <w:tc>
          <w:tcPr>
            <w:tcW w:type="dxa" w:w="22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监测项</w:t>
            </w:r>
          </w:p>
        </w:tc>
        <w:tc>
          <w:tcPr>
            <w:tcW w:type="dxa" w:w="315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基准状态</w:t>
            </w:r>
          </w:p>
        </w:tc>
        <w:tc>
          <w:tcPr>
            <w:tcW w:type="dxa" w:w="301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触发动作</w:t>
            </w:r>
          </w:p>
        </w:tc>
        <w:tc>
          <w:tcPr>
            <w:tcW w:type="dxa" w:w="1000"/>
            <w:vAlign w:val="center"/>
            <w:tcMar>
              <w:top w:w="80" w:type="dxa"/>
              <w:start w:w="120" w:type="dxa"/>
              <w:bottom w:w="80" w:type="dxa"/>
              <w:end w:w="120" w:type="dxa"/>
            </w:tcMar>
            <w:shd w:fill="E8EEF5"/>
          </w:tcPr>
          <w:p>
            <w:pPr>
              <w:spacing w:before="0" w:after="0" w:line="259" w:lineRule="auto"/>
            </w:pPr>
            <w:r>
              <w:rPr>
                <w:rFonts w:ascii="Calibri" w:hAnsi="Calibri" w:eastAsia="Microsoft YaHei"/>
                <w:b/>
                <w:i w:val="0"/>
                <w:color w:val="0B2545"/>
                <w:sz w:val="16"/>
              </w:rPr>
              <w:t>频率</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停火与和平协议</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4月宣布停火</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评估冲突再起概率</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周度</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OFAC行动</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综合制裁仍在</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更新可做产品和对手名单</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实时</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银行重联</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代理行受限</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决定能否报价与收款</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月度</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独立战损评估</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尚未发布</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形成可量化产业需求</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月度</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IMF/世行接触</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无项目安排</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判断多边资金窗口</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季度</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通胀与汇率</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极高通胀</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禁止固定价/本币敞口</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周/月</w:t>
            </w:r>
          </w:p>
        </w:tc>
      </w:tr>
      <w:tr>
        <w:tc>
          <w:tcPr>
            <w:tcW w:type="dxa" w:w="22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霍尔木兹航运</w:t>
            </w:r>
          </w:p>
        </w:tc>
        <w:tc>
          <w:tcPr>
            <w:tcW w:type="dxa" w:w="315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已宣布重开但脆弱</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调整物流与战争险</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icrosoft YaHei"/>
                <w:b w:val="0"/>
                <w:i w:val="0"/>
                <w:color w:val="17202A"/>
                <w:sz w:val="16"/>
              </w:rPr>
              <w:t>日/周</w:t>
            </w:r>
          </w:p>
        </w:tc>
      </w:tr>
    </w:tbl>
    <w:p>
      <w:pPr>
        <w:spacing w:before="0" w:after="40" w:line="240" w:lineRule="auto"/>
      </w:pPr>
    </w:p>
    <w:p>
      <w:pPr>
        <w:pStyle w:val="Heading2"/>
      </w:pPr>
      <w:r>
        <w:t>90天行动计划</w:t>
      </w:r>
    </w:p>
    <w:p>
      <w:pPr>
        <w:numPr>
          <w:ilvl w:val="0"/>
          <w:numId w:val="12"/>
        </w:numPr>
        <w:spacing w:before="0" w:after="80" w:line="300" w:lineRule="auto"/>
        <w:ind w:left="540" w:hanging="271"/>
      </w:pPr>
      <w:r>
        <w:rPr>
          <w:rFonts w:ascii="Calibri" w:hAnsi="Calibri" w:eastAsia="Microsoft YaHei"/>
          <w:b w:val="0"/>
          <w:i w:val="0"/>
          <w:color w:val="17202A"/>
          <w:sz w:val="22"/>
        </w:rPr>
        <w:t>完成伊朗产品与制裁矩阵，覆盖医疗、农业、通信、水、电和油气六类。</w:t>
      </w:r>
    </w:p>
    <w:p>
      <w:pPr>
        <w:numPr>
          <w:ilvl w:val="0"/>
          <w:numId w:val="12"/>
        </w:numPr>
        <w:spacing w:before="0" w:after="80" w:line="300" w:lineRule="auto"/>
        <w:ind w:left="540" w:hanging="271"/>
      </w:pPr>
      <w:r>
        <w:rPr>
          <w:rFonts w:ascii="Calibri" w:hAnsi="Calibri" w:eastAsia="Microsoft YaHei"/>
          <w:b w:val="0"/>
          <w:i w:val="0"/>
          <w:color w:val="17202A"/>
          <w:sz w:val="22"/>
        </w:rPr>
        <w:t>让两家银行预审三种典型授权交易，确认所需单据与拒付条件。</w:t>
      </w:r>
    </w:p>
    <w:p>
      <w:pPr>
        <w:numPr>
          <w:ilvl w:val="0"/>
          <w:numId w:val="12"/>
        </w:numPr>
        <w:spacing w:before="0" w:after="80" w:line="300" w:lineRule="auto"/>
        <w:ind w:left="540" w:hanging="271"/>
      </w:pPr>
      <w:r>
        <w:rPr>
          <w:rFonts w:ascii="Calibri" w:hAnsi="Calibri" w:eastAsia="Microsoft YaHei"/>
          <w:b w:val="0"/>
          <w:i w:val="0"/>
          <w:color w:val="17202A"/>
          <w:sz w:val="22"/>
        </w:rPr>
        <w:t>建立100家潜在对手方的所有权和制裁筛查库，标注IRGC关联风险。</w:t>
      </w:r>
    </w:p>
    <w:p>
      <w:pPr>
        <w:numPr>
          <w:ilvl w:val="0"/>
          <w:numId w:val="12"/>
        </w:numPr>
        <w:spacing w:before="0" w:after="80" w:line="300" w:lineRule="auto"/>
        <w:ind w:left="540" w:hanging="271"/>
      </w:pPr>
      <w:r>
        <w:rPr>
          <w:rFonts w:ascii="Calibri" w:hAnsi="Calibri" w:eastAsia="Microsoft YaHei"/>
          <w:b w:val="0"/>
          <w:i w:val="0"/>
          <w:color w:val="17202A"/>
          <w:sz w:val="22"/>
        </w:rPr>
        <w:t>形成四套“若制裁解除”模块化修复方案和预算区间，不作销售承诺。</w:t>
      </w:r>
    </w:p>
    <w:p>
      <w:pPr>
        <w:numPr>
          <w:ilvl w:val="0"/>
          <w:numId w:val="12"/>
        </w:numPr>
        <w:spacing w:before="0" w:after="80" w:line="300" w:lineRule="auto"/>
        <w:ind w:left="540" w:hanging="271"/>
      </w:pPr>
      <w:r>
        <w:rPr>
          <w:rFonts w:ascii="Calibri" w:hAnsi="Calibri" w:eastAsia="Microsoft YaHei"/>
          <w:b w:val="0"/>
          <w:i w:val="0"/>
          <w:color w:val="17202A"/>
          <w:sz w:val="22"/>
        </w:rPr>
        <w:t>每月向决策层提交停火、制裁、银行、战损和多边融资五项触发器。</w:t>
      </w:r>
    </w:p>
    <w:p>
      <w:pPr/>
      <w:r>
        <w:rPr>
          <w:rFonts w:ascii="Calibri" w:hAnsi="Calibri" w:eastAsia="Microsoft YaHei"/>
          <w:b/>
          <w:i w:val="0"/>
          <w:color w:val="0B2545"/>
          <w:sz w:val="22"/>
        </w:rPr>
        <w:t>结论：</w:t>
      </w:r>
      <w:r>
        <w:rPr>
          <w:rFonts w:ascii="Calibri" w:hAnsi="Calibri" w:eastAsia="Microsoft YaHei"/>
          <w:b w:val="0"/>
          <w:i w:val="0"/>
          <w:color w:val="17202A"/>
          <w:sz w:val="22"/>
        </w:rPr>
        <w:t>伊朗的需求很大，但可执行性极低。最合理的策略是保存合规期权和快速响应能力，而不是提前押注重建收入；一旦把潜在战损写成确定订单，就会系统性低估制裁和付款风险。</w:t>
      </w:r>
    </w:p>
    <w:p>
      <w:r>
        <w:br w:type="page"/>
      </w:r>
    </w:p>
    <w:p>
      <w:pPr>
        <w:pStyle w:val="Heading1"/>
      </w:pPr>
      <w:r>
        <w:t>资料来源与使用说明</w:t>
      </w:r>
    </w:p>
    <w:p>
      <w:pPr/>
      <w:r>
        <w:rPr>
          <w:rFonts w:ascii="Calibri" w:hAnsi="Calibri" w:eastAsia="Microsoft YaHei"/>
          <w:b w:val="0"/>
          <w:i w:val="0"/>
          <w:color w:val="17202A"/>
          <w:sz w:val="22"/>
        </w:rPr>
        <w:t>以下来源优先采用政府、多边机构和公司原始公告。宏观预测、项目金额和制裁状态会变化；进入任何交易前，应重新核验招标文件、最终受益所有人、制裁清单、出口管制、税务和付款银行。</w:t>
      </w:r>
    </w:p>
    <w:p>
      <w:pPr>
        <w:spacing w:after="100"/>
        <w:ind w:left="605" w:hanging="605"/>
      </w:pPr>
      <w:r>
        <w:rPr>
          <w:rFonts w:ascii="Calibri" w:hAnsi="Calibri" w:eastAsia="Microsoft YaHei"/>
          <w:b/>
          <w:i w:val="0"/>
          <w:color w:val="0B2545"/>
          <w:sz w:val="18"/>
        </w:rPr>
        <w:t xml:space="preserve">S1  </w:t>
      </w:r>
      <w:r>
        <w:rPr>
          <w:rFonts w:ascii="Calibri" w:hAnsi="Calibri" w:eastAsia="Microsoft YaHei"/>
          <w:b w:val="0"/>
          <w:i w:val="0"/>
          <w:color w:val="17202A"/>
          <w:sz w:val="18"/>
        </w:rPr>
        <w:t xml:space="preserve">美国国防部：Operation Epic Fury首29日事实表 — </w:t>
      </w:r>
      <w:hyperlink r:id="rId11">
        <w:r>
          <w:rPr>
            <w:color w:val="2E74B5"/>
            <w:u w:val="single"/>
            <w:rFonts w:ascii="Calibri" w:hAnsi="Calibri" w:eastAsia="Microsoft YaHei"/>
          </w:rPr>
          <w:t>media.defense.gov</w:t>
        </w:r>
      </w:hyperlink>
    </w:p>
    <w:p>
      <w:pPr>
        <w:spacing w:after="100"/>
        <w:ind w:left="605" w:hanging="605"/>
      </w:pPr>
      <w:r>
        <w:rPr>
          <w:rFonts w:ascii="Calibri" w:hAnsi="Calibri" w:eastAsia="Microsoft YaHei"/>
          <w:b/>
          <w:i w:val="0"/>
          <w:color w:val="0B2545"/>
          <w:sz w:val="18"/>
        </w:rPr>
        <w:t xml:space="preserve">S2  </w:t>
      </w:r>
      <w:r>
        <w:rPr>
          <w:rFonts w:ascii="Calibri" w:hAnsi="Calibri" w:eastAsia="Microsoft YaHei"/>
          <w:b w:val="0"/>
          <w:i w:val="0"/>
          <w:color w:val="17202A"/>
          <w:sz w:val="18"/>
        </w:rPr>
        <w:t xml:space="preserve">白宫：Operation Epic Fury停火公告 — </w:t>
      </w:r>
      <w:hyperlink r:id="rId12">
        <w:r>
          <w:rPr>
            <w:color w:val="2E74B5"/>
            <w:u w:val="single"/>
            <w:rFonts w:ascii="Calibri" w:hAnsi="Calibri" w:eastAsia="Microsoft YaHei"/>
          </w:rPr>
          <w:t>whitehouse.gov</w:t>
        </w:r>
      </w:hyperlink>
    </w:p>
    <w:p>
      <w:pPr>
        <w:spacing w:after="100"/>
        <w:ind w:left="605" w:hanging="605"/>
      </w:pPr>
      <w:r>
        <w:rPr>
          <w:rFonts w:ascii="Calibri" w:hAnsi="Calibri" w:eastAsia="Microsoft YaHei"/>
          <w:b/>
          <w:i w:val="0"/>
          <w:color w:val="0B2545"/>
          <w:sz w:val="18"/>
        </w:rPr>
        <w:t xml:space="preserve">S3  </w:t>
      </w:r>
      <w:r>
        <w:rPr>
          <w:rFonts w:ascii="Calibri" w:hAnsi="Calibri" w:eastAsia="Microsoft YaHei"/>
          <w:b w:val="0"/>
          <w:i w:val="0"/>
          <w:color w:val="17202A"/>
          <w:sz w:val="18"/>
        </w:rPr>
        <w:t xml:space="preserve">世界银行：Iran country overview — </w:t>
      </w:r>
      <w:hyperlink r:id="rId13">
        <w:r>
          <w:rPr>
            <w:color w:val="2E74B5"/>
            <w:u w:val="single"/>
            <w:rFonts w:ascii="Calibri" w:hAnsi="Calibri" w:eastAsia="Microsoft YaHei"/>
          </w:rPr>
          <w:t>worldbank.org</w:t>
        </w:r>
      </w:hyperlink>
    </w:p>
    <w:p>
      <w:pPr>
        <w:spacing w:after="100"/>
        <w:ind w:left="605" w:hanging="605"/>
      </w:pPr>
      <w:r>
        <w:rPr>
          <w:rFonts w:ascii="Calibri" w:hAnsi="Calibri" w:eastAsia="Microsoft YaHei"/>
          <w:b/>
          <w:i w:val="0"/>
          <w:color w:val="0B2545"/>
          <w:sz w:val="18"/>
        </w:rPr>
        <w:t xml:space="preserve">S4  </w:t>
      </w:r>
      <w:r>
        <w:rPr>
          <w:rFonts w:ascii="Calibri" w:hAnsi="Calibri" w:eastAsia="Microsoft YaHei"/>
          <w:b w:val="0"/>
          <w:i w:val="0"/>
          <w:color w:val="17202A"/>
          <w:sz w:val="18"/>
        </w:rPr>
        <w:t xml:space="preserve">IMF：Iran country data — </w:t>
      </w:r>
      <w:hyperlink r:id="rId14">
        <w:r>
          <w:rPr>
            <w:color w:val="2E74B5"/>
            <w:u w:val="single"/>
            <w:rFonts w:ascii="Calibri" w:hAnsi="Calibri" w:eastAsia="Microsoft YaHei"/>
          </w:rPr>
          <w:t>imf.org</w:t>
        </w:r>
      </w:hyperlink>
    </w:p>
    <w:p>
      <w:pPr>
        <w:spacing w:after="100"/>
        <w:ind w:left="605" w:hanging="605"/>
      </w:pPr>
      <w:r>
        <w:rPr>
          <w:rFonts w:ascii="Calibri" w:hAnsi="Calibri" w:eastAsia="Microsoft YaHei"/>
          <w:b/>
          <w:i w:val="0"/>
          <w:color w:val="0B2545"/>
          <w:sz w:val="18"/>
        </w:rPr>
        <w:t xml:space="preserve">S5  </w:t>
      </w:r>
      <w:r>
        <w:rPr>
          <w:rFonts w:ascii="Calibri" w:hAnsi="Calibri" w:eastAsia="Microsoft YaHei"/>
          <w:b w:val="0"/>
          <w:i w:val="0"/>
          <w:color w:val="17202A"/>
          <w:sz w:val="18"/>
        </w:rPr>
        <w:t xml:space="preserve">OFAC：Iran sanctions program — </w:t>
      </w:r>
      <w:hyperlink r:id="rId15">
        <w:r>
          <w:rPr>
            <w:color w:val="2E74B5"/>
            <w:u w:val="single"/>
            <w:rFonts w:ascii="Calibri" w:hAnsi="Calibri" w:eastAsia="Microsoft YaHei"/>
          </w:rPr>
          <w:t>ofac.treasury.gov</w:t>
        </w:r>
      </w:hyperlink>
    </w:p>
    <w:p>
      <w:pPr>
        <w:spacing w:after="100"/>
        <w:ind w:left="605" w:hanging="605"/>
      </w:pPr>
      <w:r>
        <w:rPr>
          <w:rFonts w:ascii="Calibri" w:hAnsi="Calibri" w:eastAsia="Microsoft YaHei"/>
          <w:b/>
          <w:i w:val="0"/>
          <w:color w:val="0B2545"/>
          <w:sz w:val="18"/>
        </w:rPr>
        <w:t xml:space="preserve">S6  </w:t>
      </w:r>
      <w:r>
        <w:rPr>
          <w:rFonts w:ascii="Calibri" w:hAnsi="Calibri" w:eastAsia="Microsoft YaHei"/>
          <w:b w:val="0"/>
          <w:i w:val="0"/>
          <w:color w:val="17202A"/>
          <w:sz w:val="18"/>
        </w:rPr>
        <w:t xml:space="preserve">CRS：2025美军打击伊朗核设施 — </w:t>
      </w:r>
      <w:hyperlink r:id="rId16">
        <w:r>
          <w:rPr>
            <w:color w:val="2E74B5"/>
            <w:u w:val="single"/>
            <w:rFonts w:ascii="Calibri" w:hAnsi="Calibri" w:eastAsia="Microsoft YaHei"/>
          </w:rPr>
          <w:t>congress.gov</w:t>
        </w:r>
      </w:hyperlink>
    </w:p>
    <w:p>
      <w:pPr>
        <w:spacing w:after="100"/>
        <w:ind w:left="605" w:hanging="605"/>
      </w:pPr>
      <w:r>
        <w:rPr>
          <w:rFonts w:ascii="Calibri" w:hAnsi="Calibri" w:eastAsia="Microsoft YaHei"/>
          <w:b/>
          <w:i w:val="0"/>
          <w:color w:val="0B2545"/>
          <w:sz w:val="18"/>
        </w:rPr>
        <w:t xml:space="preserve">S7  </w:t>
      </w:r>
      <w:r>
        <w:rPr>
          <w:rFonts w:ascii="Calibri" w:hAnsi="Calibri" w:eastAsia="Microsoft YaHei"/>
          <w:b w:val="0"/>
          <w:i w:val="0"/>
          <w:color w:val="17202A"/>
          <w:sz w:val="18"/>
        </w:rPr>
        <w:t xml:space="preserve">CRS：以伊冲突、美军打击与停火 — </w:t>
      </w:r>
      <w:hyperlink r:id="rId17">
        <w:r>
          <w:rPr>
            <w:color w:val="2E74B5"/>
            <w:u w:val="single"/>
            <w:rFonts w:ascii="Calibri" w:hAnsi="Calibri" w:eastAsia="Microsoft YaHei"/>
          </w:rPr>
          <w:t>congress.gov</w:t>
        </w:r>
      </w:hyperlink>
    </w:p>
    <w:p>
      <w:pPr>
        <w:spacing w:after="100"/>
        <w:ind w:left="605" w:hanging="605"/>
      </w:pPr>
      <w:r>
        <w:rPr>
          <w:rFonts w:ascii="Calibri" w:hAnsi="Calibri" w:eastAsia="Microsoft YaHei"/>
          <w:b/>
          <w:i w:val="0"/>
          <w:color w:val="0B2545"/>
          <w:sz w:val="18"/>
        </w:rPr>
        <w:t xml:space="preserve">S8  </w:t>
      </w:r>
      <w:r>
        <w:rPr>
          <w:rFonts w:ascii="Calibri" w:hAnsi="Calibri" w:eastAsia="Microsoft YaHei"/>
          <w:b w:val="0"/>
          <w:i w:val="0"/>
          <w:color w:val="17202A"/>
          <w:sz w:val="18"/>
        </w:rPr>
        <w:t xml:space="preserve">世界银行：2026年MENAAP经济更新 — </w:t>
      </w:r>
      <w:hyperlink r:id="rId18">
        <w:r>
          <w:rPr>
            <w:color w:val="2E74B5"/>
            <w:u w:val="single"/>
            <w:rFonts w:ascii="Calibri" w:hAnsi="Calibri" w:eastAsia="Microsoft YaHei"/>
          </w:rPr>
          <w:t>worldbank.org</w:t>
        </w:r>
      </w:hyperlink>
    </w:p>
    <w:p>
      <w:pPr>
        <w:spacing w:after="100"/>
        <w:ind w:left="605" w:hanging="605"/>
      </w:pPr>
      <w:r>
        <w:rPr>
          <w:rFonts w:ascii="Calibri" w:hAnsi="Calibri" w:eastAsia="Microsoft YaHei"/>
          <w:b/>
          <w:i w:val="0"/>
          <w:color w:val="0B2545"/>
          <w:sz w:val="18"/>
        </w:rPr>
        <w:t xml:space="preserve">S9  </w:t>
      </w:r>
      <w:r>
        <w:rPr>
          <w:rFonts w:ascii="Calibri" w:hAnsi="Calibri" w:eastAsia="Microsoft YaHei"/>
          <w:b w:val="0"/>
          <w:i w:val="0"/>
          <w:color w:val="17202A"/>
          <w:sz w:val="18"/>
        </w:rPr>
        <w:t xml:space="preserve">世界银行：2026年6月全球经济展望 — </w:t>
      </w:r>
      <w:hyperlink r:id="rId19">
        <w:r>
          <w:rPr>
            <w:color w:val="2E74B5"/>
            <w:u w:val="single"/>
            <w:rFonts w:ascii="Calibri" w:hAnsi="Calibri" w:eastAsia="Microsoft YaHei"/>
          </w:rPr>
          <w:t>worldbank.org</w:t>
        </w:r>
      </w:hyperlink>
    </w:p>
    <w:p>
      <w:pPr>
        <w:spacing w:after="100"/>
        <w:ind w:left="605" w:hanging="605"/>
      </w:pPr>
      <w:r>
        <w:rPr>
          <w:rFonts w:ascii="Calibri" w:hAnsi="Calibri" w:eastAsia="Microsoft YaHei"/>
          <w:b/>
          <w:i w:val="0"/>
          <w:color w:val="0B2545"/>
          <w:sz w:val="18"/>
        </w:rPr>
        <w:t xml:space="preserve">S10  </w:t>
      </w:r>
      <w:r>
        <w:rPr>
          <w:rFonts w:ascii="Calibri" w:hAnsi="Calibri" w:eastAsia="Microsoft YaHei"/>
          <w:b w:val="0"/>
          <w:i w:val="0"/>
          <w:color w:val="17202A"/>
          <w:sz w:val="18"/>
        </w:rPr>
        <w:t xml:space="preserve">OFAC：2026年5月伊朗相关行动 — </w:t>
      </w:r>
      <w:hyperlink r:id="rId20">
        <w:r>
          <w:rPr>
            <w:color w:val="2E74B5"/>
            <w:u w:val="single"/>
            <w:rFonts w:ascii="Calibri" w:hAnsi="Calibri" w:eastAsia="Microsoft YaHei"/>
          </w:rPr>
          <w:t>ofac.treasury.gov</w:t>
        </w:r>
      </w:hyperlink>
    </w:p>
    <w:p>
      <w:pPr>
        <w:pStyle w:val="Heading2"/>
      </w:pPr>
      <w:r>
        <w:t>免责声明</w:t>
      </w:r>
    </w:p>
    <w:p>
      <w:pPr/>
      <w:r>
        <w:rPr>
          <w:rFonts w:ascii="Calibri" w:hAnsi="Calibri" w:eastAsia="Microsoft YaHei"/>
          <w:b w:val="0"/>
          <w:i w:val="0"/>
          <w:color w:val="17202A"/>
          <w:sz w:val="22"/>
        </w:rPr>
        <w:t>本报告为专题研究底稿，不构成证券研究评级、法律意见、制裁许可判断、投标承诺或投资建议。涉及冲突地区的人员安全、人权尽调、反腐败、反洗钱、出口管制和战争险，应由具备相关资质的专业团队独立审查。</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Microsoft YaHei"/>
        <w:b w:val="0"/>
        <w:i w:val="0"/>
        <w:color w:val="667085"/>
        <w:sz w:val="16"/>
      </w:rPr>
      <w:t xml:space="preserve">战后重建专题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D8DEE8"/>
      </w:pBdr>
    </w:pPr>
    <w:r>
      <w:rPr>
        <w:rFonts w:ascii="Calibri" w:hAnsi="Calibri" w:eastAsia="Microsoft YaHei"/>
        <w:b/>
        <w:i w:val="0"/>
        <w:color w:val="667085"/>
        <w:sz w:val="17"/>
      </w:rPr>
      <w:t>伊朗｜战后重建与产业机会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69"/>
        </w:tabs>
        <w:ind w:left="540" w:hanging="271"/>
      </w:pPr>
      <w:rPr>
        <w:rFonts w:ascii="Arial" w:hAnsi="Arial" w:eastAsia="Microsoft YaHei"/>
      </w:rPr>
    </w:lvl>
  </w:abstractNum>
  <w:num w:numId="10">
    <w:abstractNumId w:val="9"/>
  </w:num>
  <w:abstractNum w:abstractNumId="10">
    <w:multiLevelType w:val="singleLevel"/>
    <w:lvl w:ilvl="0">
      <w:start w:val="1"/>
      <w:numFmt w:val="decimal"/>
      <w:lvlText w:val="%1."/>
      <w:lvlJc w:val="left"/>
      <w:pPr>
        <w:tabs>
          <w:tab w:val="num" w:pos="269"/>
        </w:tabs>
        <w:ind w:left="540" w:hanging="271"/>
      </w:pPr>
    </w:lvl>
  </w:abstract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dia.defense.gov/2026/Mar/29/2003904283/-1/-1/1/OPERATION-EPIC-FURY-FACT-SHEET-THE-FIRST-29-DAYS.PDF" TargetMode="External"/><Relationship Id="rId12" Type="http://schemas.openxmlformats.org/officeDocument/2006/relationships/hyperlink" Target="https://www.whitehouse.gov/releases/2026/04/peace-through-strength-operation-epic-fury-crushes-iranian-threat-as-ceasefire-takes-hold/" TargetMode="External"/><Relationship Id="rId13" Type="http://schemas.openxmlformats.org/officeDocument/2006/relationships/hyperlink" Target="https://www.worldbank.org/ext/en/country/iran" TargetMode="External"/><Relationship Id="rId14" Type="http://schemas.openxmlformats.org/officeDocument/2006/relationships/hyperlink" Target="https://www.imf.org/en/countries/irn" TargetMode="External"/><Relationship Id="rId15" Type="http://schemas.openxmlformats.org/officeDocument/2006/relationships/hyperlink" Target="https://ofac.treasury.gov/sanctions-programs-and-country-information/iran-sanctions" TargetMode="External"/><Relationship Id="rId16" Type="http://schemas.openxmlformats.org/officeDocument/2006/relationships/hyperlink" Target="https://www.congress.gov/crs-product/IN12571" TargetMode="External"/><Relationship Id="rId17" Type="http://schemas.openxmlformats.org/officeDocument/2006/relationships/hyperlink" Target="https://www.congress.gov/crs-product/IF13032" TargetMode="External"/><Relationship Id="rId18" Type="http://schemas.openxmlformats.org/officeDocument/2006/relationships/hyperlink" Target="https://www.worldbank.org/en/region/mena/publication/middle-east-north-africa-afghanistan-and-pakistan-economic-update" TargetMode="External"/><Relationship Id="rId19" Type="http://schemas.openxmlformats.org/officeDocument/2006/relationships/hyperlink" Target="https://www.worldbank.org/en/news/press-release/2026/06/11/global-economic-prospects-june-2026-press-release" TargetMode="External"/><Relationship Id="rId20" Type="http://schemas.openxmlformats.org/officeDocument/2006/relationships/hyperlink" Target="https://ofac.treasury.gov/recent-actions/20260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伊朗：战后重建与产业机会</dc:title>
  <dc:subject>战后重建专题</dc:subject>
  <dc:creator>Codex research workflow</dc:creator>
  <cp:keywords>战后重建, 美国参与, 产业机会, 项目管线, 风险</cp:keywords>
  <dc:description>资料截止2026年7月24日; preset=compact_reference_guide</dc:description>
  <cp:lastModifiedBy/>
  <cp:revision>1</cp:revision>
  <dcterms:created xsi:type="dcterms:W3CDTF">2013-12-23T23:15:00Z</dcterms:created>
  <dcterms:modified xsi:type="dcterms:W3CDTF">2013-12-23T23:15:00Z</dcterms:modified>
  <cp:category/>
</cp:coreProperties>
</file>