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D05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利比亚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油气复产、东部重建与国家分裂并存的现金流型机会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利比亚的优势是油气现金流和国际公司回归，短板是双重权力、财政失控、汇率与采购透明度。最可执行机会集中在NOC油气扩产、气体利用、油服、炼化修复，以及德尔纳/班加西的水务、公共设施和韧性建设。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美国2011年参与“奥德赛黎明”并支持北约行动，之后又在2016—2017年空袭利比亚境内“伊斯兰国”；其政策遗产与当前反恐、联合国调解并存。[S1][S2]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世界银行估计2025年GDP增长13.4%，其中油气+17.4%、非油+6.9%；2026年产量预计约135万桶/日，目标2030年200万桶/日。[S3]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IMF 2026年指出财政路径不可持续，两次贬值后官方与平行汇率差仍大，银行为保外汇而压缩私营部门信贷。[S4]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Eni、TotalEnergies、SLB已有A类执行证据；Chevron和BP与NOC签MoU，属于B类前期管线。[S5][S6][S7][S8]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油气之外，德尔纳洪灾造成约18亿美元损失，2026—2050水安全战略和大人工河数字化为水务、SCADA和韧性工程提供机会。[S9]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分板块可进入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油气较成熟，城市重建与地方采购需分区判断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资金清晰度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油气高、公共工程低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NOC/JV现金流优于分裂财政体系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付款可控性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国际JV和美元合同较好，政府应收风险较高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安全与执行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高波动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停火延续但政治和武装冲突可能复发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制裁/合规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可管理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无全面制裁，但UN措施、武器禁运、PEP和腐败风险高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起义、内战与卡扎菲政权垮台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美国发起“奥德赛黎明”，后转交北约统一保护行动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中央权力崩解，军械扩散和机构分裂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2014—2020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东西部阵营冲突，多国代理支持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美国支持联合国进程并开展反恐打击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油田、港口和公共基础设施反复停摆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2016—2017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“伊斯兰国”控制苏尔特后被击退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美军应民族团结政府请求实施空袭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苏尔特等地出现战损与稳定需求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2020—2023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停火、联合政府但选举延期；2023德尔纳洪灾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美国支持联合国调解与机构统一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东部重建、水坝、水务和灾害治理需求上升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2024—2026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政治分裂持续，油气投资和国际公司回归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美国政策继续聚焦稳定、反恐和经济治理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能源现金流机会与公共财政/汇率风险并存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的黎波里政府、东部当局、众议院、NOC、央行和地方武装构成多中心权力结构；合同的合法性、预算来源和执行地需分别核验。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NOC仍是国际油气合作的关键锚点，但子公司、合资企业和地区设施的采购体系各异。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2020年停火降低了全面战争风险，但的黎波里冲突、油田封锁、央行治理争议和选举僵局仍可能迅速中断项目。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优先NOC及其国际合资项目、多边/UNDP透明采购和有明确出资方的东部恢复项目；对仅有地方当局签字、无统一预算或收款依赖平行市场的合同保持退出权。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实际GDP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2025年+13.4%；2024年+1.9%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增长高度受油气复产和政治稳定驱动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油气/非油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2025年分别+17.4%和+6.9%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非油增长主要来自消费，结构性多元化有限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2026年预计135万桶/日；2030目标200万桶/日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油田修复、钻井、压缩、管线和油服需求持续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政府收入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2025年约占GDP 53.6%，油收同比大增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油价和产量是公共支出首要变量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债务/财政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世界银行估计2025年债务约GDP 102.5%；IMF称财政路径不可持续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公共项目需严控信用和预算连续性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私营部门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仅约14%劳动力在私营部门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信贷、技能、国企挤出和监管是多元化瓶颈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汇率/银行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2025年以来两次贬值，平行市场价差仍大 [S4]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进口、投标定价和利润汇回受影响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利比亚不是典型的“援助型”重建市场，而是油气收入支持下的资产恢复市场。能源项目可以由NOC与国际公司资本支撑；城市、水务和公共设施则受分裂预算和治理质量影响更大。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未来三年决定机会质量的变量是：油气产量能否稳定、财政是否统一、央行与支付体系能否恢复信誉、以及东部重建基金能否采用透明采购和工程监督。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财政支出缺乏统一约束，东西部预算和表外支出透明度不足。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官方/平行汇率差、进口信用证和银行信贷限制增加营运资金成本。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政治与武装事件可能导致油田封锁、港口停运、人员撤离和不可抗力。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采购中的政治关联、中介费用、指定分包和土地/许可问题需要加强尽调。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本地技能和维修能力不足，使项目容易依赖进口备件与外籍人员。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上游油气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成熟油田衰减、停产资产和勘探不足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NOC扩产至200万桶/日；BP、Chevron前期研究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天然气/减排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国内供气、出口和火炬气问题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Eni新发现、Bouri气利用、甲烷管理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油服/数字油田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钻井、人工举升、测井和资产完整性需求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SLB独立业务、Baker Hughes等市场接洽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炼化/石化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Ras Lanuf等资产需恢复与升级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NOC收回控制后重组、投运和新合作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水务/SCADA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极度水压力、管网与大人工河脆弱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2026—2050水战略、遥测和数字分析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德尔纳/东部重建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洪灾与战损叠加，德尔纳等占东部损毁大头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水坝、排水、道路、住房、废弃物和公共设施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电站、输配电和燃料供应需提升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燃机服务、变电、计量和备用电源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私营部门/数字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信贷受限、国企挤出、行政低效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支付、海关、SME平台和职业培训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油气项目的资金和买方最清晰，应从设备、油服、气体利用、资产完整性和O&amp;M切入。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水务与德尔纳重建需求真实，但应优先多边技术援助、透明基金和可验证出资项目。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炼化和石化具有大额修复潜力，Ras Lanuf权属清理是重要前置触发器。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Eni三项开发项目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未统一披露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Sabratha、Bouri、Structures A&amp;E执行中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压缩、海工、气利用、钻井和服务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Eni 2026新气发现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超过1 Tcf气量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发现并可接入现有设施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海工、回接、压缩和处理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TotalEnergies Mabruk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2.5万桶/日产能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2026年2月复产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设施运维、供应链和增产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SLB Libya独立实体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业务组织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2026年恢复独立运营地位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测井、钻完井、数字和本地服务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Chevron NC146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未披露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2026年技术研究MoU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海上评价，尚非开发合同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BP Sarir/Messla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未披露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2025年再开发评估MoU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成熟油田与非常规潜力评估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Ras Lanuf炼化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大型存量资产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2026年NOC收回全部控制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重启、检修、环保与石化升级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水安全/大人工河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国家战略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2026—2050战略与数字化路线图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SCADA、遥测、漏损和泵站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AfDB 2025—2028战略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未披露总额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重建与多元化支持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治理、服务基础设施和私营投资准备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NOC体系：分别注册NOC及子公司/合资运营商供应商，跟踪公开招标、框架协议和技术研讨。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国际JV：以Eni、TotalEnergies、BP、Chevron、SLB的全球采购和HSE标准进入，收款和合规较可控。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UNDP/AfDB：利用公开竞争、合同授予与第三方监督，适合水务、地方服务和SME项目。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东部重建基金：要求资金来源、工程量、监理、支付账户和争议解决均可验证。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油气现金流可支持高质量项目，但公共重建资金仍受政治分裂和财政治理影响。按“国际JV/NOC美元现金流—多边资金—地方财政”顺序配置信用额度。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油服/增产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扩产目标与成熟油田修复直接拉动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框架服务、本地基地、绩效合同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天然气/海工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新发现、国内供气和对意出口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回接、压缩、处理和海工EPC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炼化检修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Ras Lanuf等资产重启与升级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检修、催化剂、仪表和环保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水务/数字水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国家水战略和大人工河脆弱性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SCADA、遥测、泵站、漏损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德尔纳韧性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洪灾损失约18亿美元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排水、水坝、固废、道路和住房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电力服务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燃机存量和供电可靠性需求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OEM服务、变电和备件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6—36月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工程机械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油田、道路和东部重建共用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经销、租赁、备件与融资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数字/金融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支付、进口、海关和企业信贷低效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KYC、支付、ERP和网络安全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核心仓位：NOC国际JV油服、气体利用、海工和资产完整性。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增长仓位：Ras Lanuf炼化、水务SCADA和透明的德尔纳/东部恢复项目。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观察仓位：纯政府电力、住房地产和依赖本币/平行市场结算的项目。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Chevron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海上油气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2026年与NOC签NC146技术研究MoU；尚非开发合同。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SLB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油服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2026年利比亚业务恢复独立运营实体，显示长期市场投入。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Baker Hughes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油服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参加NOC支持的人工举升技术研讨；属于市场接洽而非已授标。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Honeywell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炼化/控制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NOC披露2023年两套炼化装置协议；需核验当前执行。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Eni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油气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三项开发项目执行，2026年又披露超过1 Tcf新气发现。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TotalEnergies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上游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2026年Mabruk油田2.5万桶/日新装置投产。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上游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与NOC签Sarir/Messla再开发与非常规评估MoU。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Assorestauro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文化遗产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2026年与UNDP签MoU支持评估、设计和修复能力建设。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PowerChina / CCCC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电力/基建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能力匹配，未据公开官方资料确认本轮项目。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日韩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JGC / Chiyoda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LNG/炼化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技术适配天然气和炼化复产，尚无本轮确认合同。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Alkhorayef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人工举升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参加NOC支持的ESP市场研讨，属于B类接触。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Metito / DP World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水/物流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区域能力匹配，具体合同待核验。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NOC及运营子公司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业主/采购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决定油气采购、验收和付款，是供应商注册核心。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油气市场由长期国际运营商和全球油服公司主导，后来者应从专业设备、检修、数字化和本地培训切入。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公共重建更容易受土耳其、埃及、意大利及本地承包商的邻近优势影响；国际公司需要提供融资、监理和全寿命能力。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东部与西部应分别建立伙伴与审批地图，但财务和合规控制必须由总部统一。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选择NOC国际JV或UNDP/AfDB项目作为首个付款锚点。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完成NOC及目标子公司供应商注册，建立招标和技术研讨雷达。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在的黎波里和班加西分别筛选服务伙伴，但统一UBO、PEP、代理费和账户控制。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以设备服务、短周期检修或数字化试点验证清关、现场和回款。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只有在硬通货收款、安保和合同授权清晰后，才建设仓库、维修基地或长期团队。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政治分裂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极高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法律意见、授权链和跨机构确认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相互竞争政府否认合同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财政/汇率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美元合同、预付款、调价和短账期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平行价差扩大或信用证受限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油田封锁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不可抗力、库存和替代作业计划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设施被武装/社区关闭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腐败/PEP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UBO、代理费、第三方付款和审计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指定中介或现金佣金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分区安保、撤离和战争险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的黎波里冲突或东部局势升级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采购合法性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资金来源、预算和授标程序核验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只有地方签字、无可执行预算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合同若依赖平行市场换汇、要求向未披露第三方付款、缺乏合法授权链或把武装/政治人物作为隐性受益人，应立即退出。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NOC产量/出口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2026年约135万桶/日预期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调整油服和库存计划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周/月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NOC招标与伙伴公告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国际公司回归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供应商注册和投标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官方/平行汇率差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仍显著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调整报价、付款和信用额度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日/周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统一预算/央行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改革未完成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决定公共项目敞口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月/季度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Ras Lanuf重启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权属已清理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布局炼化检修与设备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德尔纳/水战略采购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路线图已形成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选择透明资金项目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安全/油田封锁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低烈度但可突发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人员、物流与保险调整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实时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完成NOC、Eni、TotalEnergies、SLB、BP和Chevron账户及采购地图。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选定一个油服/仪表/备件产品线，完成NOC子公司注册材料。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筛选的黎波里与班加西各一家伙伴，完成UBO、PEP、制裁和现场能力尽调。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追踪Ras Lanuf、水安全战略和德尔纳项目的资金与采购节点。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与银行和保险经纪人形成利比亚标准信用证、汇率和战争险条款。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利比亚是“能源现金流可做、公共工程需严筛”的市场。围绕NOC国际JV进入，再把能力延伸到炼化、水务和东部重建，比直接承接地方财政大包更稳健。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CRS：Libya and U.S. policy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美国国防部：2016年苏尔特空袭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defense.gov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世界银行：Libya country overview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IMF：2026年利比亚第四条磋商声明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NOC：Eni 2026年海上新气发现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noc.ly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TotalEnergies：Mabruk油田复产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journal-des-actionnaires.totalenergies.com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NOC：SLB利比亚独立运营实体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noc.ly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NOC：Chevron NC146 MoU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noc.ly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UNDP：利比亚水安全项目与2026—2050战略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undp.org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BP：与NOC评估Sarir和Messla再开发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bp.com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NOC：Ras Lanuf炼厂全部控制权收回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noc.ly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非洲开发银行：2025—2028利比亚战略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UNDP：Assorestauro文化遗产合作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undp.org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利比亚｜战后重建与产业机会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gress.gov/crs-products/product/pdf/IF/IF11556/12" TargetMode="External"/><Relationship Id="rId12" Type="http://schemas.openxmlformats.org/officeDocument/2006/relationships/hyperlink" Target="https://www.defense.gov/News/News-Stories/Article/Article/881815/us-conducts-airstrikes-against-isil-in-sirte-libya/" TargetMode="External"/><Relationship Id="rId13" Type="http://schemas.openxmlformats.org/officeDocument/2006/relationships/hyperlink" Target="https://www.worldbank.org/ext/en/country/libya" TargetMode="External"/><Relationship Id="rId14" Type="http://schemas.openxmlformats.org/officeDocument/2006/relationships/hyperlink" Target="https://www.imf.org/en/news/articles/2026/04/10/mcs-04102026-libya-staff-concluding-statement-of-the-2026-article-iv-consultation-mission" TargetMode="External"/><Relationship Id="rId15" Type="http://schemas.openxmlformats.org/officeDocument/2006/relationships/hyperlink" Target="https://noc.ly/en/noc-and-eni-announce-new-gas-discovery-in-offshore-block-d/" TargetMode="External"/><Relationship Id="rId16" Type="http://schemas.openxmlformats.org/officeDocument/2006/relationships/hyperlink" Target="https://journal-des-actionnaires.totalenergies.com/79-en/doc/article/5/" TargetMode="External"/><Relationship Id="rId17" Type="http://schemas.openxmlformats.org/officeDocument/2006/relationships/hyperlink" Target="https://noc.ly/en/noc-celebrates-schlumbergers-return-to-pre-2011-independent-status/" TargetMode="External"/><Relationship Id="rId18" Type="http://schemas.openxmlformats.org/officeDocument/2006/relationships/hyperlink" Target="https://noc.ly/en/noc-and-chevron-ink-deal-for-offshore-oil-study-in-block-nc146/" TargetMode="External"/><Relationship Id="rId19" Type="http://schemas.openxmlformats.org/officeDocument/2006/relationships/hyperlink" Target="https://www.undp.org/libya/projects/undp-enhancing-national-capabilities-improve-water-security-libya-project" TargetMode="External"/><Relationship Id="rId20" Type="http://schemas.openxmlformats.org/officeDocument/2006/relationships/hyperlink" Target="https://www.bp.com/content/dam/bp/business-sites/en/global/corporate/pdfs/news-and-insights/press-releases/bp-and-noc-sign-mou-to-explore-redevelopment-of-giant-libyan-oilfields-and-unconventional-potential.pdf" TargetMode="External"/><Relationship Id="rId21" Type="http://schemas.openxmlformats.org/officeDocument/2006/relationships/hyperlink" Target="https://noc.ly/en/noc-statement-on-taking-back-full-control-of-the-ras-lanuf-refinery-and-the-final-exit-of-the-foreign-partner/" TargetMode="External"/><Relationship Id="rId22" Type="http://schemas.openxmlformats.org/officeDocument/2006/relationships/hyperlink" Target="https://www.afdb.org/en/news-and-events/press-releases/african-development-bank-approves-2025-2028-strategy-drive-libyas-reconstruction-and-economic-diversification-89604" TargetMode="External"/><Relationship Id="rId23" Type="http://schemas.openxmlformats.org/officeDocument/2006/relationships/hyperlink" Target="https://www.undp.org/libya/press-releases/undp-assorestauro-sign-agreement-strengthen-cultural-heritage-restoration-lib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利比亚：战后重建与产业机会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