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</w:p>
    <w:p>
      <w:pPr>
        <w:spacing w:after="280"/>
      </w:pPr>
    </w:p>
    <w:p>
      <w:pPr>
        <w:spacing w:after="280"/>
      </w:pPr>
    </w:p>
    <w:p>
      <w:pPr>
        <w:spacing w:after="280"/>
      </w:pPr>
    </w:p>
    <w:p>
      <w:pPr>
        <w:spacing w:after="360"/>
        <w:jc w:val="center"/>
      </w:pPr>
      <w:r>
        <w:rPr>
          <w:rFonts w:ascii="Calibri" w:hAnsi="Calibri" w:eastAsia="Microsoft YaHei"/>
          <w:b/>
          <w:i w:val="0"/>
          <w:color w:val="9A6B16"/>
          <w:sz w:val="22"/>
        </w:rPr>
        <w:t>D06  战后重建国家专题</w:t>
      </w:r>
    </w:p>
    <w:p>
      <w:pPr>
        <w:spacing w:after="160"/>
        <w:jc w:val="center"/>
      </w:pPr>
      <w:r>
        <w:rPr>
          <w:rFonts w:ascii="Calibri" w:hAnsi="Calibri" w:eastAsia="Microsoft YaHei"/>
          <w:b/>
          <w:i w:val="0"/>
          <w:color w:val="0B2545"/>
          <w:sz w:val="60"/>
        </w:rPr>
        <w:t>也门</w:t>
      </w:r>
    </w:p>
    <w:p>
      <w:pPr>
        <w:spacing w:after="80"/>
        <w:jc w:val="center"/>
      </w:pPr>
      <w:r>
        <w:rPr>
          <w:rFonts w:ascii="Calibri" w:hAnsi="Calibri" w:eastAsia="Microsoft YaHei"/>
          <w:b/>
          <w:i w:val="0"/>
          <w:color w:val="1F4D78"/>
          <w:sz w:val="30"/>
        </w:rPr>
        <w:t>经济建设、重建资金与全球产业机会</w:t>
      </w:r>
    </w:p>
    <w:p>
      <w:pPr>
        <w:spacing w:after="560"/>
        <w:jc w:val="center"/>
      </w:pPr>
      <w:r>
        <w:rPr>
          <w:rFonts w:ascii="Calibri" w:hAnsi="Calibri" w:eastAsia="Microsoft YaHei"/>
          <w:b w:val="0"/>
          <w:i/>
          <w:color w:val="667085"/>
          <w:sz w:val="21"/>
        </w:rPr>
        <w:t>碎片化治理下的生存型重建：从城市基本服务、分布式能源与粮食安全切入</w:t>
      </w:r>
    </w:p>
    <w:p>
      <w:pPr>
        <w:spacing w:after="80"/>
        <w:jc w:val="center"/>
      </w:pPr>
      <w:r>
        <w:rPr>
          <w:rFonts w:ascii="Calibri" w:hAnsi="Calibri" w:eastAsia="Microsoft YaHei"/>
          <w:b/>
          <w:i w:val="0"/>
          <w:color w:val="0B2545"/>
          <w:sz w:val="22"/>
        </w:rPr>
        <w:t>资料截止：2026年7月24日</w:t>
      </w:r>
    </w:p>
    <w:p>
      <w:pPr>
        <w:spacing w:after="120"/>
        <w:jc w:val="center"/>
      </w:pPr>
      <w:r>
        <w:rPr>
          <w:rFonts w:ascii="Calibri" w:hAnsi="Calibri" w:eastAsia="Microsoft YaHei"/>
          <w:b w:val="0"/>
          <w:i w:val="0"/>
          <w:color w:val="667085"/>
          <w:sz w:val="18"/>
        </w:rPr>
        <w:t>设计体系：compact_reference_guide｜证据分级：A 已确认 / B 官方管线 / C 能力匹配</w:t>
      </w:r>
    </w:p>
    <w:p>
      <w:pPr>
        <w:spacing w:before="900" w:after="0"/>
        <w:jc w:val="center"/>
      </w:pPr>
      <w:r>
        <w:rPr>
          <w:rFonts w:ascii="Calibri" w:hAnsi="Calibri" w:eastAsia="Microsoft YaHei"/>
          <w:b w:val="0"/>
          <w:i w:val="0"/>
          <w:color w:val="667085"/>
          <w:sz w:val="19"/>
        </w:rPr>
        <w:t>研究用途：跨国产业扫描、项目获取与风险监测</w:t>
      </w:r>
    </w:p>
    <w:p>
      <w:r>
        <w:br w:type="page"/>
      </w:r>
    </w:p>
    <w:p>
      <w:pPr>
        <w:pStyle w:val="Heading1"/>
      </w:pPr>
      <w:r>
        <w:t>执行摘要</w:t>
      </w:r>
    </w:p>
    <w:p>
      <w:pPr>
        <w:spacing w:before="80" w:after="160" w:line="283" w:lineRule="auto"/>
        <w:ind w:left="115" w:right="115"/>
        <w:shd w:fill="F4F6F9"/>
        <w:pBdr>
          <w:top w:val="single" w:sz="6" w:space="5" w:color="CBD5E1"/>
          <w:left w:val="single" w:sz="6" w:space="5" w:color="CBD5E1"/>
          <w:bottom w:val="single" w:sz="6" w:space="5" w:color="CBD5E1"/>
          <w:right w:val="single" w:sz="6" w:space="5" w:color="CBD5E1"/>
        </w:pBdr>
      </w:pPr>
      <w:r>
        <w:rPr>
          <w:rFonts w:ascii="Calibri" w:hAnsi="Calibri" w:eastAsia="Microsoft YaHei"/>
          <w:b/>
          <w:i w:val="0"/>
          <w:color w:val="0B2545"/>
          <w:sz w:val="21"/>
        </w:rPr>
        <w:t>一句话判断：</w:t>
      </w:r>
      <w:r>
        <w:rPr>
          <w:rFonts w:ascii="Calibri" w:hAnsi="Calibri" w:eastAsia="Microsoft YaHei"/>
          <w:b w:val="0"/>
          <w:i w:val="0"/>
          <w:color w:val="17202A"/>
          <w:sz w:val="21"/>
        </w:rPr>
        <w:t>也门不是传统意义上的“停火后大开发”市场，而是一个由国际机构代执行、地方实施伙伴交付、商业银行与大型本地集团维持有限供给的生存型重建市场。美国参与度高，但主要体现为安全行动、制裁与红海航运政策；可投资机会必须与军事目标、受制裁实体和高风险港口严格隔离。[S1][S7][S10]</w:t>
      </w:r>
    </w:p>
    <w:p>
      <w:pPr>
        <w:pStyle w:val="Heading2"/>
      </w:pPr>
      <w:r>
        <w:t>五项核心判断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短期最可落地的不是大型主权工程，而是由世界银行、联合国机构和发展金融机构出资的水、道路、太阳能、教育与金融基础设施包。[S3][S6]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分布式光伏、储能、泵站和公共设施节能具备“替代柴油+恢复服务”的双重经济性，是风险调整后最清晰的产业主线。[S3][S5]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粮食加工、冷链、仓储和营运资本存在刚性需求，但应围绕可验证的大型雇主和国际金融机构项目组织，而非押注全国消费复苏。[S8][S9]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港口、航运、通信和支付具有巨大需求，也同时承受制裁、冲突和控制权变化的最高合规风险，必须采用交易级筛查。[S10][S12]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核心策略是“小额、多点、可离网、可替换、以结果付款”，并将安全、付款、进口与汇率风险前置到合同结构。</w:t>
      </w:r>
    </w:p>
    <w:p>
      <w:pPr>
        <w:pStyle w:val="Heading2"/>
      </w:pPr>
      <w:r>
        <w:t>市场进入评分</w:t>
      </w:r>
    </w:p>
    <w:tbl>
      <w:tblPr>
        <w:tblStyle w:val="TableGrid"/>
        <w:tblLook w:firstColumn="1" w:firstRow="1" w:lastColumn="0" w:lastRow="0" w:noHBand="0" w:noVBand="1" w:val="04A0"/>
        <w:jc w:val="left"/>
        <w:tblW w:w="9360" w:type="dxa"/>
        <w:tblInd w:w="120" w:type="dxa"/>
        <w:tblLayout w:type="fixed"/>
      </w:tblPr>
      <w:tblGrid>
        <w:gridCol w:w="1500"/>
        <w:gridCol w:w="2100"/>
        <w:gridCol w:w="1000"/>
        <w:gridCol w:w="4760"/>
      </w:tblGrid>
      <w:tr>
        <w:trPr>
          <w:tblHeader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维度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当前判断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评分/5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含义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美国参与关联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5/5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直接打击胡塞目标；制裁和红海政策直接影响项目边界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[S10][S11][S12]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重建需求强度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5/5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城市道路、水网、电力、卫生与教育设施广泛受损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[S3][S4]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资金可见度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3/5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以IDA赠款、联合国代执行和少量IFC融资为主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[S3][S6][S8]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商业可进入性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2/5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制裁、分裂治理、进口和支付体系显著抬高门槛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[S1][S12]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12—36个月机会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3/5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小型基础设施、能源与民生供应链优于大型资本项目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综合判断</w:t>
            </w:r>
          </w:p>
        </w:tc>
      </w:tr>
    </w:tbl>
    <w:p>
      <w:pPr>
        <w:spacing w:before="0" w:after="40" w:line="240" w:lineRule="auto"/>
      </w:pPr>
    </w:p>
    <w:p>
      <w:pPr/>
      <w:r>
        <w:rPr>
          <w:rFonts w:ascii="Calibri" w:hAnsi="Calibri" w:eastAsia="Microsoft YaHei"/>
          <w:b w:val="0"/>
          <w:i w:val="0"/>
          <w:color w:val="17202A"/>
          <w:sz w:val="22"/>
        </w:rPr>
        <w:t>阅读口径：本报告把“国家存在巨大重建需求”与“企业今天可以签约、收款、退出”严格分开。A/B/C等级只描述证据成熟度，不等同于信用评级或投资建议。</w:t>
      </w:r>
    </w:p>
    <w:p>
      <w:r>
        <w:br w:type="page"/>
      </w:r>
    </w:p>
    <w:p>
      <w:pPr>
        <w:pStyle w:val="Heading1"/>
      </w:pPr>
      <w:r>
        <w:t>1. 战争轨迹、美国角色与当前权力结构</w:t>
      </w:r>
    </w:p>
    <w:p>
      <w:pPr>
        <w:pStyle w:val="Heading2"/>
      </w:pPr>
      <w:r>
        <w:t>关键时间线</w:t>
      </w:r>
    </w:p>
    <w:tbl>
      <w:tblPr>
        <w:tblStyle w:val="TableGrid"/>
        <w:tblLook w:firstColumn="1" w:firstRow="1" w:lastColumn="0" w:lastRow="0" w:noHBand="0" w:noVBand="1" w:val="04A0"/>
        <w:jc w:val="left"/>
        <w:tblW w:w="9360" w:type="dxa"/>
        <w:tblInd w:w="120" w:type="dxa"/>
        <w:tblLayout w:type="fixed"/>
      </w:tblPr>
      <w:tblGrid>
        <w:gridCol w:w="1250"/>
        <w:gridCol w:w="2750"/>
        <w:gridCol w:w="2500"/>
        <w:gridCol w:w="2860"/>
      </w:tblGrid>
      <w:tr>
        <w:trPr>
          <w:tblHeader w:val="true"/>
        </w:trP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时期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事件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美国参与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对重建格局的影响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2015—2021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冲突全面化，国家机构和基础设施碎片化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需求急升、主权支付能力下降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国际机构转向第三方实施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2022—2024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前线总体降温但政治解决停滞；红海风险上升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进口、航运与保险成本上升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城市服务项目继续分批推进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2025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美军“Rough Rider”行动打击胡塞目标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港口、能源与通信相关交易需加强筛查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[S10][S11]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2026基准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IMF评估经济继续萎缩、储备极低、债务压力高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公共投资空间有限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[S1][S2]</w:t>
            </w:r>
          </w:p>
        </w:tc>
      </w:tr>
      <w:tr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未来触发点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停火安排、石油出口恢复、港口通行改善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若兑现，物流、电力和市政订单可加速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需按月验证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</w:pPr>
      <w:r>
        <w:t>当前政治与安全结构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国际承认政府、事实控制当局与地方力量并存，法律、税费、许可证和通行权可能互不承认。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美国政策的影响主要来自军事行动、恐怖组织认定、制裁许可和红海航运安全，而非传统双边重建拨款。[S10][S12]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世界银行在也门主要依托UNOPS、UNDP、UNICEF等机构执行，采购入口应跟随项目执行机构，而非假设由中央部委统一发包。[S3][S6]</w:t>
      </w:r>
    </w:p>
    <w:p>
      <w:pPr>
        <w:spacing w:before="80" w:after="160" w:line="283" w:lineRule="auto"/>
        <w:ind w:left="115" w:right="115"/>
        <w:shd w:fill="F4F6F9"/>
        <w:pBdr>
          <w:top w:val="single" w:sz="6" w:space="5" w:color="CBD5E1"/>
          <w:left w:val="single" w:sz="6" w:space="5" w:color="CBD5E1"/>
          <w:bottom w:val="single" w:sz="6" w:space="5" w:color="CBD5E1"/>
          <w:right w:val="single" w:sz="6" w:space="5" w:color="CBD5E1"/>
        </w:pBdr>
      </w:pPr>
      <w:r>
        <w:rPr>
          <w:rFonts w:ascii="Calibri" w:hAnsi="Calibri" w:eastAsia="Microsoft YaHei"/>
          <w:b/>
          <w:i w:val="0"/>
          <w:color w:val="0B2545"/>
          <w:sz w:val="21"/>
        </w:rPr>
        <w:t>商业边界：</w:t>
      </w:r>
      <w:r>
        <w:rPr>
          <w:rFonts w:ascii="Calibri" w:hAnsi="Calibri" w:eastAsia="Microsoft YaHei"/>
          <w:b w:val="0"/>
          <w:i w:val="0"/>
          <w:color w:val="17202A"/>
          <w:sz w:val="21"/>
        </w:rPr>
        <w:t>任何涉及安萨尔真主控制区域、港口、燃料、通信或金融通道的项目，都必须逐笔核对OFAC最新制裁、一般许可证、最终用户、受益所有人和货物流向。一般许可证不等于对所有交易的豁免；商业团队不应自行解释灰区。[S12]</w:t>
      </w:r>
    </w:p>
    <w:p>
      <w:r>
        <w:br w:type="page"/>
      </w:r>
    </w:p>
    <w:p>
      <w:pPr>
        <w:pStyle w:val="Heading1"/>
      </w:pPr>
      <w:r>
        <w:t>2. 宏观经济、财政与重建约束</w:t>
      </w:r>
    </w:p>
    <w:p>
      <w:pPr>
        <w:pStyle w:val="Heading2"/>
      </w:pPr>
      <w:r>
        <w:t>最新宏观快照</w:t>
      </w:r>
    </w:p>
    <w:tbl>
      <w:tblPr>
        <w:tblStyle w:val="TableGrid"/>
        <w:tblLook w:firstColumn="1" w:firstRow="1" w:lastColumn="0" w:lastRow="0" w:noHBand="0" w:noVBand="1" w:val="04A0"/>
        <w:jc w:val="left"/>
        <w:tblW w:w="9360" w:type="dxa"/>
        <w:tblInd w:w="120" w:type="dxa"/>
        <w:tblLayout w:type="fixed"/>
      </w:tblPr>
      <w:tblGrid>
        <w:gridCol w:w="1900"/>
        <w:gridCol w:w="3000"/>
        <w:gridCol w:w="4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指标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最新读数/判断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研究含义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实际增长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2025年约-0.5%；2026年基准仍弱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IMF Article IV基准显示持续衰退，其他数据库版本可能因口径更新不同。[S1]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通胀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2025年中部分地区同比超过35%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汇率分裂、进口依赖和财政货币化推升价格。[S2]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外汇储备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不足1个月进口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进口设备应设置预付款、硬通货与价格调整条款。[S1]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公共债务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超过国际承认政府辖区GDP的100%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不宜依赖无担保主权应收账款。[S1]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融资结构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赠款和第三方执行为主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项目现金流来自国际机构专户而非一般预算。[S3][S6]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私营部门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大型本地集团、银行和微型企业维持基本供给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优先选择经IFC或多边机构尽调的本地伙伴。[S8][S9]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</w:pPr>
      <w:r>
        <w:t>经济建设阶段</w:t>
      </w:r>
    </w:p>
    <w:p>
      <w:pPr/>
      <w:r>
        <w:rPr>
          <w:rFonts w:ascii="Calibri" w:hAnsi="Calibri" w:eastAsia="Microsoft YaHei"/>
          <w:b w:val="0"/>
          <w:i w:val="0"/>
          <w:color w:val="17202A"/>
          <w:sz w:val="22"/>
        </w:rPr>
        <w:t>当前阶段：人道援助与早期恢复并行，城市基本服务和分布式能源已有可量化交付，但全国性重建尚未形成。</w:t>
      </w:r>
    </w:p>
    <w:p>
      <w:pPr/>
      <w:r>
        <w:rPr>
          <w:rFonts w:ascii="Calibri" w:hAnsi="Calibri" w:eastAsia="Microsoft YaHei"/>
          <w:b w:val="0"/>
          <w:i w:val="0"/>
          <w:color w:val="17202A"/>
          <w:sz w:val="22"/>
        </w:rPr>
        <w:t>投资含义：收益来自采购执行能力、售后和风险控制，而非宏观贝塔；回款来源和合规通道比市场规模更重要。</w:t>
      </w:r>
    </w:p>
    <w:p>
      <w:pPr>
        <w:pStyle w:val="Heading2"/>
      </w:pPr>
      <w:r>
        <w:t>主要约束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政治与行政分裂导致标准、税费和许可多头化。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制裁、反恐融资和受益所有人识别难度高，银行可能主动去风险。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港口、道路、燃料和保险受冲突扰动，进口交期不可稳定预测。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本币贬值与公共财政脆弱，主权合同的支付和索赔可执行性弱。</w:t>
      </w:r>
    </w:p>
    <w:p>
      <w:r>
        <w:br w:type="page"/>
      </w:r>
    </w:p>
    <w:p>
      <w:pPr>
        <w:pStyle w:val="Heading1"/>
      </w:pPr>
      <w:r>
        <w:t>3. 破坏、重建需求与12—36个月催化剂</w:t>
      </w:r>
    </w:p>
    <w:tbl>
      <w:tblPr>
        <w:tblStyle w:val="TableGrid"/>
        <w:tblLook w:firstColumn="1" w:firstRow="1" w:lastColumn="0" w:lastRow="0" w:noHBand="0" w:noVBand="1" w:val="04A0"/>
        <w:jc w:val="left"/>
        <w:tblW w:w="9360" w:type="dxa"/>
        <w:tblInd w:w="120" w:type="dxa"/>
        <w:tblLayout w:type="fixed"/>
      </w:tblPr>
      <w:tblGrid>
        <w:gridCol w:w="1450"/>
        <w:gridCol w:w="3200"/>
        <w:gridCol w:w="3370"/>
        <w:gridCol w:w="1340"/>
      </w:tblGrid>
      <w:tr>
        <w:trPr>
          <w:tblHeader w:val="true"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板块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现状/缺口</w:t>
            </w:r>
          </w:p>
        </w:tc>
        <w:tc>
          <w:tcPr>
            <w:tcW w:type="dxa" w:w="3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12—36个月催化剂</w:t>
            </w:r>
          </w:p>
        </w:tc>
        <w:tc>
          <w:tcPr>
            <w:tcW w:type="dxa" w:w="1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机会等级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分布式电力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公共设施依赖柴油、停电频繁</w:t>
            </w:r>
          </w:p>
        </w:tc>
        <w:tc>
          <w:tcPr>
            <w:tcW w:type="dxa" w:w="3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医院、学校、泵站太阳能与储能批次采购</w:t>
            </w:r>
          </w:p>
        </w:tc>
        <w:tc>
          <w:tcPr>
            <w:tcW w:type="dxa" w:w="134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A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城市道路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路面、排水和通行能力受损</w:t>
            </w:r>
          </w:p>
        </w:tc>
        <w:tc>
          <w:tcPr>
            <w:tcW w:type="dxa" w:w="3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YIUSEP后续包与地方劳动密集型工程</w:t>
            </w:r>
          </w:p>
        </w:tc>
        <w:tc>
          <w:tcPr>
            <w:tcW w:type="dxa" w:w="134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A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供水与卫生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管网漏损、泵站和污水设施不足</w:t>
            </w:r>
          </w:p>
        </w:tc>
        <w:tc>
          <w:tcPr>
            <w:tcW w:type="dxa" w:w="3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UNOPS/UNICEF执行项目</w:t>
            </w:r>
          </w:p>
        </w:tc>
        <w:tc>
          <w:tcPr>
            <w:tcW w:type="dxa" w:w="134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A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粮食与营养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进口依赖和收入下降加剧粮食不安全</w:t>
            </w:r>
          </w:p>
        </w:tc>
        <w:tc>
          <w:tcPr>
            <w:tcW w:type="dxa" w:w="3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加工、营运资本、仓储和冷链</w:t>
            </w:r>
          </w:p>
        </w:tc>
        <w:tc>
          <w:tcPr>
            <w:tcW w:type="dxa" w:w="134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A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教育与卫生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设施损毁、设备短缺</w:t>
            </w:r>
          </w:p>
        </w:tc>
        <w:tc>
          <w:tcPr>
            <w:tcW w:type="dxa" w:w="3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太阳能、WASH、模块化修复与数字管理</w:t>
            </w:r>
          </w:p>
        </w:tc>
        <w:tc>
          <w:tcPr>
            <w:tcW w:type="dxa" w:w="134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A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数字支付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现金主导、金融排斥与支付碎片化</w:t>
            </w:r>
          </w:p>
        </w:tc>
        <w:tc>
          <w:tcPr>
            <w:tcW w:type="dxa" w:w="3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UNDP金融市场基础设施项目</w:t>
            </w:r>
          </w:p>
        </w:tc>
        <w:tc>
          <w:tcPr>
            <w:tcW w:type="dxa" w:w="134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A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港口与物流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设备老化且红海安全恶化</w:t>
            </w:r>
          </w:p>
        </w:tc>
        <w:tc>
          <w:tcPr>
            <w:tcW w:type="dxa" w:w="3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仅在许可明确和控制权可验证时推进</w:t>
            </w:r>
          </w:p>
        </w:tc>
        <w:tc>
          <w:tcPr>
            <w:tcW w:type="dxa" w:w="134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B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渔业与冷链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沿海生计潜力未充分利用</w:t>
            </w:r>
          </w:p>
        </w:tc>
        <w:tc>
          <w:tcPr>
            <w:tcW w:type="dxa" w:w="33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制冰、冷库、质检和小型加工</w:t>
            </w:r>
          </w:p>
        </w:tc>
        <w:tc>
          <w:tcPr>
            <w:tcW w:type="dxa" w:w="134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B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</w:pPr>
      <w:r>
        <w:t>优先级解读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A级机会的共同特征是：单点规模小、社会效益可量化、国际机构可代执行。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能源、水和食品项目可共享光储、泵、冷链、远程运维与支付模块，适合组合式投标。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港口和通信虽需求大，但不是低风险机会；合规成本应计入报价和否决机制。</w:t>
      </w:r>
    </w:p>
    <w:p>
      <w:r>
        <w:br w:type="page"/>
      </w:r>
    </w:p>
    <w:p>
      <w:pPr>
        <w:pStyle w:val="Heading1"/>
      </w:pPr>
      <w:r>
        <w:t>4. 资金来源、采购机制与项目管线</w:t>
      </w:r>
    </w:p>
    <w:p>
      <w:pPr>
        <w:pStyle w:val="Heading2"/>
      </w:pPr>
      <w:r>
        <w:t>可见资金池</w:t>
      </w:r>
    </w:p>
    <w:tbl>
      <w:tblPr>
        <w:tblStyle w:val="TableGrid"/>
        <w:tblLook w:firstColumn="1" w:firstRow="1" w:lastColumn="0" w:lastRow="0" w:noHBand="0" w:noVBand="1" w:val="04A0"/>
        <w:jc w:val="left"/>
        <w:tblW w:w="9360" w:type="dxa"/>
        <w:tblInd w:w="120" w:type="dxa"/>
        <w:tblLayout w:type="fixed"/>
      </w:tblPr>
      <w:tblGrid>
        <w:gridCol w:w="2000"/>
        <w:gridCol w:w="1250"/>
        <w:gridCol w:w="1500"/>
        <w:gridCol w:w="3510"/>
        <w:gridCol w:w="1100"/>
      </w:tblGrid>
      <w:tr>
        <w:trPr>
          <w:tblHeader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资金/项目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规模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状态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企业切入点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证据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YIUSEP城市服务项目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覆盖约450万人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持续实施；道路、水网、固废和太阳能已有成果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UNOPS采购、分包和设备供应</w:t>
            </w:r>
          </w:p>
        </w:tc>
        <w:tc>
          <w:tcPr>
            <w:tcW w:type="dxa" w:w="110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紧急电力可及项目二期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IDA项目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重组与实施中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光伏、储能、逆变器、运维与社会机构电气化</w:t>
            </w:r>
          </w:p>
        </w:tc>
        <w:tc>
          <w:tcPr>
            <w:tcW w:type="dxa" w:w="110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金融市场基础设施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2,000万美元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2025年批准，UNDP执行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支付系统、代理银行、合规科技与培训</w:t>
            </w:r>
          </w:p>
        </w:tc>
        <w:tc>
          <w:tcPr>
            <w:tcW w:type="dxa" w:w="110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教育连续性支持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1,000万美元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2025年批准，UNICEF执行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学校修复、WASH、设备与太阳能</w:t>
            </w:r>
          </w:p>
        </w:tc>
        <w:tc>
          <w:tcPr>
            <w:tcW w:type="dxa" w:w="110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HSA Foods融资包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7,500万美元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IFC披露的食品企业融资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设备、包装、仓储、能效和供应链金融</w:t>
            </w:r>
          </w:p>
        </w:tc>
        <w:tc>
          <w:tcPr>
            <w:tcW w:type="dxa" w:w="110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也门国别组合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9个IDA赠款项目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覆盖卫生、教育、水、农业、道路、电力、渔业和金融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按执行机构采购计划建立机会库</w:t>
            </w:r>
          </w:p>
        </w:tc>
        <w:tc>
          <w:tcPr>
            <w:tcW w:type="dxa" w:w="110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</w:pPr>
      <w:r>
        <w:t>采购与收款路径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先注册UNGM并跟踪UNOPS、UNDP、UNICEF的也门采购公告；投标主体与银行账户应提前完成制裁筛查。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将货物供应拆成工厂验收、离岸交付、入境交付和现场安装四个里程碑，避免单一到场付款。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优先与有国际机构业绩、可提供受益所有人和税务文件的本地承包商组队。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采用远程监控、备件包、培训本地技术员和多地点库存，降低人员驻场与道路中断风险。</w:t>
      </w:r>
    </w:p>
    <w:p>
      <w:pPr>
        <w:spacing w:before="80" w:after="160" w:line="283" w:lineRule="auto"/>
        <w:ind w:left="115" w:right="115"/>
        <w:shd w:fill="F4F6F9"/>
        <w:pBdr>
          <w:top w:val="single" w:sz="6" w:space="5" w:color="CBD5E1"/>
          <w:left w:val="single" w:sz="6" w:space="5" w:color="CBD5E1"/>
          <w:bottom w:val="single" w:sz="6" w:space="5" w:color="CBD5E1"/>
          <w:right w:val="single" w:sz="6" w:space="5" w:color="CBD5E1"/>
        </w:pBdr>
      </w:pPr>
      <w:r>
        <w:rPr>
          <w:rFonts w:ascii="Calibri" w:hAnsi="Calibri" w:eastAsia="Microsoft YaHei"/>
          <w:b/>
          <w:i w:val="0"/>
          <w:color w:val="0B2545"/>
          <w:sz w:val="21"/>
        </w:rPr>
        <w:t>资金判断：</w:t>
      </w:r>
      <w:r>
        <w:rPr>
          <w:rFonts w:ascii="Calibri" w:hAnsi="Calibri" w:eastAsia="Microsoft YaHei"/>
          <w:b w:val="0"/>
          <w:i w:val="0"/>
          <w:color w:val="17202A"/>
          <w:sz w:val="21"/>
        </w:rPr>
        <w:t>可银行化资金主要来自IDA赠款、联合国执行账户、IFC对经筛选企业的融资和人道资金。不建议把未经担保的中央或地方政府预算列为核心回款来源；如需参与，应要求国际机构直接付款或不可撤销信用工具。[S3][S6][S8]</w:t>
      </w:r>
    </w:p>
    <w:p>
      <w:r>
        <w:br w:type="page"/>
      </w:r>
    </w:p>
    <w:p>
      <w:pPr>
        <w:pStyle w:val="Heading1"/>
      </w:pPr>
      <w:r>
        <w:t>5. 全球产业机会排序</w:t>
      </w:r>
    </w:p>
    <w:tbl>
      <w:tblPr>
        <w:tblStyle w:val="TableGrid"/>
        <w:tblLook w:firstColumn="1" w:firstRow="1" w:lastColumn="0" w:lastRow="0" w:noHBand="0" w:noVBand="1" w:val="04A0"/>
        <w:jc w:val="left"/>
        <w:tblW w:w="9360" w:type="dxa"/>
        <w:tblInd w:w="120" w:type="dxa"/>
        <w:tblLayout w:type="fixed"/>
      </w:tblPr>
      <w:tblGrid>
        <w:gridCol w:w="1450"/>
        <w:gridCol w:w="3340"/>
        <w:gridCol w:w="2050"/>
        <w:gridCol w:w="1400"/>
        <w:gridCol w:w="1120"/>
      </w:tblGrid>
      <w:tr>
        <w:trPr>
          <w:tblHeader w:val="true"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产业</w:t>
            </w:r>
          </w:p>
        </w:tc>
        <w:tc>
          <w:tcPr>
            <w:tcW w:type="dxa" w:w="3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机会逻辑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建议模式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时点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证据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光伏与储能</w:t>
            </w:r>
          </w:p>
        </w:tc>
        <w:tc>
          <w:tcPr>
            <w:tcW w:type="dxa" w:w="3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柴油替代价值高、公共服务刚需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EPC+备件+远程运维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现在—3年</w:t>
            </w:r>
          </w:p>
        </w:tc>
        <w:tc>
          <w:tcPr>
            <w:tcW w:type="dxa" w:w="112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水处理与泵站</w:t>
            </w:r>
          </w:p>
        </w:tc>
        <w:tc>
          <w:tcPr>
            <w:tcW w:type="dxa" w:w="3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水网和卫生缺口大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成套设备+施工分包+绩效维护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现在—3年</w:t>
            </w:r>
          </w:p>
        </w:tc>
        <w:tc>
          <w:tcPr>
            <w:tcW w:type="dxa" w:w="112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道路与固废设备</w:t>
            </w:r>
          </w:p>
        </w:tc>
        <w:tc>
          <w:tcPr>
            <w:tcW w:type="dxa" w:w="3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UNOPS已有批量交付基础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小型机械、车辆、材料与维护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现在—3年</w:t>
            </w:r>
          </w:p>
        </w:tc>
        <w:tc>
          <w:tcPr>
            <w:tcW w:type="dxa" w:w="112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食品加工与包装</w:t>
            </w:r>
          </w:p>
        </w:tc>
        <w:tc>
          <w:tcPr>
            <w:tcW w:type="dxa" w:w="3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粮食安全和本地生产替代进口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设备租赁、贸易融资、能效改造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1—4年</w:t>
            </w:r>
          </w:p>
        </w:tc>
        <w:tc>
          <w:tcPr>
            <w:tcW w:type="dxa" w:w="112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冷链与制冰</w:t>
            </w:r>
          </w:p>
        </w:tc>
        <w:tc>
          <w:tcPr>
            <w:tcW w:type="dxa" w:w="3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医药、渔业和食品共同需要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模块化冷库+太阳能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1—4年</w:t>
            </w:r>
          </w:p>
        </w:tc>
        <w:tc>
          <w:tcPr>
            <w:tcW w:type="dxa" w:w="11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B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数字支付与合规科技</w:t>
            </w:r>
          </w:p>
        </w:tc>
        <w:tc>
          <w:tcPr>
            <w:tcW w:type="dxa" w:w="3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现金体系成本高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软件、身份核验、代理网络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1—3年</w:t>
            </w:r>
          </w:p>
        </w:tc>
        <w:tc>
          <w:tcPr>
            <w:tcW w:type="dxa" w:w="11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B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教育卫生设备</w:t>
            </w:r>
          </w:p>
        </w:tc>
        <w:tc>
          <w:tcPr>
            <w:tcW w:type="dxa" w:w="3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设施恢复与基本服务并行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模块化交付+培训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现在—3年</w:t>
            </w:r>
          </w:p>
        </w:tc>
        <w:tc>
          <w:tcPr>
            <w:tcW w:type="dxa" w:w="112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港口物流</w:t>
            </w:r>
          </w:p>
        </w:tc>
        <w:tc>
          <w:tcPr>
            <w:tcW w:type="dxa" w:w="3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进口和人道物资依赖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设备供应、检测与维修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条件触发</w:t>
            </w:r>
          </w:p>
        </w:tc>
        <w:tc>
          <w:tcPr>
            <w:tcW w:type="dxa" w:w="11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B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</w:pPr>
      <w:r>
        <w:t>组合建议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核心仓：光储、水处理、教育卫生设备及国际机构采购服务。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卫星仓：食品加工、冷链、数字支付；仅选择有多边融资或经尽调本地龙头的交易。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观察仓：港口、燃料、全国电网和大型房地产，等待安全、制裁和政治结算显著改善。</w:t>
      </w:r>
    </w:p>
    <w:p>
      <w:r>
        <w:br w:type="page"/>
      </w:r>
    </w:p>
    <w:p>
      <w:pPr>
        <w:pStyle w:val="Heading1"/>
      </w:pPr>
      <w:r>
        <w:t>6. 公司与竞争格局：谁已进入，谁在候选池</w:t>
      </w:r>
    </w:p>
    <w:p>
      <w:pPr/>
      <w:r>
        <w:rPr>
          <w:rFonts w:ascii="Calibri" w:hAnsi="Calibri" w:eastAsia="Microsoft YaHei"/>
          <w:b w:val="0"/>
          <w:i w:val="0"/>
          <w:color w:val="17202A"/>
          <w:sz w:val="22"/>
        </w:rPr>
        <w:t>证据定义：A＝已确认合同、特许权、在建项目或正式采购；B＝官方预算、采购计划、市场接洽或MoU，尚未证明形成可确认收入；C＝仅依据能力与区域足迹推断，必须等待招标和合规条件。</w:t>
      </w:r>
    </w:p>
    <w:tbl>
      <w:tblPr>
        <w:tblStyle w:val="TableGrid"/>
        <w:tblLook w:firstColumn="1" w:firstRow="1" w:lastColumn="0" w:lastRow="0" w:noHBand="0" w:noVBand="1" w:val="04A0"/>
        <w:jc w:val="left"/>
        <w:tblW w:w="9360" w:type="dxa"/>
        <w:tblInd w:w="120" w:type="dxa"/>
        <w:tblLayout w:type="fixed"/>
      </w:tblPr>
      <w:tblGrid>
        <w:gridCol w:w="1050"/>
        <w:gridCol w:w="1800"/>
        <w:gridCol w:w="1500"/>
        <w:gridCol w:w="3890"/>
        <w:gridCol w:w="1120"/>
      </w:tblGrid>
      <w:tr>
        <w:trPr>
          <w:tblHeader w:val="true"/>
        </w:trP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区域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公司/机构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板块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观察</w:t>
            </w:r>
          </w:p>
        </w:tc>
        <w:tc>
          <w:tcPr>
            <w:tcW w:type="dxa" w:w="1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证据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本地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HSA Group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食品与消费品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IFC融资对象，可作为设备、包装和能效升级的需求锚；不等于所有关联交易均自动合规。</w:t>
            </w:r>
          </w:p>
        </w:tc>
        <w:tc>
          <w:tcPr>
            <w:tcW w:type="dxa" w:w="112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本地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Al Kuraimi Islamic Microfinance Bank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金融服务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可关注代理金融、支付基础设施和中小企业服务；需逐项目核验资格。</w:t>
            </w:r>
          </w:p>
        </w:tc>
        <w:tc>
          <w:tcPr>
            <w:tcW w:type="dxa" w:w="1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C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国际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Schneider Electric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能源管理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产品适配微网、公共设施和水泵站；报告未确认其获得也门订单。</w:t>
            </w:r>
          </w:p>
        </w:tc>
        <w:tc>
          <w:tcPr>
            <w:tcW w:type="dxa" w:w="1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C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国际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Huawei Digital Power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光储与通信电源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具备离网产品组合；参与需同时评估出口管制、制裁与融资来源。</w:t>
            </w:r>
          </w:p>
        </w:tc>
        <w:tc>
          <w:tcPr>
            <w:tcW w:type="dxa" w:w="1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C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国际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SMA Solar / Sungrow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逆变器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适合社会设施和商业光储设备池；以经销与项目招标为入口。</w:t>
            </w:r>
          </w:p>
        </w:tc>
        <w:tc>
          <w:tcPr>
            <w:tcW w:type="dxa" w:w="1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C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国际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Grundfos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水泵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太阳能泵和节能泵适配水务项目；未确认具体中标。</w:t>
            </w:r>
          </w:p>
        </w:tc>
        <w:tc>
          <w:tcPr>
            <w:tcW w:type="dxa" w:w="1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C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国际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Veolia / SUEZ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水务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更适合作为技术与设备伙伴，不宜假设大型特许经营条件已具备。</w:t>
            </w:r>
          </w:p>
        </w:tc>
        <w:tc>
          <w:tcPr>
            <w:tcW w:type="dxa" w:w="1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C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国际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Caterpillar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工程机械与电源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道路、固废和备用电源存在替换需求；经销、备件和维修比整机项目更可行。</w:t>
            </w:r>
          </w:p>
        </w:tc>
        <w:tc>
          <w:tcPr>
            <w:tcW w:type="dxa" w:w="1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C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国际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Thermo King / Carrier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冷链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适配食品、渔业和医药冷链，机会依赖国际机构或龙头企业融资。</w:t>
            </w:r>
          </w:p>
        </w:tc>
        <w:tc>
          <w:tcPr>
            <w:tcW w:type="dxa" w:w="1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C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国际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Tetra Pak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食品包装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本地食品加工和保质期延长形成设备需求；未确认项目订单。</w:t>
            </w:r>
          </w:p>
        </w:tc>
        <w:tc>
          <w:tcPr>
            <w:tcW w:type="dxa" w:w="11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C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多边实施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UNOPS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城市基础设施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核心采购入口，不是股权投资标的；供应商应跟踪UNGM和项目公告。</w:t>
            </w:r>
          </w:p>
        </w:tc>
        <w:tc>
          <w:tcPr>
            <w:tcW w:type="dxa" w:w="112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多边实施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UNDP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金融与生计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数字金融项目执行方，可形成软件、咨询和能力建设采购。</w:t>
            </w:r>
          </w:p>
        </w:tc>
        <w:tc>
          <w:tcPr>
            <w:tcW w:type="dxa" w:w="112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多边融资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IFC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私营部门融资</w:t>
            </w:r>
          </w:p>
        </w:tc>
        <w:tc>
          <w:tcPr>
            <w:tcW w:type="dxa" w:w="38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对经筛选企业的融资可作为交易尽调和回款结构的重要信号。</w:t>
            </w:r>
          </w:p>
        </w:tc>
        <w:tc>
          <w:tcPr>
            <w:tcW w:type="dxa" w:w="1120"/>
            <w:shd w:fill="D9EAD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A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</w:pPr>
      <w:r>
        <w:t>竞争策略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价格竞争来自区域贸易商和低成本亚洲设备商，国际品牌需用能效、质保、备件与合规能力证明全生命周期价值。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本地关系并不能替代国际机构采购资格；双层能力——合规文件与现场交付——决定入围概率。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联合国项目规模通常分散，建立标准化产品包和共享备件库比单项目定制更有优势。</w:t>
      </w:r>
    </w:p>
    <w:p>
      <w:r>
        <w:br w:type="page"/>
      </w:r>
    </w:p>
    <w:p>
      <w:pPr>
        <w:pStyle w:val="Heading1"/>
      </w:pPr>
      <w:r>
        <w:t>7. 进入模式、风险边界与止损条件</w:t>
      </w:r>
    </w:p>
    <w:p>
      <w:pPr>
        <w:pStyle w:val="Heading2"/>
      </w:pPr>
      <w:r>
        <w:t>建议进入顺序</w:t>
      </w:r>
    </w:p>
    <w:p>
      <w:pPr>
        <w:numPr>
          <w:ilvl w:val="0"/>
          <w:numId w:val="11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建立也门专门制裁矩阵，覆盖客户、银行、港口、承运人、最终用户和实际控制人。</w:t>
      </w:r>
    </w:p>
    <w:p>
      <w:pPr>
        <w:numPr>
          <w:ilvl w:val="0"/>
          <w:numId w:val="11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完成UNGM注册并建立UNOPS、UNDP、UNICEF采购日历及本地实施伙伴白名单。</w:t>
      </w:r>
    </w:p>
    <w:p>
      <w:pPr>
        <w:numPr>
          <w:ilvl w:val="0"/>
          <w:numId w:val="11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选定一个光储+水泵站或学校WASH示范包，报价包含两年备件、培训和远程监控。</w:t>
      </w:r>
    </w:p>
    <w:p>
      <w:pPr>
        <w:numPr>
          <w:ilvl w:val="0"/>
          <w:numId w:val="11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只接受国际机构、确认银行或经批准的托管账户付款；汇率和运费设置调整公式。</w:t>
      </w:r>
    </w:p>
    <w:p>
      <w:pPr>
        <w:numPr>
          <w:ilvl w:val="0"/>
          <w:numId w:val="11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达到安全、付款、制裁或通关停止信号时立即暂停发货，不以沉没成本继续暴露。</w:t>
      </w:r>
    </w:p>
    <w:p>
      <w:pPr>
        <w:pStyle w:val="Heading2"/>
      </w:pPr>
      <w:r>
        <w:t>关键风险登记表</w:t>
      </w:r>
    </w:p>
    <w:tbl>
      <w:tblPr>
        <w:tblStyle w:val="TableGrid"/>
        <w:tblLook w:firstColumn="1" w:firstRow="1" w:lastColumn="0" w:lastRow="0" w:noHBand="0" w:noVBand="1" w:val="04A0"/>
        <w:jc w:val="left"/>
        <w:tblW w:w="9360" w:type="dxa"/>
        <w:tblInd w:w="120" w:type="dxa"/>
        <w:tblLayout w:type="fixed"/>
      </w:tblPr>
      <w:tblGrid>
        <w:gridCol w:w="1450"/>
        <w:gridCol w:w="950"/>
        <w:gridCol w:w="950"/>
        <w:gridCol w:w="3550"/>
        <w:gridCol w:w="2460"/>
      </w:tblGrid>
      <w:tr>
        <w:trPr>
          <w:tblHeader w:val="true"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风险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概率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影响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控制措施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止损信号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冲突升级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高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人员、设备和港口中断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远程交付、多港口预案、战争险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目标地区连续关闭或航线停航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制裁违规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中高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罚款、冻结和声誉损失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交易级法律审查、最终用户证明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无法识别受益所有人或货物流向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付款失败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高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应收损失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直接付款、信用证、分段交付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要求无担保本币延期付款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汇率与通胀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高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成本倒挂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美元计价、指数条款、短报价期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汇率机制不可执行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通关与税费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中高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延误和额外收费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责任边界、合规报关代理、缓冲库存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多方重复征税且无法书面确认</w:t>
            </w:r>
          </w:p>
        </w:tc>
      </w:tr>
      <w:t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伙伴风险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中高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舞弊、挪用与取消资格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受益所有人、业绩和反腐尽调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5"/>
              </w:rPr>
              <w:t>拒绝披露所有权或分包链</w:t>
            </w:r>
          </w:p>
        </w:tc>
      </w:tr>
    </w:tbl>
    <w:p>
      <w:pPr>
        <w:spacing w:before="0" w:after="40" w:line="240" w:lineRule="auto"/>
      </w:pPr>
    </w:p>
    <w:p>
      <w:pPr>
        <w:spacing w:before="80" w:after="160" w:line="283" w:lineRule="auto"/>
        <w:ind w:left="115" w:right="115"/>
        <w:shd w:fill="FFF4E5"/>
        <w:pBdr>
          <w:top w:val="single" w:sz="6" w:space="5" w:color="E8C77A"/>
          <w:left w:val="single" w:sz="6" w:space="5" w:color="E8C77A"/>
          <w:bottom w:val="single" w:sz="6" w:space="5" w:color="E8C77A"/>
          <w:right w:val="single" w:sz="6" w:space="5" w:color="E8C77A"/>
        </w:pBdr>
      </w:pPr>
      <w:r>
        <w:rPr>
          <w:rFonts w:ascii="Calibri" w:hAnsi="Calibri" w:eastAsia="Microsoft YaHei"/>
          <w:b/>
          <w:i w:val="0"/>
          <w:color w:val="9A6B16"/>
          <w:sz w:val="21"/>
        </w:rPr>
        <w:t>红线：</w:t>
      </w:r>
      <w:r>
        <w:rPr>
          <w:rFonts w:ascii="Calibri" w:hAnsi="Calibri" w:eastAsia="Microsoft YaHei"/>
          <w:b w:val="0"/>
          <w:i w:val="0"/>
          <w:color w:val="17202A"/>
          <w:sz w:val="21"/>
        </w:rPr>
        <w:t>不参与无法识别最终用户和实际控制人的交易；不为受制裁主体规避限制；不接受无担保主权或地方政府长期应收；不在未完成战争险、撤离和港口替代方案时派驻人员或发运高价值设备。</w:t>
      </w:r>
    </w:p>
    <w:p>
      <w:r>
        <w:br w:type="page"/>
      </w:r>
    </w:p>
    <w:p>
      <w:pPr>
        <w:pStyle w:val="Heading1"/>
      </w:pPr>
      <w:r>
        <w:t>8. 未来12—36个月监测仪表盘</w:t>
      </w:r>
    </w:p>
    <w:tbl>
      <w:tblPr>
        <w:tblStyle w:val="TableGrid"/>
        <w:tblLook w:firstColumn="1" w:firstRow="1" w:lastColumn="0" w:lastRow="0" w:noHBand="0" w:noVBand="1" w:val="04A0"/>
        <w:jc w:val="left"/>
        <w:tblW w:w="9360" w:type="dxa"/>
        <w:tblInd w:w="120" w:type="dxa"/>
        <w:tblLayout w:type="fixed"/>
      </w:tblPr>
      <w:tblGrid>
        <w:gridCol w:w="2200"/>
        <w:gridCol w:w="3150"/>
        <w:gridCol w:w="3010"/>
        <w:gridCol w:w="1000"/>
      </w:tblGrid>
      <w:tr>
        <w:trPr>
          <w:tblHeader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监测项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基准状态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触发动作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频率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安全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红海袭击、美军行动、主要道路与港口状态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每周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决定运输和驻场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政治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停火、石油出口和政府收入安排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每月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判断大型项目启动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制裁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OFAC认定、一般许可证和FAQ更新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实时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更新交易许可边界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宏观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汇率、储备、通胀和进口限制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每月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调整报价与付款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项目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UNOPS/UNDP/UNICEF采购与授标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每周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形成投标漏斗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资金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世界银行项目重组、拨款和提款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每月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验证回款可见度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伙伴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所有权、银行关系、履约和合规事件</w:t>
            </w:r>
          </w:p>
        </w:tc>
        <w:tc>
          <w:tcPr>
            <w:tcW w:type="dxa" w:w="3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持续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 w:val="0"/>
                <w:i w:val="0"/>
                <w:color w:val="17202A"/>
                <w:sz w:val="16"/>
              </w:rPr>
              <w:t>动态白名单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</w:pPr>
      <w:r>
        <w:t>90天行动计划</w:t>
      </w:r>
    </w:p>
    <w:p>
      <w:pPr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第1—15天：完成制裁法律意见、银行通道和国家风险限额。</w:t>
      </w:r>
    </w:p>
    <w:p>
      <w:pPr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第16—30天：筛选10家可验证本地伙伴，完成受益所有人和国际机构业绩核验。</w:t>
      </w:r>
    </w:p>
    <w:p>
      <w:pPr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第31—45天：针对光储、水、教育与冷链形成4个标准化技术包。</w:t>
      </w:r>
    </w:p>
    <w:p>
      <w:pPr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第46—70天：参与至少3场供应商说明或市场咨询，并提交1—2份小额标书。</w:t>
      </w:r>
    </w:p>
    <w:p>
      <w:pPr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b w:val="0"/>
          <w:i w:val="0"/>
          <w:color w:val="17202A"/>
          <w:sz w:val="22"/>
        </w:rPr>
        <w:t>第71—90天：以首个付款闭环和现场验收为扩张门槛，复盘后再增加库存与人员。</w:t>
      </w:r>
    </w:p>
    <w:p>
      <w:pPr/>
      <w:r>
        <w:rPr>
          <w:rFonts w:ascii="Calibri" w:hAnsi="Calibri" w:eastAsia="Microsoft YaHei"/>
          <w:b/>
          <w:i w:val="0"/>
          <w:color w:val="0B2545"/>
          <w:sz w:val="22"/>
        </w:rPr>
        <w:t>结论：</w:t>
      </w:r>
      <w:r>
        <w:rPr>
          <w:rFonts w:ascii="Calibri" w:hAnsi="Calibri" w:eastAsia="Microsoft YaHei"/>
          <w:b w:val="0"/>
          <w:i w:val="0"/>
          <w:color w:val="17202A"/>
          <w:sz w:val="22"/>
        </w:rPr>
        <w:t>也门的机会是真实但非线性的。最优路径不是等待一个统一的“战后重建总包”，而是围绕国际机构资金，持续交付可离网、可验证、可维护的民生模块。企业的竞争壁垒将来自合规、付款设计和分散环境下的服务能力，而不是单纯的低价或政治判断。</w:t>
      </w:r>
    </w:p>
    <w:p>
      <w:r>
        <w:br w:type="page"/>
      </w:r>
    </w:p>
    <w:p>
      <w:pPr>
        <w:pStyle w:val="Heading1"/>
      </w:pPr>
      <w:r>
        <w:t>资料来源与使用说明</w:t>
      </w:r>
    </w:p>
    <w:p>
      <w:pPr/>
      <w:r>
        <w:rPr>
          <w:rFonts w:ascii="Calibri" w:hAnsi="Calibri" w:eastAsia="Microsoft YaHei"/>
          <w:b w:val="0"/>
          <w:i w:val="0"/>
          <w:color w:val="17202A"/>
          <w:sz w:val="22"/>
        </w:rPr>
        <w:t>以下来源优先采用政府、多边机构和公司原始公告。宏观预测、项目金额和制裁状态会变化；进入任何交易前，应重新核验招标文件、最终受益所有人、制裁清单、出口管制、税务和付款银行。</w:t>
      </w:r>
    </w:p>
    <w:p>
      <w:pPr>
        <w:spacing w:after="100"/>
        <w:ind w:left="605" w:hanging="605"/>
      </w:pPr>
      <w:r>
        <w:rPr>
          <w:rFonts w:ascii="Calibri" w:hAnsi="Calibri" w:eastAsia="Microsoft YaHei"/>
          <w:b/>
          <w:i w:val="0"/>
          <w:color w:val="0B2545"/>
          <w:sz w:val="18"/>
        </w:rPr>
        <w:t xml:space="preserve">S1  </w:t>
      </w:r>
      <w:r>
        <w:rPr>
          <w:rFonts w:ascii="Calibri" w:hAnsi="Calibri" w:eastAsia="Microsoft YaHei"/>
          <w:b w:val="0"/>
          <w:i w:val="0"/>
          <w:color w:val="17202A"/>
          <w:sz w:val="18"/>
        </w:rPr>
        <w:t xml:space="preserve">[S1] IMF：2025年第四条磋商新闻稿（2026-04-02） — </w:t>
      </w:r>
      <w:hyperlink r:id="rId11">
        <w:r>
          <w:rPr>
            <w:color w:val="2E74B5"/>
            <w:u w:val="single"/>
            <w:rFonts w:ascii="Calibri" w:hAnsi="Calibri" w:eastAsia="Microsoft YaHei"/>
          </w:rPr>
          <w:t>imf.org</w:t>
        </w:r>
      </w:hyperlink>
    </w:p>
    <w:p>
      <w:pPr>
        <w:spacing w:after="100"/>
        <w:ind w:left="605" w:hanging="605"/>
      </w:pPr>
      <w:r>
        <w:rPr>
          <w:rFonts w:ascii="Calibri" w:hAnsi="Calibri" w:eastAsia="Microsoft YaHei"/>
          <w:b/>
          <w:i w:val="0"/>
          <w:color w:val="0B2545"/>
          <w:sz w:val="18"/>
        </w:rPr>
        <w:t xml:space="preserve">S2  </w:t>
      </w:r>
      <w:r>
        <w:rPr>
          <w:rFonts w:ascii="Calibri" w:hAnsi="Calibri" w:eastAsia="Microsoft YaHei"/>
          <w:b w:val="0"/>
          <w:i w:val="0"/>
          <w:color w:val="17202A"/>
          <w:sz w:val="18"/>
        </w:rPr>
        <w:t xml:space="preserve">[S2] IMF：也门2025年第四条磋商报告 — </w:t>
      </w:r>
      <w:hyperlink r:id="rId12">
        <w:r>
          <w:rPr>
            <w:color w:val="2E74B5"/>
            <w:u w:val="single"/>
            <w:rFonts w:ascii="Calibri" w:hAnsi="Calibri" w:eastAsia="Microsoft YaHei"/>
          </w:rPr>
          <w:t>imf.org</w:t>
        </w:r>
      </w:hyperlink>
    </w:p>
    <w:p>
      <w:pPr>
        <w:spacing w:after="100"/>
        <w:ind w:left="605" w:hanging="605"/>
      </w:pPr>
      <w:r>
        <w:rPr>
          <w:rFonts w:ascii="Calibri" w:hAnsi="Calibri" w:eastAsia="Microsoft YaHei"/>
          <w:b/>
          <w:i w:val="0"/>
          <w:color w:val="0B2545"/>
          <w:sz w:val="18"/>
        </w:rPr>
        <w:t xml:space="preserve">S3  </w:t>
      </w:r>
      <w:r>
        <w:rPr>
          <w:rFonts w:ascii="Calibri" w:hAnsi="Calibri" w:eastAsia="Microsoft YaHei"/>
          <w:b w:val="0"/>
          <w:i w:val="0"/>
          <w:color w:val="17202A"/>
          <w:sz w:val="18"/>
        </w:rPr>
        <w:t xml:space="preserve">[S3] UNOPS：YIUSEP城市服务成果（2025-12-31） — </w:t>
      </w:r>
      <w:hyperlink r:id="rId13">
        <w:r>
          <w:rPr>
            <w:color w:val="2E74B5"/>
            <w:u w:val="single"/>
            <w:rFonts w:ascii="Calibri" w:hAnsi="Calibri" w:eastAsia="Microsoft YaHei"/>
          </w:rPr>
          <w:t>unops.org</w:t>
        </w:r>
      </w:hyperlink>
    </w:p>
    <w:p>
      <w:pPr>
        <w:spacing w:after="100"/>
        <w:ind w:left="605" w:hanging="605"/>
      </w:pPr>
      <w:r>
        <w:rPr>
          <w:rFonts w:ascii="Calibri" w:hAnsi="Calibri" w:eastAsia="Microsoft YaHei"/>
          <w:b/>
          <w:i w:val="0"/>
          <w:color w:val="0B2545"/>
          <w:sz w:val="18"/>
        </w:rPr>
        <w:t xml:space="preserve">S4  </w:t>
      </w:r>
      <w:r>
        <w:rPr>
          <w:rFonts w:ascii="Calibri" w:hAnsi="Calibri" w:eastAsia="Microsoft YaHei"/>
          <w:b w:val="0"/>
          <w:i w:val="0"/>
          <w:color w:val="17202A"/>
          <w:sz w:val="18"/>
        </w:rPr>
        <w:t xml:space="preserve">[S4] 世界银行：冲突中重建也门城市生活（2026-03-13） — </w:t>
      </w:r>
      <w:hyperlink r:id="rId14">
        <w:r>
          <w:rPr>
            <w:color w:val="2E74B5"/>
            <w:u w:val="single"/>
            <w:rFonts w:ascii="Calibri" w:hAnsi="Calibri" w:eastAsia="Microsoft YaHei"/>
          </w:rPr>
          <w:t>worldbank.org</w:t>
        </w:r>
      </w:hyperlink>
    </w:p>
    <w:p>
      <w:pPr>
        <w:spacing w:after="100"/>
        <w:ind w:left="605" w:hanging="605"/>
      </w:pPr>
      <w:r>
        <w:rPr>
          <w:rFonts w:ascii="Calibri" w:hAnsi="Calibri" w:eastAsia="Microsoft YaHei"/>
          <w:b/>
          <w:i w:val="0"/>
          <w:color w:val="0B2545"/>
          <w:sz w:val="18"/>
        </w:rPr>
        <w:t xml:space="preserve">S5  </w:t>
      </w:r>
      <w:r>
        <w:rPr>
          <w:rFonts w:ascii="Calibri" w:hAnsi="Calibri" w:eastAsia="Microsoft YaHei"/>
          <w:b w:val="0"/>
          <w:i w:val="0"/>
          <w:color w:val="17202A"/>
          <w:sz w:val="18"/>
        </w:rPr>
        <w:t xml:space="preserve">[S5] 世界银行：也门紧急电力项目二期重组文件 — </w:t>
      </w:r>
      <w:hyperlink r:id="rId15">
        <w:r>
          <w:rPr>
            <w:color w:val="2E74B5"/>
            <w:u w:val="single"/>
            <w:rFonts w:ascii="Calibri" w:hAnsi="Calibri" w:eastAsia="Microsoft YaHei"/>
          </w:rPr>
          <w:t>documents1.worldbank.org</w:t>
        </w:r>
      </w:hyperlink>
    </w:p>
    <w:p>
      <w:pPr>
        <w:spacing w:after="100"/>
        <w:ind w:left="605" w:hanging="605"/>
      </w:pPr>
      <w:r>
        <w:rPr>
          <w:rFonts w:ascii="Calibri" w:hAnsi="Calibri" w:eastAsia="Microsoft YaHei"/>
          <w:b/>
          <w:i w:val="0"/>
          <w:color w:val="0B2545"/>
          <w:sz w:val="18"/>
        </w:rPr>
        <w:t xml:space="preserve">S6  </w:t>
      </w:r>
      <w:r>
        <w:rPr>
          <w:rFonts w:ascii="Calibri" w:hAnsi="Calibri" w:eastAsia="Microsoft YaHei"/>
          <w:b w:val="0"/>
          <w:i w:val="0"/>
          <w:color w:val="17202A"/>
          <w:sz w:val="18"/>
        </w:rPr>
        <w:t xml:space="preserve">[S6] 世界银行：金融包容与教育赠款（2025-06-17） — </w:t>
      </w:r>
      <w:hyperlink r:id="rId16">
        <w:r>
          <w:rPr>
            <w:color w:val="2E74B5"/>
            <w:u w:val="single"/>
            <w:rFonts w:ascii="Calibri" w:hAnsi="Calibri" w:eastAsia="Microsoft YaHei"/>
          </w:rPr>
          <w:t>worldbank.org</w:t>
        </w:r>
      </w:hyperlink>
    </w:p>
    <w:p>
      <w:pPr>
        <w:spacing w:after="100"/>
        <w:ind w:left="605" w:hanging="605"/>
      </w:pPr>
      <w:r>
        <w:rPr>
          <w:rFonts w:ascii="Calibri" w:hAnsi="Calibri" w:eastAsia="Microsoft YaHei"/>
          <w:b/>
          <w:i w:val="0"/>
          <w:color w:val="0B2545"/>
          <w:sz w:val="18"/>
        </w:rPr>
        <w:t xml:space="preserve">S7  </w:t>
      </w:r>
      <w:r>
        <w:rPr>
          <w:rFonts w:ascii="Calibri" w:hAnsi="Calibri" w:eastAsia="Microsoft YaHei"/>
          <w:b w:val="0"/>
          <w:i w:val="0"/>
          <w:color w:val="17202A"/>
          <w:sz w:val="18"/>
        </w:rPr>
        <w:t xml:space="preserve">[S7] 世界银行：也门国别伙伴框架 — </w:t>
      </w:r>
      <w:hyperlink r:id="rId17">
        <w:r>
          <w:rPr>
            <w:color w:val="2E74B5"/>
            <w:u w:val="single"/>
            <w:rFonts w:ascii="Calibri" w:hAnsi="Calibri" w:eastAsia="Microsoft YaHei"/>
          </w:rPr>
          <w:t>worldbank.org</w:t>
        </w:r>
      </w:hyperlink>
    </w:p>
    <w:p>
      <w:pPr>
        <w:spacing w:after="100"/>
        <w:ind w:left="605" w:hanging="605"/>
      </w:pPr>
      <w:r>
        <w:rPr>
          <w:rFonts w:ascii="Calibri" w:hAnsi="Calibri" w:eastAsia="Microsoft YaHei"/>
          <w:b/>
          <w:i w:val="0"/>
          <w:color w:val="0B2545"/>
          <w:sz w:val="18"/>
        </w:rPr>
        <w:t xml:space="preserve">S8  </w:t>
      </w:r>
      <w:r>
        <w:rPr>
          <w:rFonts w:ascii="Calibri" w:hAnsi="Calibri" w:eastAsia="Microsoft YaHei"/>
          <w:b w:val="0"/>
          <w:i w:val="0"/>
          <w:color w:val="17202A"/>
          <w:sz w:val="18"/>
        </w:rPr>
        <w:t xml:space="preserve">[S8] 世界银行：也门国别项目概览 — </w:t>
      </w:r>
      <w:hyperlink r:id="rId18">
        <w:r>
          <w:rPr>
            <w:color w:val="2E74B5"/>
            <w:u w:val="single"/>
            <w:rFonts w:ascii="Calibri" w:hAnsi="Calibri" w:eastAsia="Microsoft YaHei"/>
          </w:rPr>
          <w:t>worldbank.org</w:t>
        </w:r>
      </w:hyperlink>
    </w:p>
    <w:p>
      <w:pPr>
        <w:spacing w:after="100"/>
        <w:ind w:left="605" w:hanging="605"/>
      </w:pPr>
      <w:r>
        <w:rPr>
          <w:rFonts w:ascii="Calibri" w:hAnsi="Calibri" w:eastAsia="Microsoft YaHei"/>
          <w:b/>
          <w:i w:val="0"/>
          <w:color w:val="0B2545"/>
          <w:sz w:val="18"/>
        </w:rPr>
        <w:t xml:space="preserve">S9  </w:t>
      </w:r>
      <w:r>
        <w:rPr>
          <w:rFonts w:ascii="Calibri" w:hAnsi="Calibri" w:eastAsia="Microsoft YaHei"/>
          <w:b w:val="0"/>
          <w:i w:val="0"/>
          <w:color w:val="17202A"/>
          <w:sz w:val="18"/>
        </w:rPr>
        <w:t xml:space="preserve">[S9] IFC：HSA Foods Yemen项目披露 — </w:t>
      </w:r>
      <w:hyperlink r:id="rId19">
        <w:r>
          <w:rPr>
            <w:color w:val="2E74B5"/>
            <w:u w:val="single"/>
            <w:rFonts w:ascii="Calibri" w:hAnsi="Calibri" w:eastAsia="Microsoft YaHei"/>
          </w:rPr>
          <w:t>disclosures.ifc.org</w:t>
        </w:r>
      </w:hyperlink>
    </w:p>
    <w:p>
      <w:pPr>
        <w:spacing w:after="100"/>
        <w:ind w:left="605" w:hanging="605"/>
      </w:pPr>
      <w:r>
        <w:rPr>
          <w:rFonts w:ascii="Calibri" w:hAnsi="Calibri" w:eastAsia="Microsoft YaHei"/>
          <w:b/>
          <w:i w:val="0"/>
          <w:color w:val="0B2545"/>
          <w:sz w:val="18"/>
        </w:rPr>
        <w:t xml:space="preserve">S10  </w:t>
      </w:r>
      <w:r>
        <w:rPr>
          <w:rFonts w:ascii="Calibri" w:hAnsi="Calibri" w:eastAsia="Microsoft YaHei"/>
          <w:b w:val="0"/>
          <w:i w:val="0"/>
          <w:color w:val="17202A"/>
          <w:sz w:val="18"/>
        </w:rPr>
        <w:t xml:space="preserve">[S10] 美国中央司令部：Rough Rider行动更新（2025-04-27） — </w:t>
      </w:r>
      <w:hyperlink r:id="rId20">
        <w:r>
          <w:rPr>
            <w:color w:val="2E74B5"/>
            <w:u w:val="single"/>
            <w:rFonts w:ascii="Calibri" w:hAnsi="Calibri" w:eastAsia="Microsoft YaHei"/>
          </w:rPr>
          <w:t>centcom.mil</w:t>
        </w:r>
      </w:hyperlink>
    </w:p>
    <w:p>
      <w:pPr>
        <w:spacing w:after="100"/>
        <w:ind w:left="605" w:hanging="605"/>
      </w:pPr>
      <w:r>
        <w:rPr>
          <w:rFonts w:ascii="Calibri" w:hAnsi="Calibri" w:eastAsia="Microsoft YaHei"/>
          <w:b/>
          <w:i w:val="0"/>
          <w:color w:val="0B2545"/>
          <w:sz w:val="18"/>
        </w:rPr>
        <w:t xml:space="preserve">S11  </w:t>
      </w:r>
      <w:r>
        <w:rPr>
          <w:rFonts w:ascii="Calibri" w:hAnsi="Calibri" w:eastAsia="Microsoft YaHei"/>
          <w:b w:val="0"/>
          <w:i w:val="0"/>
          <w:color w:val="17202A"/>
          <w:sz w:val="18"/>
        </w:rPr>
        <w:t xml:space="preserve">[S11] 美国国防部：针对胡塞目标的行动说明（2025-03-17） — </w:t>
      </w:r>
      <w:hyperlink r:id="rId21">
        <w:r>
          <w:rPr>
            <w:color w:val="2E74B5"/>
            <w:u w:val="single"/>
            <w:rFonts w:ascii="Calibri" w:hAnsi="Calibri" w:eastAsia="Microsoft YaHei"/>
          </w:rPr>
          <w:t>defense.gov</w:t>
        </w:r>
      </w:hyperlink>
    </w:p>
    <w:p>
      <w:pPr>
        <w:spacing w:after="100"/>
        <w:ind w:left="605" w:hanging="605"/>
      </w:pPr>
      <w:r>
        <w:rPr>
          <w:rFonts w:ascii="Calibri" w:hAnsi="Calibri" w:eastAsia="Microsoft YaHei"/>
          <w:b/>
          <w:i w:val="0"/>
          <w:color w:val="0B2545"/>
          <w:sz w:val="18"/>
        </w:rPr>
        <w:t xml:space="preserve">S12  </w:t>
      </w:r>
      <w:r>
        <w:rPr>
          <w:rFonts w:ascii="Calibri" w:hAnsi="Calibri" w:eastAsia="Microsoft YaHei"/>
          <w:b w:val="0"/>
          <w:i w:val="0"/>
          <w:color w:val="17202A"/>
          <w:sz w:val="18"/>
        </w:rPr>
        <w:t xml:space="preserve">[S12] 美国财政部OFAC：FAQ 1219与也门一般许可证说明 — </w:t>
      </w:r>
      <w:hyperlink r:id="rId22">
        <w:r>
          <w:rPr>
            <w:color w:val="2E74B5"/>
            <w:u w:val="single"/>
            <w:rFonts w:ascii="Calibri" w:hAnsi="Calibri" w:eastAsia="Microsoft YaHei"/>
          </w:rPr>
          <w:t>ofac.treasury.gov</w:t>
        </w:r>
      </w:hyperlink>
    </w:p>
    <w:p>
      <w:pPr>
        <w:pStyle w:val="Heading2"/>
      </w:pPr>
      <w:r>
        <w:t>免责声明</w:t>
      </w:r>
    </w:p>
    <w:p>
      <w:pPr/>
      <w:r>
        <w:rPr>
          <w:rFonts w:ascii="Calibri" w:hAnsi="Calibri" w:eastAsia="Microsoft YaHei"/>
          <w:b w:val="0"/>
          <w:i w:val="0"/>
          <w:color w:val="17202A"/>
          <w:sz w:val="22"/>
        </w:rPr>
        <w:t>本报告为专题研究底稿，不构成证券研究评级、法律意见、制裁许可判断、投标承诺或投资建议。涉及冲突地区的人员安全、人权尽调、反腐败、反洗钱、出口管制和战争险，应由具备相关资质的专业团队独立审查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right"/>
    </w:pPr>
    <w:r>
      <w:rPr>
        <w:rFonts w:ascii="Calibri" w:hAnsi="Calibri" w:eastAsia="Microsoft YaHei"/>
        <w:b w:val="0"/>
        <w:i w:val="0"/>
        <w:color w:val="667085"/>
        <w:sz w:val="16"/>
      </w:rPr>
      <w:t xml:space="preserve">战后重建专题  |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4" w:space="1" w:color="D8DEE8"/>
      </w:pBdr>
    </w:pPr>
    <w:r>
      <w:rPr>
        <w:rFonts w:ascii="Calibri" w:hAnsi="Calibri" w:eastAsia="Microsoft YaHei"/>
        <w:b/>
        <w:i w:val="0"/>
        <w:color w:val="667085"/>
        <w:sz w:val="17"/>
      </w:rPr>
      <w:t>也门｜战后重建与产业机会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269"/>
        </w:tabs>
        <w:ind w:left="540" w:hanging="271"/>
      </w:pPr>
      <w:rPr>
        <w:rFonts w:ascii="Arial" w:hAnsi="Arial" w:eastAsia="Microsoft YaHe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269"/>
        </w:tabs>
        <w:ind w:left="540" w:hanging="271"/>
      </w:pPr>
    </w:lvl>
  </w:abstractNum>
  <w:num w:numId="11">
    <w:abstractNumId w:val="10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720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imf.org/en/news/articles/2026/04/02/pr-26106-yemen-imf-executive-board-concludes-2025-article-iv-consult" TargetMode="External"/><Relationship Id="rId12" Type="http://schemas.openxmlformats.org/officeDocument/2006/relationships/hyperlink" Target="https://www.imf.org/en/publications/cr/issues/2026/04/02/republic-of-yemen-2025-article-iv-consultation-press-release-staff-report-and-statement-by-575187" TargetMode="External"/><Relationship Id="rId13" Type="http://schemas.openxmlformats.org/officeDocument/2006/relationships/hyperlink" Target="https://www.unops.org/news-and-stories/news/unops-to-further-improve-critical-urban-services-across-yemen" TargetMode="External"/><Relationship Id="rId14" Type="http://schemas.openxmlformats.org/officeDocument/2006/relationships/hyperlink" Target="https://www.worldbank.org/en/news/feature/2026/03/13/yemen-rebuilding-urban-life-amid-conflict" TargetMode="External"/><Relationship Id="rId15" Type="http://schemas.openxmlformats.org/officeDocument/2006/relationships/hyperlink" Target="https://documents1.worldbank.org/curated/en/099030326111534855/pdf/P178347-9c6d4982-159a-42fd-877a-9eeb15cdd1e2.pdf" TargetMode="External"/><Relationship Id="rId16" Type="http://schemas.openxmlformats.org/officeDocument/2006/relationships/hyperlink" Target="https://www.worldbank.org/en/news/press-release/2025/06/17/world-bank-approves-us-30-million-to-support-financial-inclusion-and-education-in-yemen.print" TargetMode="External"/><Relationship Id="rId17" Type="http://schemas.openxmlformats.org/officeDocument/2006/relationships/hyperlink" Target="https://www.worldbank.org/ext/en/country/yemen/cpf" TargetMode="External"/><Relationship Id="rId18" Type="http://schemas.openxmlformats.org/officeDocument/2006/relationships/hyperlink" Target="https://www.worldbank.org/ext/en/country/yemen" TargetMode="External"/><Relationship Id="rId19" Type="http://schemas.openxmlformats.org/officeDocument/2006/relationships/hyperlink" Target="https://disclosures.ifc.org/project-detail/SII/43466/hsa-foods-yemen" TargetMode="External"/><Relationship Id="rId20" Type="http://schemas.openxmlformats.org/officeDocument/2006/relationships/hyperlink" Target="https://www.centcom.mil/MEDIA/PRESS-RELEASES/Press-Release-View/Article/4167047/uscentcom-forces-continue-to-target-houthi-terrorists/" TargetMode="External"/><Relationship Id="rId21" Type="http://schemas.openxmlformats.org/officeDocument/2006/relationships/hyperlink" Target="https://www.defense.gov/News/News-Stories/Article/Article/4122357/hegseth-says-campaign-against-houthis-will-be-unrelenting-until-hostilities-cea/" TargetMode="External"/><Relationship Id="rId22" Type="http://schemas.openxmlformats.org/officeDocument/2006/relationships/hyperlink" Target="https://ofac.treasury.gov/faqs/121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也门：战后重建与产业机会</dc:title>
  <dc:subject>战后重建专题</dc:subject>
  <dc:creator>Codex research workflow</dc:creator>
  <cp:keywords>战后重建, 美国参与, 产业机会, 项目管线, 风险</cp:keywords>
  <dc:description>资料截止2026年7月24日; preset=compact_reference_guide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