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D07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索马里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安全行动持续、城市化加速：电力降本、韧性城市与水粮系统是可执行主线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索马里的“重建”是长期国家能力建设、城市扩张和反恐冲突并行的过程。美国仍直接打击青年党目标，但商业资金主要来自世界银行、非洲开发银行和少量担保型私营项目。最明确的机会集中在柴油替代型光储、城市道路与排水、水务、农业畜牧、通信支付和受担保的微型金融。[S1][S3][S5]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经济保持约3%的正增长，但援助削减、气候冲击和安全事件使下行风险加大；不应把增长率等同于可自由汇回的商业现金流。[S1][S2]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约71%的家庭可接入电力，但仅约21%每天供电超过8小时，且系统依赖柴油；降本型光储和配网改造具有直接支付逻辑。[S1][S5]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城市韧性项目已形成道路、步道、排水和劳动密集型施工的可复制模式，项目执行记录优于大型主权特许经营。[S8]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港口、机场和电信由少数运营商主导，机会存在于设备、数字化和绩效提升，但必须穿透特许权、所有权和政治关联。[S13][S14][S15]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进入策略应以国际机构采购、MIGA/IDA风险缓释和已运营本地企业为锚，避免裸露的政府付款和高价值单点资产。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美国参与关联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美军2026年仍直接打击青年党目标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[S3]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重建需求强度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电力、水、道路、城市服务和粮食系统均有大缺口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[S1][S5][S8]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资金可见度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世界银行、AfDB与MIGA项目管线较清晰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[S5][S9][S12]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本地运营商活跃，但安全、治理和汇款风险高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[S13][S15]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12—36个月机会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光储、道路排水、水务和数字金融已有采购或融资抓手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综合判断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2007—2021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青年党叛乱与国际安全行动持续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投资集中于通信、汇款和基本服务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美国长期参与反恐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2022—2024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HIPC完成后国家融资空间逐步恢复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多边项目从紧急援助转向制度与基础设施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[S2]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援助削减与气候冲击抬升脆弱性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政府收入和项目共融资承压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美军继续空袭；GDP基准约2.8%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安全区和合同执行需动态评估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[S1][S3]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未来触发点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安全走廊稳定、电网项目授标、城市项目扩容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形成能源和市政设备订单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按项目验证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联邦政府、成员州、地方政府和氏族网络共同影响土地、许可、税费与安全安排，合同有效性需多层核验。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美国参与主要是反恐与安全合作，不能推导为美国政府对商业项目提供付款保证。[S3]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世界银行和AfDB项目在城市、能源、水和农业领域形成较清晰采购入口，但执行能力与安全可达性因地区差异显著。[S5][S9]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项目地点、安保方、征地、地方收费和分包链必须逐一核验；不得向受制裁或与武装组织关联的主体付款。涉及港口、机场和电信特许经营时，应审查合同重谈、政府收入分成、争议解决和政治人物关联。[S13][S14]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2025年约3.0%；2026年约2.8%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援助削减和冲击使增长放缓。[S1]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2025年约3.7%；2026年或升至6%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食品和进口价格敏感。[S1]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财政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税基窄、赠款依赖高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项目付款应依托多边账户而非一般预算。[S2]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71%家庭可接入；稳定供电比例低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柴油替代和配网效率是直接商业需求。[S1]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金融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美元化、移动支付活跃，银行体系仍浅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金融科技和微型金融可增长，但监管与AML需强化。[S15][S16]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外部风险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援助、侨汇、食品进口和气候高度相关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现金流压力会迅速传导至客户付款。[S1]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当前阶段：多边融资支持下的城市、能源和水务建设已进入可重复交付，但安全和国家能力仍限制规模化。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投资含义：选择“已有运营商+明确项目资金+可分期建设”的资产，比新建单体大型项目更稳健。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安全事件、简易爆炸装置和道路控制增加现场成本。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土地权属、地方收费与多层治理可能造成合同冲突。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公用事业规模小、费率高但客户支付能力有限。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援助削减、旱涝灾害和粮食冲击会挤压政府与家庭现金流。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光储与配网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柴油发电成本高、供电时间短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SESRP授标和民营电力公司扩容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城市道路排水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快速城市化与洪涝风险并存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SURP后续建设包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供水系统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城市和旱区供水短缺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Kismayo、Baidoa、Galkayo、Qardo项目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粮食系统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气候冲击与低生产率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灌溉、仓储、冷链和市场连接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畜牧与渔业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出口潜力大但质检和冷链不足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检疫、加工、制冰与物流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数字支付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移动资金普及、银行深度有限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核心系统、AML、代理网络和微型金融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港口机场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贸易依赖但治理复杂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设备、安检、IT和维修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社会设施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学校、卫生设施缺电缺水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太阳能化和模块化服务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能源项目具备客户节省柴油支出的可衡量回报，是最接近商业银行化的基础设施子行业。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城市道路、水务和粮食系统则更依赖赠款与优惠贷款，应以项目采购而非自持资产切入。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移动支付和通信是本地企业最成熟的能力层，但国际伙伴仍需把AML、数据和网络安全置于核心。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Somalia Electricity Sector Recovery Project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1.5亿美元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中期实施；多地光储和配网包已授标/招标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EPC、设备、监控和运维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BECO Mogadishu光储项目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约9,000万美元包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项目文件列示的大型采购包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联合体、设备供应与本地运维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Somalia Urban Resilience Project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多城市组合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已完成约39公里道路并继续建设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道路、排水、照明、监理与材料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Barwaaqo项目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7,000万美元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水、农业、畜牧和环境服务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水点、灌溉、农业投入与咨询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AfDB城市水务组合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多个UA融资包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Kismayo、Baidoa、Galkayo、Qardo等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水厂、管网、泵和监理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Kube Energy Baidoa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MIGA担保567万美元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战争与征收风险担保项目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分布式能源、设备和服务合作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跟踪世界银行STEP、AfDB采购门户和项目实施单位公告，建立按城市与运营商分组的投标地图。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电力项目应明确发电资产、配网、土地、客户和收费权边界，并验证运营商牌照与历史收款。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现场工程采用社区协商、当地劳工和独立安全评估，安保费用不得通过不可识别的第三方支付。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以集装箱化光储、标准化水处理模块、远程SCADA和备件库降低多城市交付成本。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IDA、AfDB和伙伴信托基金仍是基础设施的主要资金来源；MIGA担保可改善特定私营能源项目的风险收益。商业贷款应与多边风险分担、硬通货收入或可验证的运营商收费结合，不宜单独承担联邦或地方财政风险。[S5][S9][S12]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光伏储能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高柴油成本和不稳定供电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IPP升级、EPC、设备融资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现在—4年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配网与计量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线损、低可靠性和收费管理不足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智能表计、SCADA、损耗治理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1—4年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道路与排水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城市化和洪涝韧性需求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国际机构工程包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旱区和城市供水缺口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EPC+运营支持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农业畜牧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就业与出口基础产业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仓储、检疫、投入品和加工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1—5年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冷链渔业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沿海资源与食品损耗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太阳能冷库、制冰和质检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1—4年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金融科技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移动支付深、正式信贷浅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AML、核心系统、微贷资金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现在—3年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港航数字化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贸易依赖与效率缺口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设备、安检、港口社区系统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条件触发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核心仓：多边融资的光储、配网、水务、道路排水和社会设施太阳能化。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成长仓：数字金融、农业畜牧供应链和冷链；与经审计本地运营商共同投资。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观察仓：港口机场特许经营、房地产和无多边缓释的大型IPP。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BECO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世界银行项目文件列示Mogadishu大型光储采购包相关运营商。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NECSOM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Garowe项目包的运营主体之一，适合跟踪光储和配网执行。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Hormuud Telecom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通信与移动资金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IFC国别诊断列示的重要市场主体；合作需核验监管、AML和数据要求。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Dahabshiil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汇款与金融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侨汇和支付生态的重要主体；具体交易需独立合规审查。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KIMS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微型金融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IFC披露拟提供100万美元伊斯兰融资，仍应核验最终签署状态。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Kube 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分布式能源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Baidoa项目获得MIGA政治风险担保，是风险缓释型案例。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Albayrak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港口运营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Mogadishu港口运营安排曾重谈，设备商需核验最新合同与付款结构。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Favori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机场运营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Mogadishu机场PPP运营案例；机会偏设备、安检和数字化。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Schneider Electric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微网与配网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产品适配光储和配网升级；未确认具体索马里中标。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Huawei / Ericsson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网络和能源系统存在需求；参与取决于运营商采购与合规。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Grundfos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水务和太阳能泵应用清晰；未确认项目订单。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World Bank / IDA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基础设施融资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能源、城市、农业和水务项目的主要资金与采购锚。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African Development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基础设施融资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水务、道路和国家战略管线的重要来源。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本地电力和通信运营商掌握客户与现场能力，国际企业更适合提供设备、融资、工程管理和风控。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土耳其、海湾和亚洲企业在港口、机场、建筑和消费供应链中有先发关系优势。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中标关键是把价格、耐高温耐尘、备件、培训和安全交付打包，而非仅提交国际品牌目录。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以Mogadishu、Baidoa、Kismayo、Garowe等城市为单元建立安全、运营商和项目地图。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完成世界银行和AfDB供应商注册，订阅SESRP、SURP和水务项目采购。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筛选两家电力运营商和两家道路/水务承包商，完成所有权、制裁和履约尽调。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设计500kW—5MW可扩展光储及模块化水务产品包，包含计量、SCADA和两年备件。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只有在土地、收费权、付款账户和安全责任书面确认后，才投入长周期设备或资本。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恐袭与安保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人员伤亡和工期中断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区域分级、远程运维、专业安保审查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项目区连续发生针对性袭击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治理与合同冲突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许可和收费权争议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联邦—州—地方多层法律意见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关键批准互不承认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土地与社区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施工停滞和索赔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社区参与、土地文件和申诉机制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土地权属无法形成书面链条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付款与援助削减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应收和项目缩减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多边专户、分期交付、备用资金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拨款冻结或提款长期停滞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运营商信用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设备融资违约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收入托管、计量数据、DSRA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收费数据拒绝第三方验证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气候灾害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资产损坏与需求突变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防洪设计、耐候设备、保险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洪旱使施工或客户支付长期中断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不向无法识别的安保、地方收费或武装关联方付款；不在土地和收费权未确权时建设固定资产；不为无审计收入、无托管账户的运营商提供长期无担保设备信贷。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AFRICOM行动、青年党袭击和道路风险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调整区域暴露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宏观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增长、通胀、援助和侨汇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评估支付能力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SESRP授标、提款和投产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投标与供应链排产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城市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SURP新增城市和工程包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道路水务漏斗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金融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移动支付监管、AML和IFC融资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金融科技机会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气候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降雨、旱情、洪灾和粮价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库存与施工计划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伙伴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所有权、政治关联、税务和履约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持续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白名单管理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第1—20天：完成4个重点城市的安全、土地、运营商和多边项目地图。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第21—35天：建立6家本地合作方短名单并完成KYC、制裁与履约核验。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第36—50天：形成光储、配网、水务和道路排水四类标准投标包。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第51—70天：与MIGA、世界银行项目单位和商业银行讨论风险分担与付款托管。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第71—90天：提交至少两项采购响应，以首个可验证合同作为扩大团队的条件。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索马里的机会来自服务缺口与私营运营能力的并存。光储降本、城市韧性、水务和数字金融已经具备项目级抓手，但安全与治理不会在短期消失。用多边资金、担保、城市级风控和模块化产品组合，可以把一个高风险国家拆成若干可管理的交易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[S1] 世界银行：Somalia Economic Update（2026-05-13）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[S2] IMF：索马里ECF第四次审查（2025-12-08）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[S3] AFRICOM：打击青年党行动（2026-06-19）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africom.mil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[S4] 世界银行：索马里国别概览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[S5] 世界银行：Somalia Electricity Sector Recovery Project中期报告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[S6] 世界银行：Somalia Food Systems Resilience项目报告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[S7] 世界银行：Barwaaqo水农牧项目（2022-12-15）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[S8] 世界银行：索马里韧性城市成果（2026-06-10）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[S9] 非洲开发银行：Somalia Infrastructure Fund 2025报告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[S10] 非洲开发银行：Somalia CSP 2025—2030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[S11] 非洲开发银行：Kismayo与Baidoa水务项目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[S12] MIGA：Kube Energy Baidoa政治风险担保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miga.org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[S13] 世界银行：索马里金融治理与特许经营报告 —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[S14] 世界银行PPP资源中心：Somalia Airport案例 — </w:t>
      </w:r>
      <w:hyperlink r:id="rId24">
        <w:r>
          <w:rPr>
            <w:color w:val="2E74B5"/>
            <w:u w:val="single"/>
            <w:rFonts w:ascii="Calibri" w:hAnsi="Calibri" w:eastAsia="Microsoft YaHei"/>
          </w:rPr>
          <w:t>ppp.worldbank.org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[S15] IFC：Somalia Country Private Sector Diagnostic — </w:t>
      </w:r>
      <w:hyperlink r:id="rId25">
        <w:r>
          <w:rPr>
            <w:color w:val="2E74B5"/>
            <w:u w:val="single"/>
            <w:rFonts w:ascii="Calibri" w:hAnsi="Calibri" w:eastAsia="Microsoft YaHei"/>
          </w:rPr>
          <w:t>ifc.org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[S16] IFC：KIMS微型金融拟议项目披露 — </w:t>
      </w:r>
      <w:hyperlink r:id="rId26">
        <w:r>
          <w:rPr>
            <w:color w:val="2E74B5"/>
            <w:u w:val="single"/>
            <w:rFonts w:ascii="Calibri" w:hAnsi="Calibri" w:eastAsia="Microsoft YaHei"/>
          </w:rPr>
          <w:t>disclosures.ifc.org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索马里｜战后重建与产业机会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orldbank.org/en/news/press-release/2026/05/13/somalia-growth-continues-but-shocks-and-aid-cuts-intensify-risks-to-jobs-and-livelihoods" TargetMode="External"/><Relationship Id="rId12" Type="http://schemas.openxmlformats.org/officeDocument/2006/relationships/hyperlink" Target="https://www.imf.org/en/news/articles/2025/12/08/pr-25412-somalia-imf-concludes-4th-rev-of-ecf-arrangeme-and-approves-req-for-augmentation" TargetMode="External"/><Relationship Id="rId13" Type="http://schemas.openxmlformats.org/officeDocument/2006/relationships/hyperlink" Target="https://www.africom.mil/pressrelease/36605/us-forces-conduct-strikes-targeting-al-shabaab" TargetMode="External"/><Relationship Id="rId14" Type="http://schemas.openxmlformats.org/officeDocument/2006/relationships/hyperlink" Target="https://www.worldbank.org/ext/en/country/somalia" TargetMode="External"/><Relationship Id="rId15" Type="http://schemas.openxmlformats.org/officeDocument/2006/relationships/hyperlink" Target="https://documents1.worldbank.org/curated/en/099110425105030846/pdf/P173088-fa99e7da-f0c3-4bcc-a248-69768f01f7c1.pdf" TargetMode="External"/><Relationship Id="rId16" Type="http://schemas.openxmlformats.org/officeDocument/2006/relationships/hyperlink" Target="https://documents1.worldbank.org/curated/en/099120125232636873/pdf/P177816-64ffc2de-3518-4695-99f1-65e8540fa6fc.pdf" TargetMode="External"/><Relationship Id="rId17" Type="http://schemas.openxmlformats.org/officeDocument/2006/relationships/hyperlink" Target="https://www.worldbank.org/en/news/press-release/2022/12/15/world-bank-grants-70-million-for-delivery-of-water-agriculture-livestock-and-environmental-services-in-somalia" TargetMode="External"/><Relationship Id="rId18" Type="http://schemas.openxmlformats.org/officeDocument/2006/relationships/hyperlink" Target="https://www.worldbank.org/en/results/2026/06/10/building-resilient-cities-and-creating-jobs-in-somalia" TargetMode="External"/><Relationship Id="rId19" Type="http://schemas.openxmlformats.org/officeDocument/2006/relationships/hyperlink" Target="https://www.afdb.org/en/documents/sif-annual-progress-report-2025" TargetMode="External"/><Relationship Id="rId20" Type="http://schemas.openxmlformats.org/officeDocument/2006/relationships/hyperlink" Target="https://www.afdb.org/sites/default/files/documents/projects-and-operations/somalia_-_country_strategy_paper_2025-2030_-_rev.1-lotb-board_approved_-_17nov2025.pdf" TargetMode="External"/><Relationship Id="rId21" Type="http://schemas.openxmlformats.org/officeDocument/2006/relationships/hyperlink" Target="https://www.afdb.org/en/projects-and-operations/p-so-e00-008" TargetMode="External"/><Relationship Id="rId22" Type="http://schemas.openxmlformats.org/officeDocument/2006/relationships/hyperlink" Target="https://www.miga.org/project/kube-energy-baidoa" TargetMode="External"/><Relationship Id="rId23" Type="http://schemas.openxmlformats.org/officeDocument/2006/relationships/hyperlink" Target="https://documents1.worldbank.org/curated/en/817121622094916623/pdf/Somalia-Financial-Governance-Report.pdf" TargetMode="External"/><Relationship Id="rId24" Type="http://schemas.openxmlformats.org/officeDocument/2006/relationships/hyperlink" Target="https://ppp.worldbank.org/library/success-story-somalia-airport" TargetMode="External"/><Relationship Id="rId25" Type="http://schemas.openxmlformats.org/officeDocument/2006/relationships/hyperlink" Target="https://www.ifc.org/content/dam/ifc/doc/2024/somalia-country-private-sector-diagnostic-en.pdf" TargetMode="External"/><Relationship Id="rId26" Type="http://schemas.openxmlformats.org/officeDocument/2006/relationships/hyperlink" Target="https://disclosures.ifc.org/project-detail/SII/50776/mfp-bop-ki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索马里：战后重建与产业机会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