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i w:val="0"/>
          <w:color w:val="9A6B16"/>
          <w:sz w:val="22"/>
        </w:rPr>
        <w:t>D08  战后重建国家专题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i w:val="0"/>
          <w:color w:val="0B2545"/>
          <w:sz w:val="60"/>
        </w:rPr>
        <w:t>尼日利亚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i w:val="0"/>
          <w:color w:val="1F4D78"/>
          <w:sz w:val="30"/>
        </w:rPr>
        <w:t>经济建设、重建资金与全球产业机会</w:t>
      </w:r>
    </w:p>
    <w:p>
      <w:pPr>
        <w:spacing w:after="560"/>
        <w:jc w:val="center"/>
      </w:pPr>
      <w:r>
        <w:rPr>
          <w:rFonts w:ascii="Calibri" w:hAnsi="Calibri" w:eastAsia="Microsoft YaHei"/>
          <w:b w:val="0"/>
          <w:i/>
          <w:color w:val="667085"/>
          <w:sz w:val="21"/>
        </w:rPr>
        <w:t>改革红利与安全分化并存：能源接入、灌溉农业、数字基础设施和州级项目最具规模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i w:val="0"/>
          <w:color w:val="0B2545"/>
          <w:sz w:val="22"/>
        </w:rPr>
        <w:t>资料截止：2026年7月24日</w:t>
      </w:r>
    </w:p>
    <w:p>
      <w:pPr>
        <w:spacing w:after="12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设计体系：compact_reference_guide｜证据分级：A 已确认 / B 官方管线 / C 能力匹配</w:t>
      </w:r>
    </w:p>
    <w:p>
      <w:pPr>
        <w:spacing w:before="900" w:after="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研究用途：跨国产业扫描、项目获取与风险监测</w:t>
      </w:r>
    </w:p>
    <w:p>
      <w:r>
        <w:br w:type="page"/>
      </w:r>
    </w:p>
    <w:p>
      <w:pPr>
        <w:pStyle w:val="Heading1"/>
      </w:pPr>
      <w:r>
        <w:t>执行摘要</w:t>
      </w:r>
    </w:p>
    <w:p>
      <w:pPr>
        <w:spacing w:before="80" w:after="160" w:line="283" w:lineRule="auto"/>
        <w:ind w:left="115" w:right="115"/>
        <w:shd w:fill="F4F6F9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alibri" w:hAnsi="Calibri" w:eastAsia="Microsoft YaHei"/>
          <w:b/>
          <w:i w:val="0"/>
          <w:color w:val="0B2545"/>
          <w:sz w:val="21"/>
        </w:rPr>
        <w:t>一句话判断：</w:t>
      </w:r>
      <w:r>
        <w:rPr>
          <w:rFonts w:ascii="Calibri" w:hAnsi="Calibri" w:eastAsia="Microsoft YaHei"/>
          <w:b w:val="0"/>
          <w:i w:val="0"/>
          <w:color w:val="17202A"/>
          <w:sz w:val="21"/>
        </w:rPr>
        <w:t>尼日利亚并非典型“战后”国家，而是北部和中部长期冲突、反恐行动与全国经济改革并存的超大市场。美国在2025年12月直接打击索科托州ISIS目标，使其符合本专题的美国参与优先标准；商业上应把高风险冲突区与拉各斯、阿布贾及改革型州的可融资项目严格区分。[S1][S2][S5]</w:t>
      </w:r>
    </w:p>
    <w:p>
      <w:pPr>
        <w:pStyle w:val="Heading2"/>
      </w:pPr>
      <w:r>
        <w:t>五项核心判断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人口与需求规模巨大，但通胀、利率、汇率和财政偿债成本仍是项目可负担性的首要约束。[S2][S3]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能源接入是最明确的规模机会：DARES以7.5亿美元IDA资金撬动逾10亿美元私人资本，目标新增或改善1,750万人用电。[S6][S7]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灌溉、农产品加工区和农村道路可同时回应粮价、就业与安全问题，资金管线覆盖世界银行和AfDB。[S8][S10][S12]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联邦项目规模大，但州级营商环境、土地、配电公司信用和项目执行差异决定真实回报。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美国参与不等于美国承包商天然占优；设备融资、本地制造、奈拉风险分担和长期运维更关键。</w:t>
      </w:r>
    </w:p>
    <w:p>
      <w:pPr>
        <w:pStyle w:val="Heading2"/>
      </w:pPr>
      <w:r>
        <w:t>市场进入评分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500"/>
        <w:gridCol w:w="2100"/>
        <w:gridCol w:w="1000"/>
        <w:gridCol w:w="47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维度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当前判断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评分/5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含义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美国参与关联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4/5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2025年美军直接打击ISIS目标；长期安全合作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[S1]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重建需求强度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4/5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冲突区恢复与全国基础设施缺口叠加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[S5][S8]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资金可见度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5/5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世界银行、AfDB、JICA和私人资本组合规模大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[S5][S6][S10]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商业可进入性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4/5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成熟私营部门与资本市场，但监管和外汇复杂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[S2][S5]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12—36个月机会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5/5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能源、灌溉、农业加工和数字连接均有执行管线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综合判断</w:t>
            </w:r>
          </w:p>
        </w:tc>
      </w:tr>
    </w:tbl>
    <w:p>
      <w:pPr>
        <w:spacing w:before="0" w:after="40" w:line="240" w:lineRule="auto"/>
      </w:pP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阅读口径：本报告把“国家存在巨大重建需求”与“企业今天可以签约、收款、退出”严格分开。A/B/C等级只描述证据成熟度，不等同于信用评级或投资建议。</w:t>
      </w:r>
    </w:p>
    <w:p>
      <w:r>
        <w:br w:type="page"/>
      </w:r>
    </w:p>
    <w:p>
      <w:pPr>
        <w:pStyle w:val="Heading1"/>
      </w:pPr>
      <w:r>
        <w:t>1. 战争轨迹、美国角色与当前权力结构</w:t>
      </w:r>
    </w:p>
    <w:p>
      <w:pPr>
        <w:pStyle w:val="Heading2"/>
      </w:pPr>
      <w:r>
        <w:t>关键时间线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250"/>
        <w:gridCol w:w="2750"/>
        <w:gridCol w:w="2500"/>
        <w:gridCol w:w="2860"/>
      </w:tblGrid>
      <w:tr>
        <w:trPr>
          <w:tblHeader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时期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事件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美国参与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对重建格局的影响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2009—2020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东北部叛乱与反恐行动长期化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冲突区基础设施和生计受损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人道与安全资金并行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2021—2024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汇率、燃油补贴和电力改革推进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短期通胀上升，长期市场定价改善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[S2]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2025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经济增长约3.4%；美国在索科托州实施打击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国家风险需按地理分层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[S1][S2]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2026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新国别伙伴框架启动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能源、宽带、健康和农业目标扩大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[S5]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未来触发点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通胀下行、外汇流动性改善、州级项目授标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资本密集项目可银行化程度提升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按季度验证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当前政治与安全结构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联邦、州和地方政府在土地、税费、道路、电力和治安方面权责交错，项目需要州级利益相关方地图。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美国直接安全行动集中在特定反恐目标，不代表全国处于战争，也不构成项目安全或付款保证。[S1]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改革方向总体支持市场定价和私人资本，但高生活成本与社会压力可能造成政策回摆。[S2][S3]</w:t>
      </w:r>
    </w:p>
    <w:p>
      <w:pPr>
        <w:spacing w:before="80" w:after="160" w:line="283" w:lineRule="auto"/>
        <w:ind w:left="115" w:right="115"/>
        <w:shd w:fill="F4F6F9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alibri" w:hAnsi="Calibri" w:eastAsia="Microsoft YaHei"/>
          <w:b/>
          <w:i w:val="0"/>
          <w:color w:val="0B2545"/>
          <w:sz w:val="21"/>
        </w:rPr>
        <w:t>商业边界：</w:t>
      </w:r>
      <w:r>
        <w:rPr>
          <w:rFonts w:ascii="Calibri" w:hAnsi="Calibri" w:eastAsia="Microsoft YaHei"/>
          <w:b w:val="0"/>
          <w:i w:val="0"/>
          <w:color w:val="17202A"/>
          <w:sz w:val="21"/>
        </w:rPr>
        <w:t>北部冲突州的项目须进行地点级安全审查、社区协商和供应链路线评估；全国项目则重点防范政府拖欠、外汇错配、地方许可和反腐风险。任何军民两用设备交易需单独审查最终用途。</w:t>
      </w:r>
    </w:p>
    <w:p>
      <w:r>
        <w:br w:type="page"/>
      </w:r>
    </w:p>
    <w:p>
      <w:pPr>
        <w:pStyle w:val="Heading1"/>
      </w:pPr>
      <w:r>
        <w:t>2. 宏观经济、财政与重建约束</w:t>
      </w:r>
    </w:p>
    <w:p>
      <w:pPr>
        <w:pStyle w:val="Heading2"/>
      </w:pPr>
      <w:r>
        <w:t>最新宏观快照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指标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最新读数/判断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研究含义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实际增长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2024年3.4%；2025年约3.4%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服务业和改革支撑增长，但人均改善有限。[S2]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通胀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2025年仍处高位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食品、能源和汇率传导压缩家庭与项目支付能力。[S2][S3]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公共债务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约GDP的五成上下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利息收入比高，比债务率本身更约束财政。[S2]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外汇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市场化改革改善价格发现，波动仍大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进口设备需本币对冲和调价机制。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能源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缺电与自备柴油普遍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分布式能源的节省成本逻辑强。[S6]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人口就业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青年人口大、非正规就业高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农业加工、建筑和数字服务的就业乘数重要。[S5]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经济建设阶段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当前阶段：全国经济改革和大规模基础设施融资进行中，冲突区则仍处恢复、安置和基本服务阶段。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投资含义：尼日利亚应被视为多个市场——按州、配电区、产业集群和客户信用拆分，而非用单一国家风险溢价定价。</w:t>
      </w:r>
    </w:p>
    <w:p>
      <w:pPr>
        <w:pStyle w:val="Heading2"/>
      </w:pPr>
      <w:r>
        <w:t>主要约束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高通胀、高利率和奈拉波动使长期本币项目融资昂贵。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电力配售和政府部门应收账款影响能源项目现金流。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土地、许可、税费和监管执行在州际差异大。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北部与中部安全、绑架和社区冲突增加建设与运维成本。</w:t>
      </w:r>
    </w:p>
    <w:p>
      <w:r>
        <w:br w:type="page"/>
      </w:r>
    </w:p>
    <w:p>
      <w:pPr>
        <w:pStyle w:val="Heading1"/>
      </w:pPr>
      <w:r>
        <w:t>3. 破坏、重建需求与12—36个月催化剂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450"/>
        <w:gridCol w:w="3200"/>
        <w:gridCol w:w="3370"/>
        <w:gridCol w:w="1340"/>
      </w:tblGrid>
      <w:tr>
        <w:trPr>
          <w:tblHeader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板块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现状/缺口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12—36个月催化剂</w:t>
            </w:r>
          </w:p>
        </w:tc>
        <w:tc>
          <w:tcPr>
            <w:tcW w:type="dxa" w:w="1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机会等级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分布式能源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电网供电不足、柴油成本高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DARES及商业工业光储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配电与计量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损耗和回款不足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智能表计、馈线改造和数据平台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灌溉与水坝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农业受旱涝和低灌溉率制约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SPIN项目和水电灌溉规划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农产品加工区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产后损耗高、产业链分散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SAPZ一二期建设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农村道路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农场到市场连接不足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RAAMP与州级道路包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数字宽带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人口大、地区连接不均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CPF宽带与数字公共基础设施目标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基层健康教育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人员、设施和治理短板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HOPE系列项目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冲突区住房水务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流离失所和公共服务不足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赠款、州级恢复与社会项目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B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优先级解读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能源、农业和数字基础设施都有十亿美元级市场，但真正可投资单元通常是州、园区、配电区或企业客户。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国际企业最有价值的能力是融资、设备可靠性、数据计量和长期运维，而不是单纯承建。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安全区恢复项目应优先由发展资金支付；商业资本不宜直接承担低收入家庭和脆弱州的需求风险。</w:t>
      </w:r>
    </w:p>
    <w:p>
      <w:r>
        <w:br w:type="page"/>
      </w:r>
    </w:p>
    <w:p>
      <w:pPr>
        <w:pStyle w:val="Heading1"/>
      </w:pPr>
      <w:r>
        <w:t>4. 资金来源、采购机制与项目管线</w:t>
      </w:r>
    </w:p>
    <w:p>
      <w:pPr>
        <w:pStyle w:val="Heading2"/>
      </w:pPr>
      <w:r>
        <w:t>可见资金池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2000"/>
        <w:gridCol w:w="1250"/>
        <w:gridCol w:w="1500"/>
        <w:gridCol w:w="3510"/>
        <w:gridCol w:w="1100"/>
      </w:tblGrid>
      <w:tr>
        <w:trPr>
          <w:tblHeader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资金/项目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规模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状态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企业切入点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证据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DARES分布式能源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7.5亿美元IDA；拟撬动逾10亿美元私人资本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实施中，2026年仍处早期提款阶段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mini-grid、独立系统、C&amp;I光储和融资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HOPE-GOV / HOPE-PHC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5亿美元+5.7亿美元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已批准实施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基层卫生、数字治理、设备和绩效管理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SPIN水坝与灌溉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5亿美元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实施与市场咨询推进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灌溉、水坝安全、水电规划与咨询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SAPZ二期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总融资约11.07亿美元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多方融资与州级建设推进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园区基础设施、加工、冷链和物流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SAPZ一期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多州项目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2025年进入施工阶段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施工、加工设备、仓储和能源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AfDB能源转型支持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5亿美元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政策与投资支持管线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电网、清洁能源和市场改革相关机会</w:t>
            </w:r>
          </w:p>
        </w:tc>
        <w:tc>
          <w:tcPr>
            <w:tcW w:type="dxa" w:w="11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采购与收款路径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建立联邦项目实施单位、州政府、REA、配电公司和园区开发主体的五层账户地图。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所有奈拉现金流项目都应设置汇率、通胀和利率情景；进口设备尽量以本币长期资金或担保匹配。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在能源项目中要求智能计量、预付费、收入托管和停供权；政府客户应配置担保或分期付款。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农业园区和灌溉项目应同步验证土地、原料半径、道路、电力、水和锚定加工商，避免“空园区”。</w:t>
      </w:r>
    </w:p>
    <w:p>
      <w:pPr>
        <w:spacing w:before="80" w:after="160" w:line="283" w:lineRule="auto"/>
        <w:ind w:left="115" w:right="115"/>
        <w:shd w:fill="F4F6F9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alibri" w:hAnsi="Calibri" w:eastAsia="Microsoft YaHei"/>
          <w:b/>
          <w:i w:val="0"/>
          <w:color w:val="0B2545"/>
          <w:sz w:val="21"/>
        </w:rPr>
        <w:t>资金判断：</w:t>
      </w:r>
      <w:r>
        <w:rPr>
          <w:rFonts w:ascii="Calibri" w:hAnsi="Calibri" w:eastAsia="Microsoft YaHei"/>
          <w:b w:val="0"/>
          <w:i w:val="0"/>
          <w:color w:val="17202A"/>
          <w:sz w:val="21"/>
        </w:rPr>
        <w:t>尼日利亚具备本批次最丰富的多边和私人融资管线。IDA赠款/贷款、AfDB、JICA、慈善资本、本地养老金和基础设施信用增级可组合使用。难点不是资金总量，而是把奈拉收入、外币设备和政府信用风险装入可持续结构。[S5][S6][S10]</w:t>
      </w:r>
    </w:p>
    <w:p>
      <w:r>
        <w:br w:type="page"/>
      </w:r>
    </w:p>
    <w:p>
      <w:pPr>
        <w:pStyle w:val="Heading1"/>
      </w:pPr>
      <w:r>
        <w:t>5. 全球产业机会排序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450"/>
        <w:gridCol w:w="3340"/>
        <w:gridCol w:w="2050"/>
        <w:gridCol w:w="1400"/>
        <w:gridCol w:w="1120"/>
      </w:tblGrid>
      <w:tr>
        <w:trPr>
          <w:tblHeader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产业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机会逻辑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建议模式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时点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证据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mini-grid与户用能源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大规模未可靠供电人口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结果付费+股权+本币债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现在—5年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C&amp;I光储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柴油替代与企业信用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PPA/能源即服务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现在—5年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智能电表与配网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降低损耗、改善回款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设备+SaaS+绩效合同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现在—4年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灌溉水务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粮食安全与气候韧性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工程包+运营支持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1—6年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农业加工与冷链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进口替代和产后损耗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园区设备、租赁和供应链金融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1—6年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农村道路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市场连接与就业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州级工程和材料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现在—5年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宽带与数字身份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人口规模和公共服务数字化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光纤、云、身份与支付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1—5年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保障房与建材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城市化和冲突区恢复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本地材料、模块化建设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条件触发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组合建议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核心仓：DARES相关能源、计量配网、灌溉和SAPZ基础设施。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成长仓：农业加工冷链、宽带、数字身份和基层健康技术。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观察仓：无主权或多边增信的大型电网、冲突区房地产及仅依赖政府应收的项目。</w:t>
      </w:r>
    </w:p>
    <w:p>
      <w:r>
        <w:br w:type="page"/>
      </w:r>
    </w:p>
    <w:p>
      <w:pPr>
        <w:pStyle w:val="Heading1"/>
      </w:pPr>
      <w:r>
        <w:t>6. 公司与竞争格局：谁已进入，谁在候选池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证据定义：A＝已确认合同、特许权、在建项目或正式采购；B＝官方预算、采购计划、市场接洽或MoU，尚未证明形成可确认收入；C＝仅依据能力与区域足迹推断，必须等待招标和合规条件。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050"/>
        <w:gridCol w:w="1800"/>
        <w:gridCol w:w="1500"/>
        <w:gridCol w:w="3890"/>
        <w:gridCol w:w="1120"/>
      </w:tblGrid>
      <w:tr>
        <w:trPr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区域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公司/机构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板块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观察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证据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Arnergy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分布式能源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面向商业和居民的太阳能服务商，可跟踪其融资扩张；具体估值和项目须另核。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Husk Power Systems Nigeria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mini-grid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在尼日利亚布局农村微网，适合观察DARES与私人资本结合。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InfraCredit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信用增级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可为本币基础设施债提供增信，是匹配养老金资金的重要平台。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Dangote Cement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建材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全国建设和园区需求的本地供给锚，同时受能源与汇率影响。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Lafarge Africa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建材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道路、住房和工业项目需求敞口；不代表获得本报告管线订单。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MTN Nigeria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通信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数字连接与移动金融的重要运营商，资本开支受汇率和监管影响。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Airtel Africa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通信与金融科技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尼日利亚市场带来宽带和移动资金敞口。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国际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Siemens Energy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电网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参与总统电力倡议的技术生态，机会取决于后续融资和授标。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国际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GE Vernova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发电与电网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电力设备和服务能力适配电网、燃机和水电项目；未确认新增订单。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国际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Schneider Electric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能源管理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适配C&amp;I光储、计量和工业园区配电。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国际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Olam Agri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农业加工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具备本地农产品供应链和加工敞口，可作为园区锚定企业观察。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多边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World Bank / IDA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基础设施融资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DARES、HOPE、SPIN和CPF的核心资金来源。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多边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African Development Bank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能源与农业融资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SAPZ、农业和能源转型的重要融资方。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竞争策略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本地企业在关系、土地、奈拉收入和低成本运维上占优；国际企业需要带来资金与技术绩效。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中国、欧洲、美国和区域承包商将在电网、道路、通信和园区项目中竞争，融资条件常与设备价格同等重要。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能源项目的核心竞争从“装机价格”转向回款、计量、损耗管理和全生命周期可用率。</w:t>
      </w:r>
    </w:p>
    <w:p>
      <w:r>
        <w:br w:type="page"/>
      </w:r>
    </w:p>
    <w:p>
      <w:pPr>
        <w:pStyle w:val="Heading1"/>
      </w:pPr>
      <w:r>
        <w:t>7. 进入模式、风险边界与止损条件</w:t>
      </w:r>
    </w:p>
    <w:p>
      <w:pPr>
        <w:pStyle w:val="Heading2"/>
      </w:pPr>
      <w:r>
        <w:t>建议进入顺序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按州建立安全、法规、电价、土地、税费和项目执行评分，首批选择3—5个改革与回款较好的州。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对DARES、SPIN、SAPZ和CPF子项目建立滚动12个月采购和融资日历。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与本地银行、InfraCredit或开发金融机构设计奈拉贷款、担保和外汇分担方案。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以C&amp;I光储或农业加工园区公用工程取得第一个可计量现金流项目。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将北部冲突州项目放入独立风险限额，只在多边付款、专业安保和社区协议到位后执行。</w:t>
      </w:r>
    </w:p>
    <w:p>
      <w:pPr>
        <w:pStyle w:val="Heading2"/>
      </w:pPr>
      <w:r>
        <w:t>关键风险登记表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450"/>
        <w:gridCol w:w="950"/>
        <w:gridCol w:w="950"/>
        <w:gridCol w:w="3550"/>
        <w:gridCol w:w="2460"/>
      </w:tblGrid>
      <w:tr>
        <w:trPr>
          <w:tblHeader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风险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概率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影响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控制措施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止损信号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奈拉与通胀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进口成本和回报侵蚀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本币融资、指数化和分批采购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调价条款被取消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政府与配电应收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现金流断裂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预付费、托管、担保和停供权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逾期超过约定阈值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安全与绑架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人员和工期风险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州级限制、路线管理和远程运维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风险等级升至不可保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监管回摆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费率和许可变化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情景条款、监管沟通、多客户组合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经济模型失去成本回收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州级执行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征地和配套延误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里程碑付款、先决条件和联合委员会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土地或共融资未落实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反腐与分包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取消资格和法律风险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透明招采、KYC、审计权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非正式付款成为前提</w:t>
            </w:r>
          </w:p>
        </w:tc>
      </w:tr>
    </w:tbl>
    <w:p>
      <w:pPr>
        <w:spacing w:before="0" w:after="40" w:line="240" w:lineRule="auto"/>
      </w:pPr>
    </w:p>
    <w:p>
      <w:pPr>
        <w:spacing w:before="80" w:after="160" w:line="283" w:lineRule="auto"/>
        <w:ind w:left="115" w:right="115"/>
        <w:shd w:fill="FFF4E5"/>
        <w:pBdr>
          <w:top w:val="single" w:sz="6" w:space="5" w:color="E8C77A"/>
          <w:left w:val="single" w:sz="6" w:space="5" w:color="E8C77A"/>
          <w:bottom w:val="single" w:sz="6" w:space="5" w:color="E8C77A"/>
          <w:right w:val="single" w:sz="6" w:space="5" w:color="E8C77A"/>
        </w:pBdr>
      </w:pPr>
      <w:r>
        <w:rPr>
          <w:rFonts w:ascii="Calibri" w:hAnsi="Calibri" w:eastAsia="Microsoft YaHei"/>
          <w:b/>
          <w:i w:val="0"/>
          <w:color w:val="9A6B16"/>
          <w:sz w:val="21"/>
        </w:rPr>
        <w:t>红线：</w:t>
      </w:r>
      <w:r>
        <w:rPr>
          <w:rFonts w:ascii="Calibri" w:hAnsi="Calibri" w:eastAsia="Microsoft YaHei"/>
          <w:b w:val="0"/>
          <w:i w:val="0"/>
          <w:color w:val="17202A"/>
          <w:sz w:val="21"/>
        </w:rPr>
        <w:t>不在无计量、无托管、无调价机制时提供长期能源融资；不把联邦政策承诺当作州级土地和许可；不在安全不可保或社区协议缺失时进入冲突区；不接受非正式“便利费”。</w:t>
      </w:r>
    </w:p>
    <w:p>
      <w:r>
        <w:br w:type="page"/>
      </w:r>
    </w:p>
    <w:p>
      <w:pPr>
        <w:pStyle w:val="Heading1"/>
      </w:pPr>
      <w:r>
        <w:t>8. 未来12—36个月监测仪表盘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2200"/>
        <w:gridCol w:w="3150"/>
        <w:gridCol w:w="3010"/>
        <w:gridCol w:w="100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监测项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基准状态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触发动作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频率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宏观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通胀、政策利率、奈拉与外储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每月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融资与定价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能源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DARES提款、授标、配电回款和费率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每月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能源投资节奏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农业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SAPZ、SPIN、粮价和州级配套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每月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项目漏斗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安全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索科托、东北部、中部冲突与绑架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每周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地域限额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政策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补贴、税务、进口和本地化规则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每月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商业模型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资本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本地养老金、担保和基础设施债发行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季度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奈拉资金来源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伙伴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受益所有人、政治关联、履约与诉讼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持续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白名单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90天行动计划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第1—20天：完成重点州、配电区和产业集群评分。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第21—35天：与REA、项目单位、两家银行及信用增级机构建立融资工作组。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第36—55天：选择能源和农业各一个样板项目，完成奈拉压力测试与安全审查。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第56—75天：提交DARES/SAPZ相关资格或市场咨询材料，锁定本地EPC和运维伙伴。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第76—90天：以签署托管、计量和调价条款为资本投入前置条件。</w:t>
      </w:r>
    </w:p>
    <w:p>
      <w:pPr/>
      <w:r>
        <w:rPr>
          <w:rFonts w:ascii="Calibri" w:hAnsi="Calibri" w:eastAsia="Microsoft YaHei"/>
          <w:b/>
          <w:i w:val="0"/>
          <w:color w:val="0B2545"/>
          <w:sz w:val="22"/>
        </w:rPr>
        <w:t>结论：</w:t>
      </w:r>
      <w:r>
        <w:rPr>
          <w:rFonts w:ascii="Calibri" w:hAnsi="Calibri" w:eastAsia="Microsoft YaHei"/>
          <w:b w:val="0"/>
          <w:i w:val="0"/>
          <w:color w:val="17202A"/>
          <w:sz w:val="22"/>
        </w:rPr>
        <w:t>尼日利亚不是单一的战后重建故事，而是安全分化背景下的改革与基础设施扩张。能源接入、配网、灌溉、农业加工和数字连接具备本批次最大的规模，但收益取决于州级筛选、奈拉融资和现金流治理。把国家规模转化为可投资项目的关键，是对地点、客户和回款进行精细拆分。</w:t>
      </w:r>
    </w:p>
    <w:p>
      <w:r>
        <w:br w:type="page"/>
      </w:r>
    </w:p>
    <w:p>
      <w:pPr>
        <w:pStyle w:val="Heading1"/>
      </w:pPr>
      <w:r>
        <w:t>资料来源与使用说明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以下来源优先采用政府、多边机构和公司原始公告。宏观预测、项目金额和制裁状态会变化；进入任何交易前，应重新核验招标文件、最终受益所有人、制裁清单、出口管制、税务和付款银行。</w:t>
      </w:r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[S1] AFRICOM：在尼日利亚打击ISIS行动（2025-12-25） — </w:t>
      </w:r>
      <w:hyperlink r:id="rId11">
        <w:r>
          <w:rPr>
            <w:color w:val="2E74B5"/>
            <w:u w:val="single"/>
            <w:rFonts w:ascii="Calibri" w:hAnsi="Calibri" w:eastAsia="Microsoft YaHei"/>
          </w:rPr>
          <w:t>africom.mil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S2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[S2] IMF：尼日利亚2025年第四条磋商任务结论 — </w:t>
      </w:r>
      <w:hyperlink r:id="rId12">
        <w:r>
          <w:rPr>
            <w:color w:val="2E74B5"/>
            <w:u w:val="single"/>
            <w:rFonts w:ascii="Calibri" w:hAnsi="Calibri" w:eastAsia="Microsoft YaHei"/>
          </w:rPr>
          <w:t>imf.org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S3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[S3] IMF：尼日利亚2026年国别报告 — </w:t>
      </w:r>
      <w:hyperlink r:id="rId13">
        <w:r>
          <w:rPr>
            <w:color w:val="2E74B5"/>
            <w:u w:val="single"/>
            <w:rFonts w:ascii="Calibri" w:hAnsi="Calibri" w:eastAsia="Microsoft YaHei"/>
          </w:rPr>
          <w:t>imf.org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S4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[S4] 世界银行：Nigeria Development Update 2026 — </w:t>
      </w:r>
      <w:hyperlink r:id="rId14">
        <w:r>
          <w:rPr>
            <w:color w:val="2E74B5"/>
            <w:u w:val="single"/>
            <w:rFonts w:ascii="Calibri" w:hAnsi="Calibri" w:eastAsia="Microsoft YaHei"/>
          </w:rPr>
          <w:t>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S5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[S5] 世界银行：尼日利亚新国别伙伴框架（2026-06-29） — </w:t>
      </w:r>
      <w:hyperlink r:id="rId15">
        <w:r>
          <w:rPr>
            <w:color w:val="2E74B5"/>
            <w:u w:val="single"/>
            <w:rFonts w:ascii="Calibri" w:hAnsi="Calibri" w:eastAsia="Microsoft YaHei"/>
          </w:rPr>
          <w:t>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S6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[S6] 世界银行：DARES清洁能源项目（2023-12-15） — </w:t>
      </w:r>
      <w:hyperlink r:id="rId16">
        <w:r>
          <w:rPr>
            <w:color w:val="2E74B5"/>
            <w:u w:val="single"/>
            <w:rFonts w:ascii="Calibri" w:hAnsi="Calibri" w:eastAsia="Microsoft YaHei"/>
          </w:rPr>
          <w:t>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S7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[S7] 世界银行：DARES实施进展文件（2026-03） — </w:t>
      </w:r>
      <w:hyperlink r:id="rId17">
        <w:r>
          <w:rPr>
            <w:color w:val="2E74B5"/>
            <w:u w:val="single"/>
            <w:rFonts w:ascii="Calibri" w:hAnsi="Calibri" w:eastAsia="Microsoft YaHei"/>
          </w:rPr>
          <w:t>documents1.worldbank.org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S8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[S8] 世界银行：HOPE与SPIN共15.7亿美元融资 — </w:t>
      </w:r>
      <w:hyperlink r:id="rId18">
        <w:r>
          <w:rPr>
            <w:color w:val="2E74B5"/>
            <w:u w:val="single"/>
            <w:rFonts w:ascii="Calibri" w:hAnsi="Calibri" w:eastAsia="Microsoft YaHei"/>
          </w:rPr>
          <w:t>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S9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[S9] 世界银行：SPIN水电与灌溉市场咨询 — </w:t>
      </w:r>
      <w:hyperlink r:id="rId19">
        <w:r>
          <w:rPr>
            <w:color w:val="2E74B5"/>
            <w:u w:val="single"/>
            <w:rFonts w:ascii="Calibri" w:hAnsi="Calibri" w:eastAsia="Microsoft YaHei"/>
          </w:rPr>
          <w:t>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S10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[S10] 非洲开发银行：SAPZ二期项目地图 — </w:t>
      </w:r>
      <w:hyperlink r:id="rId20">
        <w:r>
          <w:rPr>
            <w:color w:val="2E74B5"/>
            <w:u w:val="single"/>
            <w:rFonts w:ascii="Calibri" w:hAnsi="Calibri" w:eastAsia="Microsoft YaHei"/>
          </w:rPr>
          <w:t>mapafrica.afdb.org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S11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[S11] 非洲开发银行：SAPZ一期进入施工 — </w:t>
      </w:r>
      <w:hyperlink r:id="rId21">
        <w:r>
          <w:rPr>
            <w:color w:val="2E74B5"/>
            <w:u w:val="single"/>
            <w:rFonts w:ascii="Calibri" w:hAnsi="Calibri" w:eastAsia="Microsoft YaHei"/>
          </w:rPr>
          <w:t>afdb.org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S12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[S12] 非洲开发银行：农业增长支持计划2亿美元融资 — </w:t>
      </w:r>
      <w:hyperlink r:id="rId22">
        <w:r>
          <w:rPr>
            <w:color w:val="2E74B5"/>
            <w:u w:val="single"/>
            <w:rFonts w:ascii="Calibri" w:hAnsi="Calibri" w:eastAsia="Microsoft YaHei"/>
          </w:rPr>
          <w:t>afdb.org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S13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[S13] 世界银行：农村通达与农业营销项目 — </w:t>
      </w:r>
      <w:hyperlink r:id="rId23">
        <w:r>
          <w:rPr>
            <w:color w:val="2E74B5"/>
            <w:u w:val="single"/>
            <w:rFonts w:ascii="Calibri" w:hAnsi="Calibri" w:eastAsia="Microsoft YaHei"/>
          </w:rPr>
          <w:t>worldbank.org</w:t>
        </w:r>
      </w:hyperlink>
    </w:p>
    <w:p>
      <w:pPr>
        <w:pStyle w:val="Heading2"/>
      </w:pPr>
      <w:r>
        <w:t>免责声明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本报告为专题研究底稿，不构成证券研究评级、法律意见、制裁许可判断、投标承诺或投资建议。涉及冲突地区的人员安全、人权尽调、反腐败、反洗钱、出口管制和战争险，应由具备相关资质的专业团队独立审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Calibri" w:hAnsi="Calibri" w:eastAsia="Microsoft YaHei"/>
        <w:b w:val="0"/>
        <w:i w:val="0"/>
        <w:color w:val="667085"/>
        <w:sz w:val="16"/>
      </w:rPr>
      <w:t xml:space="preserve">战后重建专题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1" w:color="D8DEE8"/>
      </w:pBdr>
    </w:pPr>
    <w:r>
      <w:rPr>
        <w:rFonts w:ascii="Calibri" w:hAnsi="Calibri" w:eastAsia="Microsoft YaHei"/>
        <w:b/>
        <w:i w:val="0"/>
        <w:color w:val="667085"/>
        <w:sz w:val="17"/>
      </w:rPr>
      <w:t>尼日利亚｜战后重建与产业机会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269"/>
        </w:tabs>
        <w:ind w:left="540" w:hanging="271"/>
      </w:pPr>
      <w:rPr>
        <w:rFonts w:ascii="Arial" w:hAnsi="Arial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269"/>
        </w:tabs>
        <w:ind w:left="540" w:hanging="271"/>
      </w:pPr>
    </w:lvl>
  </w:abstractNum>
  <w:num w:numId="11">
    <w:abstractNumId w:val="1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africom.mil/pressrelease/36158/us-africa-command-conducts-strike-against-isis-in-nigeria" TargetMode="External"/><Relationship Id="rId12" Type="http://schemas.openxmlformats.org/officeDocument/2006/relationships/hyperlink" Target="https://www.imf.org/en/news/articles/2025/07/01/pr-25231-nigeria-imf-staff-completes-2025-article-iv-mission" TargetMode="External"/><Relationship Id="rId13" Type="http://schemas.openxmlformats.org/officeDocument/2006/relationships/hyperlink" Target="https://www.imf.org/-/media/files/publications/cr/2026/english/1ngaea2026001.pdf" TargetMode="External"/><Relationship Id="rId14" Type="http://schemas.openxmlformats.org/officeDocument/2006/relationships/hyperlink" Target="https://www.worldbank.org/en/country/nigeria/publication/nigeria-development-update-ndu" TargetMode="External"/><Relationship Id="rId15" Type="http://schemas.openxmlformats.org/officeDocument/2006/relationships/hyperlink" Target="https://www.worldbank.org/en/news/press-release/2026/06/29/new-country-partnership-framework-for-nigeria-and-financing-to-accelerate-investment-and-job-creation" TargetMode="External"/><Relationship Id="rId16" Type="http://schemas.openxmlformats.org/officeDocument/2006/relationships/hyperlink" Target="https://www.worldbank.org/en/news/press-release/2023/12/15/nigeria-to-expand-access-to-clean-energy-for-17-5-million-people" TargetMode="External"/><Relationship Id="rId17" Type="http://schemas.openxmlformats.org/officeDocument/2006/relationships/hyperlink" Target="https://documents1.worldbank.org/curated/en/099032426141528151/pdf/P179687-0d8efbe7-7adc-443a-926a-0a3ebfb9914d.pdf" TargetMode="External"/><Relationship Id="rId18" Type="http://schemas.openxmlformats.org/officeDocument/2006/relationships/hyperlink" Target="https://www.worldbank.org/en/news/press-release/2024/09/26/world-bank-approves-new-financing-for-nigeria-to-improve-health-outcomes-safety-of-dams-and-irrigation-services" TargetMode="External"/><Relationship Id="rId19" Type="http://schemas.openxmlformats.org/officeDocument/2006/relationships/hyperlink" Target="https://www.worldbank.org/en/events/2025/11/25/invitation-to-eme-for-hydropower-master-plan-and-sesa-on-sustainable-power-and-irrig" TargetMode="External"/><Relationship Id="rId20" Type="http://schemas.openxmlformats.org/officeDocument/2006/relationships/hyperlink" Target="https://mapafrica.afdb.org/en/projects/46002-P-NG-AAG-011" TargetMode="External"/><Relationship Id="rId21" Type="http://schemas.openxmlformats.org/officeDocument/2006/relationships/hyperlink" Target="https://www.afdb.org/en/news-and-events/press-releases/nigerias-agro-revolution-construction-special-agro-industrial-processing-zones-sapz-begins-82556" TargetMode="External"/><Relationship Id="rId22" Type="http://schemas.openxmlformats.org/officeDocument/2006/relationships/hyperlink" Target="https://www.afdb.org/en/news-and-events/press-releases/nigeria-african-development-bank-group-approves-200-million-boost-agricultural-production-and-reduce-food-imports-90885" TargetMode="External"/><Relationship Id="rId23" Type="http://schemas.openxmlformats.org/officeDocument/2006/relationships/hyperlink" Target="https://www.worldbank.org/en/news/loans-credits/2020/02/18/nigeria-rural-access-and-agricultural-marketing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尼日利亚：战后重建与产业机会</dc:title>
  <dc:subject>战后重建专题</dc:subject>
  <dc:creator>Codex research workflow</dc:creator>
  <cp:keywords>战后重建, 美国参与, 产业机会, 项目管线, 风险</cp:keywords>
  <dc:description>资料截止2026年7月24日; preset=compact_reference_guide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