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D09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巴基斯坦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安全与气候双重重建：洪灾住房、交通电网和关键矿产形成分层机会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巴基斯坦的重建需求由三条主线构成：西北部长期反恐与边境安全、2022年洪灾后的住房和基础设施恢复、以及全国电网与产业升级。美国的直接军事参与主要是历史上的无人机与反恐合作，当前商业机会则更多由IMF稳定计划、世界银行/ADB项目和Reko Diq矿业融资驱动。[S1][S3][S4][S11]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IMF项目改善宏观稳定并支持约3.6%的FY2026增长，但税收、能源债务、外汇和政治风险仍限制私人投资。[S1]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信德省洪灾住房和基础设施恢复是最可量化的重建管线，累计资金规模大、社区交付记录明确。[S4][S5][S6]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开伯尔-普赫图赫瓦省道路、旁遮普农业卫生教育和全国电网升级形成多区域采购机会。[S7][S8][S9]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Reko Diq可形成矿山、供电、水、道路、营地和物流的超级项目生态，但融资、环境社会许可与进度仍须逐项核验。[S11][S12][S13]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对国际公司而言，进入顺序应是多边采购和头部项目供应链，其次才是裸露的主权或本地企业信用。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美国参与关联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历史无人机、反恐、训练与阿富汗后勤合作显著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[S3]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重建需求强度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洪灾、气候、交通、住房和冲突区恢复需求叠加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[S4][S6]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资金可见度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世界银行、ADB、AIIB及矿业融资管线清晰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[S5][S7][S11]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工业与承包能力较成熟，宏观和政策风险较高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12—36个月机会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住房、道路、电网和矿业供应链均处实施或采购阶段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综合判断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2001—2018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反恐合作、无人机行动和阿富汗后勤通道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西北部安全与基础设施反复受冲击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[S3]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2019—2021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宏观调整与能源债务治理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基础设施融资依赖多边和中资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持续改革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2022—2024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特大洪灾后重建启动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住房、道路、灌溉、卫生和生计形成大规模项目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[S4][S6]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2025—2026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IMF审查推进；ADB道路电网与Reko Diq融资深化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宏观稳定改善，资本项目加速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[S1][S7][S11]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未来触发点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洪灾项目完工、矿山融资关闭、能源改革兑现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建材、设备与物流需求上升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按季度验证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联邦与省级政府在土地、农业、卫生、教育和地方基础设施方面分工明显，项目应按省建立审批和利益相关方图谱。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美国关系同时包含安全合作、制裁/出口管制关注和发展融资讨论；历史参与不能自动外推为当前项目支持。[S3][S13]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IMF稳定计划对税收、能源、国企和汇率政策形成约束，是宏观可融资性的重要锚，但改革执行仍受政治周期影响。[S1]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俾路支省和开伯尔-普赫图赫瓦省项目需进行地点级安全、社区和人员保护审查；矿业项目还须核验省联邦权利、土地水资源、环境社会承诺和融资先决条件。军民两用与敏感技术必须单独处理出口合规。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FY2026基准约3.6%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稳定计划和基数效应支持恢复。[S1]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FY2026基准约7.2%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较危机期回落，但能源与食品仍敏感。[S1]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储备改善但外部融资依赖高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进口设备和利润汇回仍需情景管理。[S1]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财政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税基窄、利息和能源负担重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政府项目应依赖多边专户或担保。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循环债务和输配损耗长期存在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电网、计量和可再生能源同时有需求与信用风险。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投资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洪灾恢复与矿业资本开支形成局部高景气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省级与项目级分化明显。[S4][S12]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当前阶段：洪灾后重建已从紧急援助进入住房、道路、公共设施和生计恢复；全国层面处于宏观稳定与资本项目再启动。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投资含义：世界银行/ADB项目可提供近期订单，Reko Diq等资源项目提供中长期设备和基础设施需求。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政治周期、税收和能源改革不确定性影响长期资本成本。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外汇和进口管制在压力期可能延误设备、备件和汇回。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西部与西北部安全风险显著，人员和物流成本高。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土地、征收、水资源和社区利益分配可成为大型项目瓶颈。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韧性住房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洪灾毁损住房规模大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SFEHRP及追加融资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道路与桥梁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洪灾和冲突损伤连接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信德、KP及全国道路项目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灌溉与农业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水资源效率低、气候风险高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省级农业现代化与灌溉项目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输电与配网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瓶颈、损耗和新能源消纳不足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ADB输电升级项目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卫生教育设施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灾区和农村服务不足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旁遮普及省级公共服务项目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矿业基础设施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关键矿产开发需要大规模配套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Reko Diq一期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绿色城市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排水、固废、公交和能效不足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ADB/AIIB绿色基础设施工具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跨境物流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地理位置重要但安全和政策复杂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矿业、港口和区域走廊项目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洪灾住房和道路项目提供近期、分散、劳动密集型订单；矿业和电网提供中长期、高技术和资本密集机会。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本地承包与制造能力较强，国际企业应聚焦融资、工程管理、专业设备、数字化和质量控制。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省级执行能力差异大，信德、旁遮普、KP和俾路支应作为四个独立市场管理。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Sindh Flood Emergency Housing Reconstruction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原5亿美元+追加4.5亿美元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持续实施，已大规模开工和完工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住房材料、质量检测、太阳能、水卫和数字管理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信德洪灾五项目组合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16.92亿美元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道路、灌溉、卫生、住房和生计恢复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工程、设备、监理与咨询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KP Rural Roads Development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3.2亿美元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2025年多个合同包授标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道路、桥梁、材料、监理和安全服务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旁遮普农业教育卫生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3.81亿美元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ADB批准融资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农业机械、设施、数字化和服务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输电系统强化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3.3亿美元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ADB项目管线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变电站、线路、保护控制与咨询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Reko Diq一期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约56亿—60亿美元资本开支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股东批准；融资与建设准备推进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EPCM、矿山设备、电力水务、物流和营地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分别跟踪世界银行STEP、ADB Consultant Management System/采购公告和项目实施单位网站。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洪灾项目将材料、施工质量、受益人验证和支付数字化打包，以减少分散交付的舞弊和返工。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矿业供应链应从Fluor EPCM和Barrick供应商资格切入，不以新闻中的融资意向替代正式采购或财务关闭。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外币设备合同设置进口许可、信用证、税费变化和汇率调整机制，并保留境外备件和培训方案。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近期公共重建依赖世界银行、ADB和AIIB等多边资金；矿业项目则可能由股东资本、出口信贷、开发金融和有限追索债务组成。DFC披露的拟议支持应在最终批准与签署前视为观察信号，而非可用资金承诺。[S10][S11][S13]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韧性住房与建材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洪灾重建规模大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材料供应、质量服务和小型承包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现在—4年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道路桥梁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洪灾恢复和区域连接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多边工程包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输变电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电网瓶颈和新能源消纳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设备、EPC和数字运维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灌溉农业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水效率和粮食安全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泵、滴灌、仓储和咨询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矿山设备与EPCM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Reko Diq超级项目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供应商、工程服务和设备融资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1—8年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矿区电力水务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偏远矿区刚性配套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IPP、管线、处理和运维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1—8年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数字公共服务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项目透明与普惠需求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身份、支付、GIS和监测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现在—4年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绿色城市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排水、固废和交通需求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担保型市政融资和技术服务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2—7年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核心仓：多边融资的洪灾住房、道路、灌溉和输变电。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成长仓：Reko Diq相关EPCM、设备、电力水务和物流供应链。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观察仓：无国际融资保障的省级PPP、敏感边境物流和仅依赖电力部门应收的资产。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Barrick Gold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铜金矿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Reko Diq运营方和项目主导者，是矿业供应链的核心需求锚。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Fluor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EPCM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已被披露承担Reko Diq EPCM工作，供应商应跟踪其资格和采购。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OGDCL / PPL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资源投资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作为巴方商业股东参与Reko Diq，项目治理与资本安排需跟踪。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Lucky Cement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建材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住房和基础设施需求敞口，具体项目份额未确认。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Maple Leaf Cement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建材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道路、住房和矿业建设带来需求弹性；受能源和利率影响。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Engro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工业与能源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具备化肥、能源和基础设施能力，可关注农业及公用工程合作。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Systems Limited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数字服务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适合公共项目数字化、金融和企业IT机会。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Meezan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伊斯兰金融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可作为本币供应链和设备融资伙伴观察。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Hitachi 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输变电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产品适配ADB电网项目；未确认具体中标。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Siemens 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电网与工业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可参与变电、控制和矿区能源系统，须以采购公告为准。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Caterpillar / Komatsu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矿山与工程机械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Reko Diq和道路建设形成设备与售后需求；未确认授标。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World Bank / IDA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灾后重建融资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信德洪灾住房和基础设施的主要资金锚。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Asian Development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交通电网融资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KP道路、旁遮普公共服务和输电项目的重要融资方。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本地承包商和建材企业在成本、劳动力和政府关系上具优势，国际企业应提供质量、融资和专业设备。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中巴经济走廊形成中资工程和设备的先发网络，西方企业在矿业治理、EPCM、环境社会和高端设备方面竞争。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多边项目重视价格和合规，矿业超级项目则更重安全、可靠性、供应链和全生命周期成本。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把信德洪灾、KP道路、旁遮普公共服务、全国电网和Reko Diq建立为五条独立机会管线。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完成世界银行、ADB、Fluor和Barrick供应商注册及本地税务/进口方案。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选定一项住房材料或道路设备的近期标包，以及一项矿业设备的中期资格预审。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与本地银行设计信用证、供应链金融和汇率对冲，避免未对冲卢比长期应收。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对俾路支和KP项目设独立安全委员会、人员限制和停止施工阈值。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政治与改革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税费、能源和项目延误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多边锚、稳定条款、情景预算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IMF项目严重偏离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外汇与进口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设备延误和利润汇回困难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信用证、境外备件、调价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进口许可或付款长期冻结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安全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高（部分地区）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人员和物流风险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地域限额、专业安保、远程支持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项目区风险不可保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洪灾与气候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资产损坏和工期变化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韧性标准、保险、季节计划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设计未覆盖最新洪水线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土地社区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停工和社会许可丧失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申诉机制、补偿审计、本地采购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社区协议破裂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融资与进度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超级项目推迟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分阶段投入、以正式授标为准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财务关闭反复延后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不把融资意向或董事会讨论当作已可提款资金；不在安全、土地、水资源和社区协议未落实时投入固定资产；不接受无法调价和无法汇回的长期外币设备合同。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宏观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IMF审查、储备、通胀和汇率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月/季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定价与融资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洪灾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住房完工、资金提款和新采购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近期订单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交通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ADB道路授标、征地和安全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施工计划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输电项目、循环债务和进口政策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设备机会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矿业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Reko Diq融资关闭、EPCM和供应商公告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中长期管线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KP、俾路支和边境事件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人员与地域限额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政策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税费、本地化和关键矿产规则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合同结构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第1—20天：建立五条机会管线及省级风险矩阵。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第21—35天：完成多边、Fluor和Barrick供应商预注册。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第36—50天：筛选本地建材、EPC、物流和银行伙伴并完成尽调。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第51—70天：提交至少一项灾后重建投标和一项矿业资格材料。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第71—90天：完成外汇、安全和社区压力测试，以正式订单决定人员和库存。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巴基斯坦同时提供“近期分散型重建”和“中长期超级项目”两种机会。世界银行与ADB项目适合快速建立合规交付记录，Reko Diq则可能重塑矿业、能源、水务和物流需求。企业需把宏观稳定、地区安全和项目融资分开判断，避免被国家级叙事掩盖交易级风险。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[S1] IMF：巴基斯坦EFF第三次审查（2026-05-14）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[S2] 世界银行：巴基斯坦十年国别伙伴框架（2025-01-27）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[S3] 美国国会研究处：Pakistan and U.S.-Pakistan Relations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[S4] 世界银行：南亚灾后韧性成果（2025-06-23）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[S5] 世界银行：信德洪灾住房追加4.5亿美元融资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[S6] 世界银行：信德洪灾五项目16.92亿美元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[S7] ADB：KP Rural Roads Development Project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[S8] ADB：旁遮普农业、教育和卫生3.81亿美元融资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[S9] ADB：巴基斯坦输电强化项目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[S10] ADB：可持续绿色基础设施融资工具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[S11] ADB：Reko Diq铜矿融资批准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[S12] Barrick：Reko Diq股东批准及项目安排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barrick.com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[S13] DFC：2025年9月董事会会议通知（拟议融资） —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dfc.gov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巴基斯坦｜战后重建与产业机会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mf.org/en/publications/cr/issues/2026/05/14/pakistan-third-review-under-the-extended-arrangement-under-the-extended-fund-facility-and-576098" TargetMode="External"/><Relationship Id="rId12" Type="http://schemas.openxmlformats.org/officeDocument/2006/relationships/hyperlink" Target="https://www.worldbank.org/en/news/press-release/2025/01/27/world-bank-vice-president-visits-pakistan-launches-new-10-year-country-partnership-framework" TargetMode="External"/><Relationship Id="rId13" Type="http://schemas.openxmlformats.org/officeDocument/2006/relationships/hyperlink" Target="https://www.congress.gov/crs-product/R47565" TargetMode="External"/><Relationship Id="rId14" Type="http://schemas.openxmlformats.org/officeDocument/2006/relationships/hyperlink" Target="https://www.worldbank.org/en/results/2025/06/23/building-resilience-uplifting-communities-in-south-asia" TargetMode="External"/><Relationship Id="rId15" Type="http://schemas.openxmlformats.org/officeDocument/2006/relationships/hyperlink" Target="https://www.worldbank.org/en/news/press-release/2024/12/20/pakistan-world-bank-approves-450-million-additional-financing-to-further-support-resilient-reconstruction-in-response-to" TargetMode="External"/><Relationship Id="rId16" Type="http://schemas.openxmlformats.org/officeDocument/2006/relationships/hyperlink" Target="https://www.worldbank.org/en/news/press-release/2022/12/19/pakistan-world-bank-approves-1-692-billion-for-5-projects-to-support-the-people-of-sindh-in-the-flood-affected-areas" TargetMode="External"/><Relationship Id="rId17" Type="http://schemas.openxmlformats.org/officeDocument/2006/relationships/hyperlink" Target="https://www.adb.org/projects/54048-001/main" TargetMode="External"/><Relationship Id="rId18" Type="http://schemas.openxmlformats.org/officeDocument/2006/relationships/hyperlink" Target="https://www.adb.org/news/adb-approves-381-million-financing-modernize-agriculture-education-and-health-services-punjab" TargetMode="External"/><Relationship Id="rId19" Type="http://schemas.openxmlformats.org/officeDocument/2006/relationships/hyperlink" Target="https://www.adb.org/projects/59002-001/main" TargetMode="External"/><Relationship Id="rId20" Type="http://schemas.openxmlformats.org/officeDocument/2006/relationships/hyperlink" Target="https://www.adb.org/projects/57223-002/main" TargetMode="External"/><Relationship Id="rId21" Type="http://schemas.openxmlformats.org/officeDocument/2006/relationships/hyperlink" Target="https://www.adb.org/news/adb-approves-financing-transformative-reko-diq-copper-mining-project-pakistan" TargetMode="External"/><Relationship Id="rId22" Type="http://schemas.openxmlformats.org/officeDocument/2006/relationships/hyperlink" Target="https://www.barrick.com/English/news/news-details/2025/reko-diq-JV-shareholders-approve-project/default.aspx" TargetMode="External"/><Relationship Id="rId23" Type="http://schemas.openxmlformats.org/officeDocument/2006/relationships/hyperlink" Target="https://www.dfc.gov/sites/default/files/media/documents/2025.09.04%20-%20DFC%20Board%20Meeting%20Noti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巴基斯坦：战后重建与产业机会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