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i w:val="0"/>
          <w:color w:val="9A6B16"/>
          <w:sz w:val="22"/>
        </w:rPr>
        <w:t>D10  战后重建国家专题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0B2545"/>
          <w:sz w:val="60"/>
        </w:rPr>
        <w:t>菲律宾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i w:val="0"/>
          <w:color w:val="1F4D78"/>
          <w:sz w:val="30"/>
        </w:rPr>
        <w:t>经济建设、重建资金与全球产业机会</w:t>
      </w:r>
    </w:p>
    <w:p>
      <w:pPr>
        <w:spacing w:after="560"/>
        <w:jc w:val="center"/>
      </w:pPr>
      <w:r>
        <w:rPr>
          <w:rFonts w:ascii="Calibri" w:hAnsi="Calibri" w:eastAsia="Microsoft YaHei"/>
          <w:b w:val="0"/>
          <w:i/>
          <w:color w:val="667085"/>
          <w:sz w:val="21"/>
        </w:rPr>
        <w:t>从马拉维恢复到棉兰老增长走廊：交通、农业、住房和数字金融形成区域性机会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i w:val="0"/>
          <w:color w:val="0B2545"/>
          <w:sz w:val="22"/>
        </w:rPr>
        <w:t>资料截止：2026年7月24日</w:t>
      </w:r>
    </w:p>
    <w:p>
      <w:pPr>
        <w:spacing w:after="12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设计体系：compact_reference_guide｜证据分级：A 已确认 / B 官方管线 / C 能力匹配</w:t>
      </w:r>
    </w:p>
    <w:p>
      <w:pPr>
        <w:spacing w:before="900" w:after="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研究用途：跨国产业扫描、项目获取与风险监测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一句话判断：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菲律宾全国宏观基本面稳健，真正的“战后重建”集中在马拉维及更广泛的棉兰老和平与发展进程。美国自2002年以来提供特种部队顾问、情报监视侦察和非战斗反恐支持，并在2017年马拉维战役中支援菲律宾政府；商业机会主要来自住房与城市服务、棉兰老交通走廊、农业价值链、可再生能源和普惠金融。[S1][S2][S5][S9]</w:t>
      </w:r>
    </w:p>
    <w:p>
      <w:pPr>
        <w:pStyle w:val="Heading2"/>
      </w:pPr>
      <w:r>
        <w:t>五项核心判断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全国增长与通胀环境优于本批次其他国家，项目融资和本地企业合作条件较成熟。[S3][S4]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马拉维核心恢复已从大规模重建转向补偿、永久住房、供水、照明和生计服务的收尾与深化阶段。[S5][S6][S8]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棉兰老道路、港口连接与农业项目的规模远大于单一马拉维市区，构成真正的中期商业市场。[S9][S10][S12]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BARMM制度建设与正常化进程创造社区基础设施、农业和数字服务需求，但采购和执行能力仍需项目级审查。[S14]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机会不应被表述为美国援建红利；美国安全合作提供背景，资金和采购则主要来自菲律宾政府、ADB、世界银行和私营资本。</w:t>
      </w:r>
    </w:p>
    <w:p>
      <w:pPr>
        <w:pStyle w:val="Heading2"/>
      </w:pPr>
      <w:r>
        <w:t>市场进入评分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500"/>
        <w:gridCol w:w="2100"/>
        <w:gridCol w:w="1000"/>
        <w:gridCol w:w="47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维度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当前判断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评分/5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含义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美国参与关联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4/5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长期顾问与ISR支持；马拉维期间提供非战斗支援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[S1][S2]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重建需求强度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3/5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需求集中在马拉维与BARMM，而非全国战后状态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[S5][S7]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资金可见度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5/5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ADB、世界银行和政府项目规模清晰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[S9][S10][S12]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商业可进入性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5/5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成熟企业、银行与PPP生态，规则相对可预期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[S3][S13]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12—36个月机会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5/5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交通、农业和区域公共服务项目已在实施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综合判断</w:t>
            </w:r>
          </w:p>
        </w:tc>
      </w:tr>
    </w:tbl>
    <w:p>
      <w:pPr>
        <w:spacing w:before="0" w:after="40" w:line="240" w:lineRule="auto"/>
      </w:pP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阅读口径：本报告把“国家存在巨大重建需求”与“企业今天可以签约、收款、退出”严格分开。A/B/C等级只描述证据成熟度，不等同于信用评级或投资建议。</w:t>
      </w:r>
    </w:p>
    <w:p>
      <w:r>
        <w:br w:type="page"/>
      </w:r>
    </w:p>
    <w:p>
      <w:pPr>
        <w:pStyle w:val="Heading1"/>
      </w:pPr>
      <w:r>
        <w:t>1. 战争轨迹、美国角色与当前权力结构</w:t>
      </w:r>
    </w:p>
    <w:p>
      <w:pPr>
        <w:pStyle w:val="Heading2"/>
      </w:pPr>
      <w:r>
        <w:t>关键时间线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250"/>
        <w:gridCol w:w="2750"/>
        <w:gridCol w:w="2500"/>
        <w:gridCol w:w="2860"/>
      </w:tblGrid>
      <w:tr>
        <w:trPr>
          <w:tblHeader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时期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事件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美国参与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对重建格局的影响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2002—2016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美菲反恐合作与JSOTF-P/OPE-P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棉兰老安全能力和发展项目并行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[S1][S2]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2017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马拉维战役造成大规模破坏和流离失所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住房、道路、公共设施和补偿需求形成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[S2][S5]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2019—2024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BARMM建立、恢复项目推进、补偿法实施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重建从工程转向治理和生计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[S5]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2025—2026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住房与补偿继续；棉兰老交通和农业项目扩容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区域市场进入实施深化期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[S6][S8][S10][S12]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未来触发点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和平正常化、土地和补偿结案、走廊项目完工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投资从恢复转向产业和旅游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按半年验证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当前政治与安全结构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菲律宾为统一国家，但BARMM拥有特殊自治安排；中央部门、BARMM、地方政府和社区传统权利需共同纳入项目治理。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美国参与属于联盟与反恐安全合作，当前重点也包含海上安全；它不等于马拉维项目由美国支付。[S1][S2]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补偿、土地权属、非正式居民和流离失所者安置具有高度社会敏感性，住房项目不能只按工程逻辑执行。[S5][S8]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商业边界：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马拉维和BARMM项目必须完成土地权属、受益人、社区同意、文化遗产和安全审查。涉及前战斗人员社区的项目应通过正式正常化与发展机制执行，不直接与非国家武装主体订约。[S14]</w:t>
      </w:r>
    </w:p>
    <w:p>
      <w:r>
        <w:br w:type="page"/>
      </w:r>
    </w:p>
    <w:p>
      <w:pPr>
        <w:pStyle w:val="Heading1"/>
      </w:pPr>
      <w:r>
        <w:t>2. 宏观经济、财政与重建约束</w:t>
      </w:r>
    </w:p>
    <w:p>
      <w:pPr>
        <w:pStyle w:val="Heading2"/>
      </w:pPr>
      <w:r>
        <w:t>最新宏观快照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指标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最新读数/判断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研究含义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实际增长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2025年约5.1%；2026年约5.3%—5.6%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内需与投资支撑区域项目。[S3][S4]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通胀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总体低且可控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为长期本币融资提供相对有利环境。[S3]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财政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公共投资空间较脆弱国家更强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大型项目仍重视PPP和多边融资。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金融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银行体系和资本市场较成熟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本币贷款、项目融资和数字支付可组合。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地区差异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棉兰老收入与基础设施落后于核心都市圈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区域项目的社会回报与执行难度并存。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灾害风险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台风、洪水、地震和火山风险高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所有重建资产必须采用韧性标准。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经济建设阶段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当前阶段：马拉维进入补偿、永久住房和公共服务完善；棉兰老整体进入交通、农业和产业走廊建设。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投资含义：短期以政府和多边采购为主，中期可通过农业加工、物流、能源和数字金融形成商业现金流。</w:t>
      </w:r>
    </w:p>
    <w:p>
      <w:pPr>
        <w:pStyle w:val="Heading2"/>
      </w:pPr>
      <w:r>
        <w:t>主要约束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土地和补偿争议可能延缓马拉维与BARMM项目。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地方政府和BARMM执行能力不均，采购周期可能拉长。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偏远岛屿和冲突敏感地区物流、安保与运维成本高。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极端天气与地震风险要求更高设计标准和保险成本。</w:t>
      </w:r>
    </w:p>
    <w:p>
      <w:r>
        <w:br w:type="page"/>
      </w:r>
    </w:p>
    <w:p>
      <w:pPr>
        <w:pStyle w:val="Heading1"/>
      </w:pPr>
      <w:r>
        <w:t>3. 破坏、重建需求与12—36个月催化剂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3200"/>
        <w:gridCol w:w="3370"/>
        <w:gridCol w:w="134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板块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现状/缺口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12—36个月催化剂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机会等级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永久住房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部分流离失所家庭仍需安置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BARMM住房与补偿项目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供水照明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新社区需完整城市服务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储水、太阳能路灯和道路配套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区域道路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内陆到港口和市场连接不足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Mindanao Road Sector Project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农业价值链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小农生产率与市场连接不足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MIADP、PSAT、TASAT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冷链与清真加工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渔业、农产和穆斯林市场潜力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园区、认证、仓储和物流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分布式能源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偏远社区和产业用能需求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光储、微网和配电升级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数字金融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偏远地区普惠和补偿支付需求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身份、支付、信贷和项目监测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旅游与文化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和平红利与历史文化资源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安全、土地和服务成熟后开发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B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优先级解读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马拉维工程收尾规模有限，但棉兰老交通和农业转型把机会扩展到区域级市场。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本地大型集团可以提供资本、施工、物流和客户基础，国际公司应带来专业技术、标准和融资。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住房、补偿和正常化项目必须以社会许可和受益人准确性为先，不能只追求交付速度。</w:t>
      </w:r>
    </w:p>
    <w:p>
      <w:r>
        <w:br w:type="page"/>
      </w:r>
    </w:p>
    <w:p>
      <w:pPr>
        <w:pStyle w:val="Heading1"/>
      </w:pPr>
      <w:r>
        <w:t>4. 资金来源、采购机制与项目管线</w:t>
      </w:r>
    </w:p>
    <w:p>
      <w:pPr>
        <w:pStyle w:val="Heading2"/>
      </w:pPr>
      <w:r>
        <w:t>可见资金池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000"/>
        <w:gridCol w:w="1250"/>
        <w:gridCol w:w="1500"/>
        <w:gridCol w:w="3510"/>
        <w:gridCol w:w="110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资金/项目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规模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状态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企业切入点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BARMM马拉维永久住房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小批次持续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2026年交付50套含太阳能、水和道路配套住房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模块化住房、太阳能、水务和社区设施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马拉维补偿计划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已批准约22.98亿比索索赔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持续支付与结案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数字支付、估值、审计和申诉管理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Mindanao Road Sector Project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ADB大型交通项目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约280公里道路建设及后续设计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道路桥梁、监理、材料与数字管理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Mindanao Transport Connectivity Improvement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约4.5494亿美元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2025年批准并处于活动状态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道路、桥梁、韧性设计和咨询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MIADP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1亿美元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面向约12万原住民农渔户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农业基础设施、生产、冷链和市场连接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PSAT / TASAT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10亿美元+2,450万美元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2026年启动农业转型项目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仓储、物流、灌溉、数字农业和企业服务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采购与收款路径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同时跟踪菲律宾政府PhilGEPS、ADB采购、世界银行项目采购计划及BARMM项目公告。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道路和农业项目优先与有棉兰老施工、社区和物流经验的本地企业组队。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住房和补偿项目应将土地、受益人验证、申诉和第三方监测纳入交付范围。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将灾害韧性、维护预算和本地技术员培训写入技术方案，避免建成后运营失效。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资金判断：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资金结构比其他高风险国家更完整：中央和地方预算、多边贷款、商业银行、PPP和企业资产负债表均可参与。马拉维与正常化项目仍以公共和发展资金为主；交通、农业加工、能源和物流可逐步引入商业资本。[S9][S10][S12]</w:t>
      </w:r>
    </w:p>
    <w:p>
      <w:r>
        <w:br w:type="page"/>
      </w:r>
    </w:p>
    <w:p>
      <w:pPr>
        <w:pStyle w:val="Heading1"/>
      </w:pPr>
      <w:r>
        <w:t>5. 全球产业机会排序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3340"/>
        <w:gridCol w:w="2050"/>
        <w:gridCol w:w="1400"/>
        <w:gridCol w:w="112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产业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机会逻辑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建议模式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时点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道路桥梁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区域连接和灾害韧性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ADB/世行工程包与PPP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现在—6年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农业加工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大规模农业转型资金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锚定企业+小农供应链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现在—7年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冷链物流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岛屿地理和高损耗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仓储、运输、园区和租赁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1—6年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清真食品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BARMM市场和出口潜力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认证、加工、包装和追溯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1—6年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光伏微网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偏远社区与产业用能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PPA、EPC和能源服务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现在—5年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住房城市服务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安置和社区完善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模块化建设+水光储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现在—3年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数字支付与身份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补偿、普惠和项目透明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SaaS、金融合作和数据服务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现在—4年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文化旅游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和平与马拉维文化资源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酒店、目的地和中小企业服务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条件触发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组合建议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核心仓：棉兰老道路、农业转型、冷链物流和分布式能源。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社会影响仓：马拉维住房、水照明、补偿数字化和BARMM社区项目。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观察仓：土地未解决的房地产、大型旅游和缺少长期购电协议的偏远能源项目。</w:t>
      </w:r>
    </w:p>
    <w:p>
      <w:r>
        <w:br w:type="page"/>
      </w:r>
    </w:p>
    <w:p>
      <w:pPr>
        <w:pStyle w:val="Heading1"/>
      </w:pPr>
      <w:r>
        <w:t>6. 公司与竞争格局：谁已进入，谁在候选池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证据定义：A＝已确认合同、特许权、在建项目或正式采购；B＝官方预算、采购计划、市场接洽或MoU，尚未证明形成可确认收入；C＝仅依据能力与区域足迹推断，必须等待招标和合规条件。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050"/>
        <w:gridCol w:w="1800"/>
        <w:gridCol w:w="1500"/>
        <w:gridCol w:w="3890"/>
        <w:gridCol w:w="1120"/>
      </w:tblGrid>
      <w:tr>
        <w:trPr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区域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公司/机构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板块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观察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San Miguel Corporation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基础设施与物流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全国大型基建和食品业务提供产业协同，具体棉兰老项目需逐项核验。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Aboitiz Equity Ventures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能源与基础设施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在电力、食品和基础设施具有能力，可关注棉兰老产业链。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ACEN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可再生能源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具备可再生能源开发能力，偏远微网需通过项目级合作进入。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Ayala Land / Ayala Corp.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地产与数字服务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城市开发和金融科技能力可服务长期和平红利，非已确认马拉维订单。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Metro Pacific Investments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基础设施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交通、水务和能源运营经验适配PPP机会。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PLDT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通信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棉兰老宽带和企业数字化需求敞口。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Globe Telecom / GCash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通信与金融科技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数字支付和普惠场景清晰，需满足数据和消费者保护。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承包商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China Wuyi / Vicente Lao JV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道路施工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ADB项目资料列示的棉兰老道路合同参与方。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顾问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Oriental Consultants Global JV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工程咨询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ADB项目资料列示的咨询参与方。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顾问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Eptisa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工程咨询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棉兰老道路项目资料列示参与方。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Microgenesis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数字与项目系统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ADB项目资料列示的项目支持参与方。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多边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Asian Development Bank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交通与农业融资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棉兰老道路和农业企业项目的核心融资方。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多边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World Bank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交通农业融资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Mindanao交通、MIADP与农业转型项目的重要资金锚。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竞争策略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菲律宾本地大型集团拥有融资、许可和运营优势，国际企业通常需要通过联合体、专业分包或技术合作进入。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日韩、中资、欧美及本地承包商在交通和能源项目中竞争，多边采购强调技术、价格、环境社会和履约历史。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棉兰老项目的差异化来自社区进入、灾害韧性、本地维护和清真/原住民标准，而非简单复制吕宋项目。</w:t>
      </w:r>
    </w:p>
    <w:p>
      <w:r>
        <w:br w:type="page"/>
      </w:r>
    </w:p>
    <w:p>
      <w:pPr>
        <w:pStyle w:val="Heading1"/>
      </w:pPr>
      <w:r>
        <w:t>7. 进入模式、风险边界与止损条件</w:t>
      </w:r>
    </w:p>
    <w:p>
      <w:pPr>
        <w:pStyle w:val="Heading2"/>
      </w:pPr>
      <w:r>
        <w:t>建议进入顺序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建立马拉维/BARMM、棉兰老交通、农业价值链和能源数字四条机会管线。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完成PhilGEPS、ADB和世界银行供应商注册，跟踪项目采购计划与资格预审。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选择一家棉兰老本地承包商和一家农业/物流锚定企业，完成反腐、土地和社区尽调。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推出“冷链+光储+数字追溯”或“住房+水+太阳能”组合式样板。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在土地、受益人和维护预算未书面落实时，不承诺不可逆资本开支。</w:t>
      </w:r>
    </w:p>
    <w:p>
      <w:pPr>
        <w:pStyle w:val="Heading2"/>
      </w:pPr>
      <w:r>
        <w:t>关键风险登记表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950"/>
        <w:gridCol w:w="950"/>
        <w:gridCol w:w="3550"/>
        <w:gridCol w:w="246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风险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概率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影响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控制措施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止损信号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土地与补偿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停工、诉讼和社会冲突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权属审查、受益人验证和申诉机制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关键地块争议未解决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地方执行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采购和配套延误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多边里程碑、联合工作组、独立监测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共融资或许可持续拖延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安全事件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中（地区性）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人员与物流中断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地区分级、社区协调和应急预案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项目区安全等级显著恶化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自然灾害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资产损坏和工期变化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韧性设计、保险、备用路线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设计标准低于最新灾害图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采购廉政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取消资格和声誉风险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公开招采、第三方审计和KYC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要求非正式付款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运营维护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资产闲置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全寿命预算、培训、绩效合同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无明确运营方或维护资金</w:t>
            </w:r>
          </w:p>
        </w:tc>
      </w:tr>
    </w:tbl>
    <w:p>
      <w:pPr>
        <w:spacing w:before="0" w:after="40" w:line="240" w:lineRule="auto"/>
      </w:pPr>
    </w:p>
    <w:p>
      <w:pPr>
        <w:spacing w:before="80" w:after="160" w:line="283" w:lineRule="auto"/>
        <w:ind w:left="115" w:right="115"/>
        <w:shd w:fill="FFF4E5"/>
        <w:pBdr>
          <w:top w:val="single" w:sz="6" w:space="5" w:color="E8C77A"/>
          <w:left w:val="single" w:sz="6" w:space="5" w:color="E8C77A"/>
          <w:bottom w:val="single" w:sz="6" w:space="5" w:color="E8C77A"/>
          <w:right w:val="single" w:sz="6" w:space="5" w:color="E8C77A"/>
        </w:pBdr>
      </w:pPr>
      <w:r>
        <w:rPr>
          <w:rFonts w:ascii="Calibri" w:hAnsi="Calibri" w:eastAsia="Microsoft YaHei"/>
          <w:b/>
          <w:i w:val="0"/>
          <w:color w:val="9A6B16"/>
          <w:sz w:val="21"/>
        </w:rPr>
        <w:t>红线：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不在土地、受益人或社区同意存在重大争议时开工；不直接与非国家武装组织订约或付款；不承接无维护预算、无灾害韧性标准、无透明采购记录的固定资产项目。</w:t>
      </w:r>
    </w:p>
    <w:p>
      <w:r>
        <w:br w:type="page"/>
      </w:r>
    </w:p>
    <w:p>
      <w:pPr>
        <w:pStyle w:val="Heading1"/>
      </w:pPr>
      <w:r>
        <w:t>8. 未来12—36个月监测仪表盘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200"/>
        <w:gridCol w:w="3150"/>
        <w:gridCol w:w="3010"/>
        <w:gridCol w:w="100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监测项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基准状态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触发动作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频率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和平进程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BARMM治理、正常化和地方选举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社会项目节奏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马拉维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补偿、住房、土地和IDP返迁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收尾机会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交通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ADB/世行授标、征地和完工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工程漏斗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农业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PSAT、TASAT、MIADP采购和受益人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加工冷链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能源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棉兰老电价、购电协议和微网规则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季度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能源投资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安全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BARMM及周边事件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每周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人员限制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气候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台风、洪水、地震与灾害图更新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季节/实时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设计与保险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90天行动计划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第1—15天：完成四条机会管线和重点省市地图。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第16—30天：完成PhilGEPS/多边注册及本地伙伴尽调。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第31—50天：形成住房水光储、冷链农业和道路数字化三个解决方案包。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第51—70天：与项目单位、银行和本地集团进行市场咨询并锁定一项试点。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第71—90天：提交首项资格或标书，以土地、维护和付款闭环作为投资门槛。</w:t>
      </w:r>
    </w:p>
    <w:p>
      <w:pPr/>
      <w:r>
        <w:rPr>
          <w:rFonts w:ascii="Calibri" w:hAnsi="Calibri" w:eastAsia="Microsoft YaHei"/>
          <w:b/>
          <w:i w:val="0"/>
          <w:color w:val="0B2545"/>
          <w:sz w:val="22"/>
        </w:rPr>
        <w:t>结论：</w:t>
      </w:r>
      <w:r>
        <w:rPr>
          <w:rFonts w:ascii="Calibri" w:hAnsi="Calibri" w:eastAsia="Microsoft YaHei"/>
          <w:b w:val="0"/>
          <w:i w:val="0"/>
          <w:color w:val="17202A"/>
          <w:sz w:val="22"/>
        </w:rPr>
        <w:t>菲律宾专题的核心不是把全国描述为战后国家，而是识别马拉维/BARMM这一特定恢复市场，并把它连接到更大的棉兰老发展管线。交通、农业、冷链、能源和数字金融兼具增长和和平红利；成熟的本地企业与多边体系降低了进入门槛，但土地、社区与灾害韧性仍决定项目成败。</w:t>
      </w:r>
    </w:p>
    <w:p>
      <w:r>
        <w:br w:type="page"/>
      </w:r>
    </w:p>
    <w:p>
      <w:pPr>
        <w:pStyle w:val="Heading1"/>
      </w:pPr>
      <w:r>
        <w:t>资料来源与使用说明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以下来源优先采用政府、多边机构和公司原始公告。宏观预测、项目金额和制裁状态会变化；进入任何交易前，应重新核验招标文件、最终受益所有人、制裁清单、出口管制、税务和付款银行。</w:t>
      </w:r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[S1] 美国国会研究处：The Philippines（2025） — </w:t>
      </w:r>
      <w:hyperlink r:id="rId11">
        <w:r>
          <w:rPr>
            <w:color w:val="2E74B5"/>
            <w:u w:val="single"/>
            <w:rFonts w:ascii="Calibri" w:hAnsi="Calibri" w:eastAsia="Microsoft YaHei"/>
          </w:rPr>
          <w:t>congress.gov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S2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[S2] 美国国会研究处：U.S.-Philippines Relations — </w:t>
      </w:r>
      <w:hyperlink r:id="rId12">
        <w:r>
          <w:rPr>
            <w:color w:val="2E74B5"/>
            <w:u w:val="single"/>
            <w:rFonts w:ascii="Calibri" w:hAnsi="Calibri" w:eastAsia="Microsoft YaHei"/>
          </w:rPr>
          <w:t>congress.gov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S3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[S3] IMF：菲律宾2025年第四条磋商报告 — </w:t>
      </w:r>
      <w:hyperlink r:id="rId13">
        <w:r>
          <w:rPr>
            <w:color w:val="2E74B5"/>
            <w:u w:val="single"/>
            <w:rFonts w:ascii="Calibri" w:hAnsi="Calibri" w:eastAsia="Microsoft YaHei"/>
          </w:rPr>
          <w:t>elibrary.imf.org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S4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[S4] 世界银行：Philippines Economic Update（2025-12-09） — </w:t>
      </w:r>
      <w:hyperlink r:id="rId14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S5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[S5] 菲律宾共和国法RA 11696：Marawi Siege Victims Compensation Act — </w:t>
      </w:r>
      <w:hyperlink r:id="rId15">
        <w:r>
          <w:rPr>
            <w:color w:val="2E74B5"/>
            <w:u w:val="single"/>
            <w:rFonts w:ascii="Calibri" w:hAnsi="Calibri" w:eastAsia="Microsoft YaHei"/>
          </w:rPr>
          <w:t>elibrary.judiciary.gov.ph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S6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[S6] BARMM：交付50套马拉维永久住房（2026） — </w:t>
      </w:r>
      <w:hyperlink r:id="rId16">
        <w:r>
          <w:rPr>
            <w:color w:val="2E74B5"/>
            <w:u w:val="single"/>
            <w:rFonts w:ascii="Calibri" w:hAnsi="Calibri" w:eastAsia="Microsoft YaHei"/>
          </w:rPr>
          <w:t>bangsamoro.gov.ph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S7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[S7] BARMM：马拉维恢复新增基础设施与服务（2025） — </w:t>
      </w:r>
      <w:hyperlink r:id="rId17">
        <w:r>
          <w:rPr>
            <w:color w:val="2E74B5"/>
            <w:u w:val="single"/>
            <w:rFonts w:ascii="Calibri" w:hAnsi="Calibri" w:eastAsia="Microsoft YaHei"/>
          </w:rPr>
          <w:t>bangsamoro.gov.ph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S8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[S8] Philippine Information Agency：马拉维补偿支付进展 — </w:t>
      </w:r>
      <w:hyperlink r:id="rId18">
        <w:r>
          <w:rPr>
            <w:color w:val="2E74B5"/>
            <w:u w:val="single"/>
            <w:rFonts w:ascii="Calibri" w:hAnsi="Calibri" w:eastAsia="Microsoft YaHei"/>
          </w:rPr>
          <w:t>pia.gov.ph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S9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[S9] ADB：Improving Growth Corridors in Mindanao Road Sector Project — </w:t>
      </w:r>
      <w:hyperlink r:id="rId19">
        <w:r>
          <w:rPr>
            <w:color w:val="2E74B5"/>
            <w:u w:val="single"/>
            <w:rFonts w:ascii="Calibri" w:hAnsi="Calibri" w:eastAsia="Microsoft YaHei"/>
          </w:rPr>
          <w:t>adb.org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S10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[S10] 世界银行：Mindanao Transport Connectivity Improvement Project — </w:t>
      </w:r>
      <w:hyperlink r:id="rId20">
        <w:r>
          <w:rPr>
            <w:color w:val="2E74B5"/>
            <w:u w:val="single"/>
            <w:rFonts w:ascii="Calibri" w:hAnsi="Calibri" w:eastAsia="Microsoft YaHei"/>
          </w:rPr>
          <w:t>maps.worldbank.org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S11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[S11] 世界银行：MIADP面向12万农渔户 — </w:t>
      </w:r>
      <w:hyperlink r:id="rId21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S12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[S12] 世界银行：PSAT与TASAT农业转型项目（2026-06-18） — </w:t>
      </w:r>
      <w:hyperlink r:id="rId22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S13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[S13] 世界银行：菲律宾融资项目总览 — </w:t>
      </w:r>
      <w:hyperlink r:id="rId23">
        <w:r>
          <w:rPr>
            <w:color w:val="2E74B5"/>
            <w:u w:val="single"/>
            <w:rFonts w:ascii="Calibri" w:hAnsi="Calibri" w:eastAsia="Microsoft YaHei"/>
          </w:rPr>
          <w:t>financesone.worldbank.org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S14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[S14] 世界银行：Bangsamoro Normalization R2D项目文件 — </w:t>
      </w:r>
      <w:hyperlink r:id="rId24">
        <w:r>
          <w:rPr>
            <w:color w:val="2E74B5"/>
            <w:u w:val="single"/>
            <w:rFonts w:ascii="Calibri" w:hAnsi="Calibri" w:eastAsia="Microsoft YaHei"/>
          </w:rPr>
          <w:t>documents1.worldbank.org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S15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[S15] ADB：Mindanao Agro-Enterprise Development Project — </w:t>
      </w:r>
      <w:hyperlink r:id="rId25">
        <w:r>
          <w:rPr>
            <w:color w:val="2E74B5"/>
            <w:u w:val="single"/>
            <w:rFonts w:ascii="Calibri" w:hAnsi="Calibri" w:eastAsia="Microsoft YaHei"/>
          </w:rPr>
          <w:t>adb.org</w:t>
        </w:r>
      </w:hyperlink>
    </w:p>
    <w:p>
      <w:pPr>
        <w:pStyle w:val="Heading2"/>
      </w:pPr>
      <w:r>
        <w:t>免责声明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本报告为专题研究底稿，不构成证券研究评级、法律意见、制裁许可判断、投标承诺或投资建议。涉及冲突地区的人员安全、人权尽调、反腐败、反洗钱、出口管制和战争险，应由具备相关资质的专业团队独立审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 w:eastAsia="Microsoft YaHei"/>
        <w:b w:val="0"/>
        <w:i w:val="0"/>
        <w:color w:val="667085"/>
        <w:sz w:val="16"/>
      </w:rPr>
      <w:t xml:space="preserve">战后重建专题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1" w:color="D8DEE8"/>
      </w:pBdr>
    </w:pPr>
    <w:r>
      <w:rPr>
        <w:rFonts w:ascii="Calibri" w:hAnsi="Calibri" w:eastAsia="Microsoft YaHei"/>
        <w:b/>
        <w:i w:val="0"/>
        <w:color w:val="667085"/>
        <w:sz w:val="17"/>
      </w:rPr>
      <w:t>菲律宾｜战后重建与产业机会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69"/>
        </w:tabs>
        <w:ind w:left="540" w:hanging="271"/>
      </w:pPr>
      <w:rPr>
        <w:rFonts w:ascii="Arial" w:hAnsi="Arial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num w:numId="11">
    <w:abstractNumId w:val="1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ongress.gov/crs-product/IF10250" TargetMode="External"/><Relationship Id="rId12" Type="http://schemas.openxmlformats.org/officeDocument/2006/relationships/hyperlink" Target="https://www.congress.gov/crs-product/R47055" TargetMode="External"/><Relationship Id="rId13" Type="http://schemas.openxmlformats.org/officeDocument/2006/relationships/hyperlink" Target="https://www.elibrary.imf.org/view/journals/002/2025/333/article-A001-en.xml" TargetMode="External"/><Relationship Id="rId14" Type="http://schemas.openxmlformats.org/officeDocument/2006/relationships/hyperlink" Target="https://www.worldbank.org/en/news/press-release/2025/12/09/stronger-investment-and-reforms-can-help-ph-sustain-growth-and-create-more-jobs" TargetMode="External"/><Relationship Id="rId15" Type="http://schemas.openxmlformats.org/officeDocument/2006/relationships/hyperlink" Target="https://elibrary.judiciary.gov.ph/thebookshelf/showdocs/2/95144" TargetMode="External"/><Relationship Id="rId16" Type="http://schemas.openxmlformats.org/officeDocument/2006/relationships/hyperlink" Target="https://bangsamoro.gov.ph/news/latest-news/barmm-turns-over-50-permanent-housing-units-for-marawi-idps-in-kapai/" TargetMode="External"/><Relationship Id="rId17" Type="http://schemas.openxmlformats.org/officeDocument/2006/relationships/hyperlink" Target="https://bangsamoro.gov.ph/news/latest-news/mrp-barmm-to-deliver-new-infrastructure-expanded-services-for-marawi-idps/" TargetMode="External"/><Relationship Id="rId18" Type="http://schemas.openxmlformats.org/officeDocument/2006/relationships/hyperlink" Target="https://pia.gov.ph/news/marawi-compensation-board-distributes-p919-m-to-siege-victims/" TargetMode="External"/><Relationship Id="rId19" Type="http://schemas.openxmlformats.org/officeDocument/2006/relationships/hyperlink" Target="https://www.adb.org/projects/41076-048/main" TargetMode="External"/><Relationship Id="rId20" Type="http://schemas.openxmlformats.org/officeDocument/2006/relationships/hyperlink" Target="https://maps.worldbank.org/projects/wb/pid/P177017?status=active" TargetMode="External"/><Relationship Id="rId21" Type="http://schemas.openxmlformats.org/officeDocument/2006/relationships/hyperlink" Target="https://www.worldbank.org/en/news/press-release/2023/05/26/new-agriculture-project-to-boost-livelihoods-for-over-100k-farmers-and-fisherfolk-in-indigenous-cultural-communities" TargetMode="External"/><Relationship Id="rId22" Type="http://schemas.openxmlformats.org/officeDocument/2006/relationships/hyperlink" Target="https://www.worldbank.org/en/news/feature/2026/06/18/more-jobs-better-livelihoods-philippines-and-wb-launch-landmark-agricultural-transformation-programs" TargetMode="External"/><Relationship Id="rId23" Type="http://schemas.openxmlformats.org/officeDocument/2006/relationships/hyperlink" Target="https://financesone.worldbank.org/countries/philippines" TargetMode="External"/><Relationship Id="rId24" Type="http://schemas.openxmlformats.org/officeDocument/2006/relationships/hyperlink" Target="https://documents1.worldbank.org/curated/en/099073025035033878/pdf/P506423-07a38d49-aa21-4385-af1c-eb79da3a1364.pdf" TargetMode="External"/><Relationship Id="rId25" Type="http://schemas.openxmlformats.org/officeDocument/2006/relationships/hyperlink" Target="https://www.adb.org/projects/53273-001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菲律宾：战后重建与产业机会</dc:title>
  <dc:subject>战后重建专题</dc:subject>
  <dc:creator>Codex research workflow</dc:creator>
  <cp:keywords>战后重建, 美国参与, 产业机会, 项目管线, 风险</cp:keywords>
  <dc:description>资料截止2026年7月24日; preset=compact_reference_guide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