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A37720"/>
          <w:sz w:val="22"/>
        </w:rPr>
        <w:t>专题研究总纲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战后重建</w:t>
      </w:r>
    </w:p>
    <w:p>
      <w:pPr>
        <w:spacing w:after="120"/>
        <w:jc w:val="center"/>
      </w:pPr>
      <w:r>
        <w:rPr>
          <w:rFonts w:ascii="Calibri" w:hAnsi="Calibri" w:eastAsia="Microsoft YaHei"/>
          <w:color w:val="1F4D78"/>
          <w:sz w:val="32"/>
        </w:rPr>
        <w:t>美国参与优先的全球国家研究与产业机会计划</w:t>
      </w:r>
    </w:p>
    <w:p>
      <w:pPr>
        <w:spacing w:after="1080"/>
        <w:jc w:val="center"/>
      </w:pPr>
      <w:r>
        <w:rPr>
          <w:rFonts w:ascii="Calibri" w:hAnsi="Calibri" w:eastAsia="Microsoft YaHei"/>
          <w:i/>
          <w:color w:val="666666"/>
          <w:sz w:val="21"/>
        </w:rPr>
        <w:t>2000年以来战争国家池 | 全球公司能力图谱 | 每日一国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203748"/>
          <w:sz w:val="21"/>
        </w:rPr>
        <w:t>研究基准日：2026年7月24日</w:t>
      </w:r>
    </w:p>
    <w:p>
      <w:pPr>
        <w:jc w:val="center"/>
      </w:pPr>
      <w:r>
        <w:rPr>
          <w:rFonts w:ascii="Calibri" w:hAnsi="Calibri" w:eastAsia="Microsoft YaHei"/>
          <w:color w:val="666666"/>
          <w:sz w:val="19"/>
        </w:rPr>
        <w:t>计划周期：2026年7月25日 - 2026年9月4日（42天）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r>
        <w:t>本专题以“美国参与程度”为第一排序条件，以“重建需求规模、资金可获得性、商业准入和项目成熟度”为第二排序条件。研究对象不是所有参加过海外战争的国家，而是2000年以来本土经历战争、内战或大规模武装冲突，并形成明显恢复、重建或经济转型需求的国家和地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核心判断：</w:t>
            </w:r>
            <w:r>
              <w:rPr>
                <w:rFonts w:ascii="Calibri" w:hAnsi="Calibri" w:eastAsia="Microsoft YaHei"/>
                <w:color w:val="000000"/>
                <w:sz w:val="21"/>
              </w:rPr>
              <w:t>破坏程度最大，不等于近期商业机会最好。伊拉克、阿塞拜疆、利比亚、安哥拉和科特迪瓦的政府或资源融资能力，可能比处于全面战争中的苏丹、也门和缅甸更容易转化为合同；乌克兰、加沙和黎巴嫩则高度依赖捐助体系、保险、准入和治理安排。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优先序列：</w:t>
      </w:r>
      <w:r>
        <w:rPr>
          <w:rFonts w:ascii="Calibri" w:hAnsi="Calibri" w:eastAsia="Microsoft YaHei"/>
          <w:color w:val="000000"/>
          <w:sz w:val="22"/>
        </w:rPr>
        <w:t>先研究美军直接参战或实施打击的国家，再研究美国提供决定性军事、安全或财政支持的国家，最后研究其他战后转型和对照案例。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公司判断：</w:t>
      </w:r>
      <w:r>
        <w:rPr>
          <w:rFonts w:ascii="Calibri" w:hAnsi="Calibri" w:eastAsia="Microsoft YaHei"/>
          <w:color w:val="000000"/>
          <w:sz w:val="22"/>
        </w:rPr>
        <w:t>文中公司均为需要跟踪的能力提供者，不代表已经中标或一定受益。每日国别报告必须把公司机会分成“已进入项目/采购链”“官方规划支持”“仅能力匹配”三档。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9B1C1C"/>
          <w:sz w:val="22"/>
        </w:rPr>
        <w:t>合规底线：</w:t>
      </w:r>
      <w:r>
        <w:rPr>
          <w:rFonts w:ascii="Calibri" w:hAnsi="Calibri" w:eastAsia="Microsoft YaHei"/>
          <w:color w:val="000000"/>
          <w:sz w:val="22"/>
        </w:rPr>
        <w:t>战争、制裁、出口管制、双重用途、政治风险保险、付款机制、土地权属和本地化要求，必须先于收入和市场规模判断。</w:t>
      </w:r>
    </w:p>
    <w:p>
      <w:pPr>
        <w:pStyle w:val="Heading1"/>
        <w:keepNext/>
      </w:pPr>
      <w:r>
        <w:t>美国参与程度的研究分层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50"/>
        <w:gridCol w:w="3150"/>
        <w:gridCol w:w="32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定义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主要国家/地区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研究重点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美军直接参战、空袭、驻军或主导联军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伊拉克、阿富汗、伊朗、叙利亚、利比亚、也门、索马里、尼日利亚、巴基斯坦、菲律宾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战争责任与政治安排、美国政府采购与援助、制裁、军转民基础设施、承包商和退出路径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B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美国提供决定性军事、安全、财政或外交支持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以色列、巴勒斯坦/加沙、乌克兰、黎巴嫩、哥伦比亚、尼日尔、马里、喀麦隆、莫桑比克、布基纳法索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安全支持如何转化为援助、融资、担保、基础设施恢复和供应链机会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美国主要通过制裁、外交、人道和发展援助介入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苏丹、南苏丹、埃塞俄比亚、刚果（金）、中非共和国、缅甸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多边机构采购、人道与早期恢复、制裁边界、地方实施伙伴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美国参与有限，作为战后重建成败与商业模式对照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阿塞拜疆、亚美尼亚、格鲁吉亚、乍得、安哥拉、利比里亚等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政府融资、资源型重建、和平红利、产业转型和长期制度效果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i/>
          <w:color w:val="666666"/>
          <w:sz w:val="17"/>
        </w:rPr>
        <w:t>注：分层是研究工作分类，不是对战争合法性或美国参与性质的法律判断。直接行动信息以美国国防部、白宫和国会研究处公开资料为准。</w:t>
      </w:r>
    </w:p>
    <w:p>
      <w:pPr>
        <w:pStyle w:val="Heading1"/>
        <w:keepNext/>
      </w:pPr>
      <w:r>
        <w:t>42天每日一国研究计划</w:t>
      </w:r>
    </w:p>
    <w:p>
      <w:r>
        <w:t>默认每天北京时间09:00执行。若当日国家报告已存在，则自动顺延到队列中第一个尚未完成的国家，避免重复。每篇报告必须使用运行当日的官方资料，并单独核验最新制裁、招标、融资和公司参与情况。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900"/>
        <w:gridCol w:w="1500"/>
        <w:gridCol w:w="6340"/>
      </w:tblGrid>
      <w:tr>
        <w:trPr>
          <w:tblHeader w:val="true"/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日次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国家/地区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美国参与及当日分析主线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伊拉克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直接参战；2003年主导入侵；2014年后主导反ISIS联军。重点：电力、天然气收集、港口铁路、公路、水务、住房、油田服务、建材、数字金融。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阿富汗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直接参战；2001-2021年美国及北约长期作战和援助。重点：灌溉、农机、食品加工、道路、电力、矿业服务、通信、数字支付、住房。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伊朗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直接参战；2025年核设施打击；2026年美军对伊大规模行动。重点：电力、炼化设施、水务、交通通信、工业备件、医院与城市基础设施。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07-28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叙利亚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直接参战；2014年后反ISIS空袭、驻军和伙伴部队支持。重点：住宅、电网、油气、水务、废墟清运、建材、灌溉、食品、物流、通信。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利比亚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直接参战；2011年参与北约干预；此后实施反恐打击。重点：油气、电力、海水淡化、城市重建、港口公路、医院、通信、住宅。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也门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直接行动；反恐空袭；曾支持沙特联军；对胡塞目标实施打击。重点：分布式光伏、水务、港口道路、冷链、粮食、医疗教育、数字支付。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07-31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索马里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直接行动；长期空袭、特种行动、训练和安全援助。重点：光伏电网、城市道路、港口物流、通信支付、畜牧渔业、供水冷链。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尼日利亚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直接行动；长期反恐安全合作；2025年对ISIS目标实施打击。重点：住房、水务、道路、农业、太阳能、医疗教育、数字身份和金融。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D09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巴基斯坦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直接行动；反恐行动、无人机打击、训练及阿富汗战争后勤。重点：道路、学校医院、水电光伏、农业、矿业和跨境物流。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菲律宾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直接/联合行动；棉兰老反恐顾问、特种行动与长期安全合作。重点：住房、城市服务、港口公路、清真食品、农业、能源、旅游和数字金融。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以色列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决定性支持；长期军事援助、导弹防御和直接防御支持；参与对伊行动。重点：住宅、交通、电网、水务、民防、网络安全、农业科技和基础设施韧性。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巴勒斯坦/加沙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决定性影响；对冲突、停火、人道准入和重建融资安排具有重大影响。重点：废墟和未爆物处理、住房、电力、水务、医院学校、道路通信、企业重启。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乌克兰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决定性支持；大规模军事、财政和能源援助，但非公开直接参战模式。重点：电网、铁路公路港口、住宅、供热、排雷、建材、农储物流、工业设备。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黎巴嫩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安全/外交支持；军援、外交、停火斡旋和捐助体系影响。重点：住宅、商业旅游、工业厂房、电力水务、交通市政、医院和企业融资。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哥伦比亚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长期安全支持；Plan Colombia及长期安全、禁毒和发展援助。重点：农村道路、土地确权、农业加工、林业、清洁能源、生态旅游和数字普惠。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尼日尔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反恐合作；曾设反恐基地、无人机设施并开展训练，后撤军。重点：光伏电网、灌溉、公路、石油与铀矿服务、通信。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马里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反恐合作；曾提供训练、情报、反恐和发展援助，近年角色下降。重点：能源、灌溉、农加工、城市排水、矿业服务、通信金融。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喀麦隆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安全支持；反博科圣地、训练和安全合作。重点：道路、学校医院、电力、农业加工、通信和城市服务。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莫桑比克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安全支持；提供反恐训练、发展和人道支持。重点：LNG配套、港口公路、电力、北部住房公共服务、农业渔业和物流。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布基纳法索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 反恐/援助；曾开展反恐、安全和发展合作，近年关系受政变影响。重点：离网能源、供水、农业投入、基层医疗、道路和仓储。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苏丹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外交/援助；制裁、调停、人道援助和国际融资影响。重点：农业投入、粮食、灌溉、电力、住宅、医院通信、道路铁路和港口。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南苏丹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外交/援助；支持独立进程，并长期提供外交和人道援助。重点：输油设施、道路桥梁、离网光伏、农业、水务、通信。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埃塞俄比亚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外交/援助；发展援助、外交压力和冲突调停参与。重点：道路、电力、水务、学校医院、农业、工业园、通信和金融。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刚果（金）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外交/援助；外交斡旋、发展融资、矿产供应链和安全合作。重点：矿业设施、道路走廊、水电、离网能源、农业、仓储、通信。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中非共和国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外交/援助；通过援助、外交和联合国体系参与。重点：光伏、电网、道路、农加工、林业追溯、矿业和通信。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缅甸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制裁/人道；制裁、外交和人道援助，不属于直接军事介入。重点：电力、住房、农产品仓储加工、物流、医疗和通信。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阿塞拜疆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比较案例；外交调停、能源和安全合作，非直接参战。重点：道路铁路机场、智慧城市、新能源、水利、排雷、农业和旅游。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亚美尼亚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比较案例；外交和人道支持，非直接参战。重点：住房公共服务、物流、新能源、ICT、食品和轻制造。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格鲁吉亚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比较案例；重要安全和发展伙伴，未直接参与2008年战争。重点：跨境物流、电力互联、新能源、市政、旅游和数字服务。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乍得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比较案例；反恐和安全合作，参与程度低于萨赫勒前线国家。重点：公路、电力、水务、畜牧农业、石油物流和通信。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安哥拉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成熟案例；发展、能源和外交合作，战后参与有限。重点：洛比托走廊、电力水务、农业加工、矿业物流、住房和数字金融。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利比里亚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成熟案例；历史联系深，提供和平、治理和发展支持。重点：电力、道路港口、农业加工、林业、轻工业和融资。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塞拉利昂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成熟案例；发展和人道援助，直接军事作用有限。重点：能源、桥梁公路、农业、矿业服务、水务和数字基础设施。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科特迪瓦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成熟案例；外交、发展和商业合作。重点：城市交通、电力、港口、可可腰果加工、油气、物流和数字经济。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斯里兰卡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成熟案例；人道、外交和发展支持，未直接参战。重点：灌溉、渔业、道路、新能源、旅游、港口物流和食品加工。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尼泊尔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成熟案例；发展援助和政治支持，未直接参战。重点：水电、输电、道路、城市水务、旅游、数字和农加工。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布隆迪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成熟案例；外交与援助，直接作用有限。重点：可持续能源、农业加工、普惠金融、通信和物流。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08-31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乌干达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成熟案例；反恐、安全和发展合作。重点：油气配套、道路住房、电力、农业加工和区域物流。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D39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09-01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东帝汶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成熟案例；独立后发展和治理支持。重点：港口道路、电力水务、住房、咖啡食品、旅游和数字连接。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D40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09-02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印度尼西亚/亚齐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成熟案例；和平与灾后援助，未直接参战。重点：港口道路、渔业、农业价值链、旅游、新能源和灾害韧性。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09-03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北马其顿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成熟案例；北约与外交支持，未直接参战。重点：欧盟标准交通、能源、市政、环保和数字基础设施。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09-04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厄立特里亚</w:t>
            </w:r>
          </w:p>
        </w:tc>
        <w:tc>
          <w:tcPr>
            <w:tcW w:type="dxa" w:w="6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成熟/高风险；外交和援助有限，未直接参战。重点：港口、能源、农业、矿业和道路物流。</w:t>
            </w:r>
          </w:p>
        </w:tc>
      </w:tr>
    </w:tbl>
    <w:p>
      <w:pPr>
        <w:pStyle w:val="Heading1"/>
        <w:keepNext/>
      </w:pPr>
      <w:r>
        <w:t>全球产业与公司机会图谱</w:t>
      </w:r>
    </w:p>
    <w:p>
      <w:r>
        <w:t>以下公司是按能力和行业位置筛选的全球观察池。真正的国别机会必须在每日报告中寻找项目证据：政府预算、多边开发银行项目、捐助基金、采购公告、公司公告、当地合作伙伴和政治风险保险。不能只凭“国家需要重建”就判断公司受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700"/>
        <w:gridCol w:w="311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产业链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代表性全球公司/机构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机会形成条件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综合工程/EPC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Bechtel、Fluor、KBR、AECOM、Jacobs、Parsons；VINCI、Bouygues、Webuild、STRABAG、HOCHTIEF；ENKA、Limak、Ronesans；Samsung C&amp;T、Hyundai E&amp;C；中国电建、中国能建、中国建筑、中国交建、中国铁建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交通、城市、公建和大型工业项目。必须逐国核查制裁、融资来源、本地化和实际招标。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电力与分布式能源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 Vernova、Siemens Energy、Hitachi Energy、ABB、Schneider Electric、Caterpillar、Cummins、Wartsila、Aggreko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战时抢修、燃机、电网、微电网、储能和备用电源，是多数国家最早出现的商业需求。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油气与能源服务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SLB、Halliburton、Baker Hughes、Technip Energies、Saipem、Petrofac、Wood、Weatherford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伊拉克、利比亚、安哥拉、莫桑比克、南苏丹和潜在伊朗市场；受制裁和国企采购影响最大。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水务与环境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Xylem、Veolia、SUEZ、Acciona、Metito、IDE Technologies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供水、污水、海水淡化、泵站和城市固废。通常可从国际机构和市政融资切入。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建材与建筑系统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Holcim、Heidelberg Materials、CRH、Cemex、Saint-Gobain、ArcelorMittal及当地水泥钢材企业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住宅和公共设施重建的基础需求；更适合本地生产、合资或区域供应，而非长距离成品出口。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重型设备与物流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Caterpillar、Komatsu、Volvo CE、JCB、Liebherr、John Deere；DP World、APM Terminals、Maersk、MSC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废墟清运、道路、矿业、港口和农业机械。售后、备件、融资租赁往往比单次设备销售更关键。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通信与数字基础设施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Ericsson、Nokia、Cisco、SpaceX/Starlink、Microsoft、Oracle、Huawei、ZTE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移动网络、卫星接入、云、网络安全、数字政务和支付；需严格评估出口管制和数据主权。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农业与食品链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John Deere、AGCO、CNH Industrial、Yara、Corteva、Bayer；Cargill、ADM、Olam Agri、Louis Dreyfus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种子肥料、灌溉、农机、仓储、冷链、磨粉和油脂加工，是就业和粮食安全的核心。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医疗与公共服务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 HealthCare、Siemens Healthineers、Philips、Medtronic及模块化医院、学校和住宅供应商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医院设备、基层诊疗、学校和临时住房；常由联合国、世界银行和双边援助资金驱动。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排雷、检测与环境修复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Tetra Tech、Amentum等工程服务商；HALO Trust、MAG等非营利实施机构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乌克兰、加沙、叙利亚、伊拉克、阿塞拜疆等市场的先导环节，资金多来自政府和捐助方。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融资、保险与风险管理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Marsh McLennan、Aon、Munich Re、Allianz Trade；机构渠道包括MIGA、DFC、IFC和各多边开发银行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战争险、政治风险险、担保、贸易融资和PPP结构决定项目能否从需求转化为可执行订单。</w:t>
            </w:r>
          </w:p>
        </w:tc>
      </w:tr>
    </w:tbl>
    <w:p>
      <w:pPr>
        <w:pStyle w:val="Heading2"/>
        <w:keepNext/>
      </w:pPr>
      <w:r>
        <w:t>机会如何从需求转化为订单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3000"/>
        <w:gridCol w:w="21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主要需求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典型资金来源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商业特征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战时修复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备用电力、水、医疗、通信、物流、临时住房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联合国、双边援助、紧急采购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短周期、小规模、高合规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早期恢复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废墟清运、排雷、电网抢修、道路和公共建筑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捐助基金、世界银行、政府应急预算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项目证据开始形成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系统重建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住房、交通、水务、能源、工业园和港口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政府预算、主权融资、PPP、多边开发银行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EPC、设备和本地化机会最大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转型发展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数字、新能源、制造业、金融和供应链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私人资本、FDI、资本市场和商业银行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竞争回归常态，制度质量更重要</w:t>
            </w:r>
          </w:p>
        </w:tc>
      </w:tr>
    </w:tbl>
    <w:p>
      <w:pPr>
        <w:pStyle w:val="Heading1"/>
        <w:keepNext/>
      </w:pPr>
      <w:r>
        <w:t>国家池：经济建设、产业机会与风险</w:t>
      </w:r>
    </w:p>
    <w:p>
      <w:pPr>
        <w:pStyle w:val="Heading2"/>
        <w:keepNext/>
      </w:pPr>
      <w:r>
        <w:t>第一组：美国直接参战或实施军事行动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00"/>
        <w:gridCol w:w="3000"/>
        <w:gridCol w:w="21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国家/地区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经济建设情况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重点产业机会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首要进入风险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伊拉克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已从战后修复转向系统建设，但石油财政、电力短缺和政府投资效率仍是核心约束。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电力、天然气收集、港口铁路、公路、水务、住房、油田服务、建材、数字金融。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油价与财政、政府付款、采购透明度、地方伙伴和安全风险。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阿富汗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农业、采矿、建筑和商业推动低速恢复，国际结算、金融体系和社会政策制约增长。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灌溉、农机、食品加工、道路、电力、矿业服务、通信、数字支付、住房。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制裁和承认、银行结算、女性就业限制、合同执行。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伊朗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冲突、制裁以及能源和水资源短缺叠加，当前属于战时修复和未来重建预判。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电力、炼化设施、水务、交通通信、工业备件、医院与城市基础设施。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战争、全面制裁、二级制裁、支付和保险，短期不可视为普通商业市场。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叙利亚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政治转型与初步恢复并行，实体重建成本巨大，金融和产权体系仍不完整。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住宅、电网、油气、水务、废墟清运、建材、灌溉、食品、物流、通信。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制裁、产权、银行结算、地区控制和安全。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利比亚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石油恢复支持经济反弹，但政治、财政和安全体系仍分裂。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油气、电力、海水淡化、城市重建、港口公路、医院、通信、住宅。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政府合法性、预算归属、回款、汇率和武装集团。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也门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经济和政府机构分裂，全面重建条件尚未形成，重点仍是基本服务恢复。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分布式光伏、水务、港口道路、冷链、粮食、医疗教育、数字支付。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持续冲突、两套制度、港口准入、支付和人道合规。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索马里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国家机构和城市基础设施逐步恢复，援助减少、气候和安全风险仍突出。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光伏电网、城市道路、港口物流、通信支付、畜牧渔业、供水冷链。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恐袭、地方治理差异、融资、保险和项目现场管理。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尼日利亚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东北部是局部恢复，全国则是大型常规基建和消费市场。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住房、水务、道路、农业、太阳能、医疗教育、数字身份和金融。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地区安全、外汇、联邦与州级采购、能源价格。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巴基斯坦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部落和边境地区属于局部恢复，全国受债务、外汇和能源约束。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道路、学校医院、水电光伏、农业、矿业和跨境物流。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安全、外汇、主权融资、中央与省级协调。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菲律宾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棉兰老和马拉维属于局部重建与和平红利，全国投资环境相对成熟。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住房、城市服务、港口公路、清真食品、农业、能源、旅游和数字金融。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土地权属、地方政治、安全和项目执行。</w:t>
            </w:r>
          </w:p>
        </w:tc>
      </w:tr>
    </w:tbl>
    <w:p>
      <w:pPr>
        <w:pStyle w:val="Heading2"/>
        <w:keepNext/>
      </w:pPr>
      <w:r>
        <w:t>第二组：美国提供决定性军事、安全或财政支持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00"/>
        <w:gridCol w:w="3000"/>
        <w:gridCol w:w="21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国家/地区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经济建设情况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重点产业机会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首要进入风险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以色列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边境社区、住宅和关键基础设施存在修复需求，经济基础和融资能力较强。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住宅、交通、电网、水务、民防、网络安全、农业科技和基础设施韧性。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战争延续、政治与ESG争议、供应链和劳动力。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巴勒斯坦/加沙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需求规模极大，但重建取决于停火、安全、治理和建材准入。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废墟和未爆物处理、住房、电力、水务、医院学校、道路通信、企业重启。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准入、治理、双重用途管制、安全和融资执行。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乌克兰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边打边建；世界银行等估计未来十年恢复重建需求约5880亿美元。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电网、铁路公路港口、住宅、供热、排雷、建材、农储物流、工业设备。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战争、保险、地方化、欧盟标准、采购和反腐。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黎巴嫩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2023-2024年冲突恢复需求约110亿美元，银行体系和财政能力仍弱。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住宅、商业旅游、工业厂房、电力水务、交通市政、医院和企业融资。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银行危机、改革进度、政治分裂、支付和安全。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哥伦比亚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2016年和平协议后进入长期农村重建，部分武装冲突仍在延续。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农村道路、土地确权、农业加工、林业、清洁能源、生态旅游和数字普惠。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土地争议、地方武装、环保许可和社区关系。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尼日尔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政治与安全风险限制融资，能源、交通和灌溉缺口突出。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光伏电网、灌溉、公路、石油与铀矿服务、通信。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政局、制裁、融资、区域关系和安全。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马里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冲突与政局风险并存，黄金、锂、棉花和农业支撑经济。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能源、灌溉、农加工、城市排水、矿业服务、通信金融。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政局、区域制裁、安全、矿业政策和外汇。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喀麦隆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西北、西南和远北地区需要分区恢复，全国经济仍可运行。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道路、学校医院、电力、农业加工、通信和城市服务。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局部冲突、语言区政治、采购和付款。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莫桑比克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北部冲突未完全结束，LNG项目复工带来新建设周期。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LNG配套、港口公路、电力、北部住房公共服务、农业渔业和物流。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安全、外汇、债务、项目延误和本地化。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布基纳法索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大片地区受冲突影响，项目以基本服务和社区恢复为主。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离网能源、供水、农业投入、基层医疗、道路和仓储。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政局、安全、援助限制和现场执行。</w:t>
            </w:r>
          </w:p>
        </w:tc>
      </w:tr>
    </w:tbl>
    <w:p>
      <w:pPr>
        <w:pStyle w:val="Heading2"/>
        <w:keepNext/>
      </w:pPr>
      <w:r>
        <w:t>第三组：美国通过外交、制裁、人道和发展援助介入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00"/>
        <w:gridCol w:w="3000"/>
        <w:gridCol w:w="21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国家/地区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经济建设情况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重点产业机会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首要进入风险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苏丹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战争与人道危机未结束，经济经历极深收缩，尚属战时修复。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农业投入、粮食、灌溉、电力、住宅、医院通信、道路铁路和港口。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持续战争、制裁、政府归属、付款与人员安全。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南苏丹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石油依赖、财政和通胀风险极高，全面重建条件尚未形成。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输油设施、道路桥梁、离网光伏、农业、水务、通信。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政治冲突、油管、极端通胀、支付和物流。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埃塞俄比亚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提格雷等地区进入分区恢复，其他地区仍有安全风险。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道路、电力、水务、学校医院、农业、工业园、通信和金融。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地区冲突、外汇、债务、政策和主权项目回款。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刚果（金）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矿业增长与东部冲突并存，基础设施缺口巨大。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矿业设施、道路走廊、水电、离网能源、农业、仓储、通信。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东部安全、矿权、政府治理、物流和社区关系。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中非共和国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安全改善有限，电力和交通是经济恢复的主要瓶颈。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光伏、电网、道路、农加工、林业追溯、矿业和通信。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安全、外部力量竞争、财政和物流。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缅甸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内战、地震、停电和外汇限制叠加，尚不具备全国重建条件。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电力、住房、农产品仓储加工、物流、医疗和通信。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制裁、安全、政权承认、外汇和供应链。</w:t>
            </w:r>
          </w:p>
        </w:tc>
      </w:tr>
    </w:tbl>
    <w:p>
      <w:pPr>
        <w:pStyle w:val="Heading2"/>
        <w:keepNext/>
      </w:pPr>
      <w:r>
        <w:t>第四组：全球战后转型和比较案例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900"/>
        <w:gridCol w:w="3000"/>
        <w:gridCol w:w="21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国家/地区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经济建设情况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重点产业机会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首要进入风险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阿塞拜疆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纳卡地区重建主要由国家财政推动，项目体系相对完整。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道路铁路机场、智慧城市、新能源、水利、排雷、农业和旅游。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国家主导采购、地缘政治、本地伙伴和透明度。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亚美尼亚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战争后面临流离失所人口安置、经济通道和安全体系调整。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住房公共服务、物流、新能源、ICT、食品和轻制造。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安全边界、市场规模、融资和区域关系。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格鲁吉亚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战争后已转向物流枢纽和常规经济发展。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跨境物流、电力互联、新能源、市政、旅游和数字服务。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地缘政治、政策分化和外部市场。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乍得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内战与跨境冲突遗留问题未完全消除，财政受石油周期制约。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公路、电力、水务、畜牧农业、石油物流和通信。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政治、安全、石油财政和项目融资。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安哥拉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内战2002年结束，已从基础重建转入经济多元化。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洛比托走廊、电力水务、农业加工、矿业物流、住房和数字金融。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油价、债务、采购、汇率和国企体系。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利比里亚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2003年和平后保持稳定，但人均经济增长长期偏弱。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电力、道路港口、农业加工、林业、轻工业和融资。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项目执行、财政、基础设施和治理。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塞拉利昂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战争结束后进入常规发展阶段，农业和服务业支撑增长。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能源、桥梁公路、农业、矿业服务、水务和数字基础设施。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债务、汇率、项目执行和小市场。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科特迪瓦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2011年危机后形成较成功的重建增长案例。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城市交通、电力、港口、可可腰果加工、油气、物流和数字经济。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区域政治、债务、选举周期和竞争。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斯里兰卡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内战2009年结束，北东部重建叠加后续债务和经济危机。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灌溉、渔业、道路、新能源、旅游、港口物流和食品加工。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债务重组、财政、政策稳定和社会接受。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尼泊尔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2006年和平后完成政治重构，但基建执行效率偏低。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水电、输电、道路、城市水务、旅游、数字和农加工。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资本开支执行、许可、地形和政策。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布隆迪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内战结束后增长依赖公共投资，外汇与通胀压力较大。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可持续能源、农业加工、普惠金融、通信和物流。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外汇、燃料、治理和小市场。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乌干达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北部冲突地区已进入常规发展，全国油气和基建投资上升。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油气配套、道路住房、电力、农业加工和区域物流。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财政、项目债务、治理和地区安全。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东帝汶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独立后重建取得进展，但经济仍依赖公共支出和石油基金。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港口道路、电力水务、住房、咖啡食品、旅游和数字连接。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石油基金可持续性、执行能力和市场规模。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印度尼西亚/亚齐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2005年和平后进入成熟发展，是和平协议与灾后重建结合案例。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港口道路、渔业、农业价值链、旅游、新能源和灾害韧性。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地方许可、环保、社区和竞争。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北马其顿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2001年冲突后完成制度整合，已非典型重建市场。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欧盟标准交通、能源、市政、环保和数字基础设施。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市场规模、欧盟标准和项目融资。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厄立特里亚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2000年战争结束后长期受封闭经济和外汇短缺约束。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港口、能源、农业、矿业和道路物流。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准入、制裁、人权合规、外汇和治理。</w:t>
            </w:r>
          </w:p>
        </w:tc>
      </w:tr>
    </w:tbl>
    <w:p>
      <w:pPr>
        <w:pStyle w:val="Heading1"/>
        <w:keepNext/>
      </w:pPr>
      <w:r>
        <w:t>每日国别报告的固定模板</w:t>
      </w:r>
    </w:p>
    <w:p>
      <w:r>
        <w:t>每篇国别报告建议控制在10-15页。篇幅不是硬目标；必须优先保证来源、项目证据、公司映射和风险边界完整。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700"/>
        <w:gridCol w:w="311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必须回答的问题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输出要求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战争与美国角色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美国何时、以何种方式参与？当前是否仍有驻军、打击、军援、制裁或停火角色？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时间线 + A/B/C/D参与分层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政治与安全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是否停火？谁控制中央财政、边境、港口和主要城市？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全国/分区状态图式说明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宏观经济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GDP、通胀、财政、债务、外汇、就业和主导产业如何变化？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最新三年数据 + 基准情景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损毁与需求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住房、能源、交通、水务、通信、医疗教育损毁多少？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官方损失/需求评估；无数据则明确缺口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资金与采购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谁出钱、谁采购、谁执行？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政府、多边银行、UN、双边援助、PPP清单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产业机会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哪些需求已进入预算或项目，哪些只是潜在需求？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行业按A已立项/B有规划/C推导需求分级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公司机会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哪些全球公司具备能力、已进入当地或出现在采购链？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美国、欧洲、中国、日韩、中东、当地企业分组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进入路径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承包、设备、合资、本地生产、经销、融资哪种模式可行？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推荐模式 + 必要伙伴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风险与合规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制裁、出口管制、付款、战争险、腐败、土地、本地化有何限制？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红线、缓释措施和不可进入事项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监测指标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什么变化意味着机会由预期变成可执行？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停火、基金成立、预算、招标、担保和公司公告</w:t>
            </w:r>
          </w:p>
        </w:tc>
      </w:tr>
    </w:tbl>
    <w:p>
      <w:pPr>
        <w:pStyle w:val="Heading2"/>
        <w:keepNext/>
      </w:pPr>
      <w:r>
        <w:t>公司机会证据等级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250"/>
        <w:gridCol w:w="2600"/>
        <w:gridCol w:w="241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证据标准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可使用的表述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禁止的表述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 已确认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公司公告、正式中标、合同、融资文件或项目采购记录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“已参与/已中标/已签约”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不得把框架协议等同收入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B 高相关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国家预算、官方项目管线、捐助基金或正在采购，但公司尚未确认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“具备竞争条件/值得跟踪”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不得称为确定受益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 能力匹配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仅根据损毁和产业能力推导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“潜在需求/能力适配”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不得预测订单或利润</w:t>
            </w:r>
          </w:p>
        </w:tc>
      </w:tr>
    </w:tbl>
    <w:p>
      <w:pPr>
        <w:pStyle w:val="Heading1"/>
        <w:keepNext/>
      </w:pPr>
      <w:r>
        <w:t>执行与文件管理规则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执行时间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北京时间每天09:00，从2026年7月25日开始；首轮42次，完成后转入滚动更新。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输出目录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D:\Users\bruce01.huang\Documents\宏观经济\战后重建专题\国家报告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文件命名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DNN_国家或地区_战后重建与产业机会_YYYY-MM-DD.docx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去重规则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如当日计划国家报告已存在，选择队列中第一个尚未完成的国家。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来源优先级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政府和议会文件 &gt; 世界银行/IMF/联合国/多边开发银行 &gt; 公司公告 &gt; 高质量媒体。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更新原则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所有数据注明统计期；所有公司参与事实注明证据等级和日期。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专题结束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42国完成后，优先更新发生停火、基金成立、招标启动或制裁变化的国家。</w:t>
            </w:r>
          </w:p>
        </w:tc>
      </w:tr>
    </w:tbl>
    <w:p>
      <w:pPr>
        <w:pStyle w:val="Heading1"/>
        <w:keepNext/>
      </w:pPr>
      <w:r>
        <w:t>主要资料来源</w:t>
      </w:r>
    </w:p>
    <w:p>
      <w:r>
        <w:t>以下为总纲使用的基准资料。每日国别报告必须在运行当日重新检索，并补充该国政府、美国政府、主要融资机构和公司的一手资料。</w:t>
      </w:r>
    </w:p>
    <w:p>
      <w:pPr>
        <w:spacing w:after="100"/>
      </w:pPr>
      <w:hyperlink r:id="rId11">
        <w:r>
          <w:rPr>
            <w:rFonts w:ascii="Calibri" w:hAnsi="Calibri" w:eastAsia="Microsoft YaHei"/>
            <w:color w:val="2E74B5"/>
          </w:rPr>
          <w:t>World Bank - Fragility, Conflict, and Violence: Country Classifications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https://www.worldbank.org/en/topic/fragilityconflictviolence/brief/classification-of-fragile-and-conflict-affected-situations</w:t>
      </w:r>
    </w:p>
    <w:p>
      <w:pPr>
        <w:spacing w:after="100"/>
      </w:pPr>
      <w:hyperlink r:id="rId12">
        <w:r>
          <w:rPr>
            <w:rFonts w:ascii="Calibri" w:hAnsi="Calibri" w:eastAsia="Microsoft YaHei"/>
            <w:color w:val="2E74B5"/>
          </w:rPr>
          <w:t>World Bank - Updated Ukraine Recovery and Reconstruction Needs Assessment (RDNA5), 2026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https://www.worldbank.org/en/news/press-release/2026/02/23/updated-ukraine-recovery-and-reconstruction-needs-assessment-released</w:t>
      </w:r>
    </w:p>
    <w:p>
      <w:pPr>
        <w:spacing w:after="100"/>
      </w:pPr>
      <w:hyperlink r:id="rId13">
        <w:r>
          <w:rPr>
            <w:rFonts w:ascii="Calibri" w:hAnsi="Calibri" w:eastAsia="Microsoft YaHei"/>
            <w:color w:val="2E74B5"/>
          </w:rPr>
          <w:t>World Bank - Syria country overview and reconstruction assessment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https://www.worldbank.org/ext/en/country/syria</w:t>
      </w:r>
    </w:p>
    <w:p>
      <w:pPr>
        <w:spacing w:after="100"/>
      </w:pPr>
      <w:hyperlink r:id="rId14">
        <w:r>
          <w:rPr>
            <w:rFonts w:ascii="Calibri" w:hAnsi="Calibri" w:eastAsia="Microsoft YaHei"/>
            <w:color w:val="2E74B5"/>
          </w:rPr>
          <w:t>World Bank - Gaza Reconstruction and Development Fund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https://www.worldbank.org/en/country/westbankandgaza/brief/financial-intermediary-fund-for-gaza-reconstruction-and-development</w:t>
      </w:r>
    </w:p>
    <w:p>
      <w:pPr>
        <w:spacing w:after="100"/>
      </w:pPr>
      <w:hyperlink r:id="rId15">
        <w:r>
          <w:rPr>
            <w:rFonts w:ascii="Calibri" w:hAnsi="Calibri" w:eastAsia="Microsoft YaHei"/>
            <w:color w:val="2E74B5"/>
          </w:rPr>
          <w:t>World Bank - Lebanon Recovery and Reconstruction Needs Assessment, 2025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https://www.worldbank.org/en/news/press-release/2025/03/07/lebanon-s-recovery-and-reconstruction-needs-estimated-at-us-11-billion</w:t>
      </w:r>
    </w:p>
    <w:p>
      <w:pPr>
        <w:spacing w:after="100"/>
      </w:pPr>
      <w:hyperlink r:id="rId16">
        <w:r>
          <w:rPr>
            <w:rFonts w:ascii="Calibri" w:hAnsi="Calibri" w:eastAsia="Microsoft YaHei"/>
            <w:color w:val="2E74B5"/>
          </w:rPr>
          <w:t>IMF - Iraq 2025 Article IV Consultation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https://www.imf.org/en/publications/cr/issues/2025/07/11/iraq-2025-article-iv-consultation-press-release-staff-report-and-informational-annex-568569</w:t>
      </w:r>
    </w:p>
    <w:p>
      <w:pPr>
        <w:spacing w:after="100"/>
      </w:pPr>
      <w:hyperlink r:id="rId17">
        <w:r>
          <w:rPr>
            <w:rFonts w:ascii="Calibri" w:hAnsi="Calibri" w:eastAsia="Microsoft YaHei"/>
            <w:color w:val="2E74B5"/>
          </w:rPr>
          <w:t>World Bank - Libya country overview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https://www.worldbank.org/ext/en/country/libya</w:t>
      </w:r>
    </w:p>
    <w:p>
      <w:pPr>
        <w:spacing w:after="100"/>
      </w:pPr>
      <w:hyperlink r:id="rId18">
        <w:r>
          <w:rPr>
            <w:rFonts w:ascii="Calibri" w:hAnsi="Calibri" w:eastAsia="Microsoft YaHei"/>
            <w:color w:val="2E74B5"/>
          </w:rPr>
          <w:t>World Bank - Yemen country overview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https://www.worldbank.org/ext/en/country/yemen</w:t>
      </w:r>
    </w:p>
    <w:p>
      <w:pPr>
        <w:spacing w:after="100"/>
      </w:pPr>
      <w:hyperlink r:id="rId19">
        <w:r>
          <w:rPr>
            <w:rFonts w:ascii="Calibri" w:hAnsi="Calibri" w:eastAsia="Microsoft YaHei"/>
            <w:color w:val="2E74B5"/>
          </w:rPr>
          <w:t>World Bank - Afghanistan Development Update, 2025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https://www.worldbank.org/en/news/press-release/2025/04/23/afghan-economy-shows-signs-of-gradual-recovery-but-outlook-remains-uncertain-world-bank</w:t>
      </w:r>
    </w:p>
    <w:p>
      <w:pPr>
        <w:spacing w:after="100"/>
      </w:pPr>
      <w:hyperlink r:id="rId20">
        <w:r>
          <w:rPr>
            <w:rFonts w:ascii="Calibri" w:hAnsi="Calibri" w:eastAsia="Microsoft YaHei"/>
            <w:color w:val="2E74B5"/>
          </w:rPr>
          <w:t>World Bank - Sudan country overview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https://www.worldbank.org/ext/en/country/sudan</w:t>
      </w:r>
    </w:p>
    <w:p>
      <w:pPr>
        <w:spacing w:after="100"/>
      </w:pPr>
      <w:hyperlink r:id="rId21">
        <w:r>
          <w:rPr>
            <w:rFonts w:ascii="Calibri" w:hAnsi="Calibri" w:eastAsia="Microsoft YaHei"/>
            <w:color w:val="2E74B5"/>
          </w:rPr>
          <w:t>World Bank - Iran country overview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https://www.worldbank.org/ext/en/country/iran</w:t>
      </w:r>
    </w:p>
    <w:p>
      <w:pPr>
        <w:spacing w:after="100"/>
      </w:pPr>
      <w:hyperlink r:id="rId22">
        <w:r>
          <w:rPr>
            <w:rFonts w:ascii="Calibri" w:hAnsi="Calibri" w:eastAsia="Microsoft YaHei"/>
            <w:color w:val="2E74B5"/>
          </w:rPr>
          <w:t>U.S. Department of Defense - Operation Epic Fury Fact Sheet, March 2026</w:t>
        </w:r>
      </w:hyperlink>
      <w:r>
        <w:rPr>
          <w:rFonts w:ascii="Calibri" w:hAnsi="Calibri" w:eastAsia="Microsoft YaHei"/>
          <w:color w:val="666666"/>
          <w:sz w:val="16"/>
        </w:rPr>
        <w:br/>
        <w:t>https://media.defense.gov/2026/Mar/29/2003904283/-1/-1/1/OPERATION-EPIC-FURY-FACT-SHEET-THE-FIRST-29-DAYS.PDF</w:t>
      </w:r>
    </w:p>
    <w:p>
      <w:pPr>
        <w:spacing w:after="100"/>
      </w:pPr>
      <w:hyperlink r:id="rId23">
        <w:r>
          <w:rPr>
            <w:rFonts w:ascii="Calibri" w:hAnsi="Calibri" w:eastAsia="Microsoft YaHei"/>
            <w:color w:val="2E74B5"/>
          </w:rPr>
          <w:t>Congressional Research Service - War Powers Issues: U.S. Use of Military Force Against Iran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https://www.congress.gov/crs-product/IN12577</w:t>
      </w:r>
    </w:p>
    <w:p>
      <w:pPr>
        <w:spacing w:after="100"/>
      </w:pPr>
      <w:hyperlink r:id="rId24">
        <w:r>
          <w:rPr>
            <w:rFonts w:ascii="Calibri" w:hAnsi="Calibri" w:eastAsia="Microsoft YaHei"/>
            <w:color w:val="2E74B5"/>
          </w:rPr>
          <w:t>White House - Report on U.S. Use of Military Force and Related National Security Operations, 2026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https://www.whitehouse.gov/wp-content/uploads/2026/02/Use-of-Military-Force-and-Related-National-Security-Operations.pdf</w:t>
      </w:r>
    </w:p>
    <w:p>
      <w:pPr>
        <w:spacing w:after="100"/>
      </w:pPr>
      <w:hyperlink r:id="rId25">
        <w:r>
          <w:rPr>
            <w:rFonts w:ascii="Calibri" w:hAnsi="Calibri" w:eastAsia="Microsoft YaHei"/>
            <w:color w:val="2E74B5"/>
          </w:rPr>
          <w:t>Congressional Research Service - The Islamic State and Its Affiliates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https://www.congress.gov/crs-product/IF10328</w:t>
      </w:r>
    </w:p>
    <w:p>
      <w:pPr>
        <w:spacing w:after="100"/>
      </w:pPr>
      <w:hyperlink r:id="rId26">
        <w:r>
          <w:rPr>
            <w:rFonts w:ascii="Calibri" w:hAnsi="Calibri" w:eastAsia="Microsoft YaHei"/>
            <w:color w:val="2E74B5"/>
          </w:rPr>
          <w:t>World Bank - Building for Peace: Reconstruction in the Middle East and North Africa</w:t>
        </w:r>
      </w:hyperlink>
      <w:r>
        <w:rPr>
          <w:rFonts w:ascii="Calibri" w:hAnsi="Calibri" w:eastAsia="Microsoft YaHei"/>
          <w:color w:val="666666"/>
          <w:sz w:val="16"/>
        </w:rPr>
        <w:br/>
        <w:t>https://www.worldbank.org/en/region/mena/publication/building-for-peace-reconstruction-for-security-sustainable-peace-and-equity-in-the-middle-east-and-north-africa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2F4F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使用说明：</w:t>
            </w:r>
            <w:r>
              <w:rPr>
                <w:rFonts w:ascii="Calibri" w:hAnsi="Calibri" w:eastAsia="Microsoft YaHei"/>
                <w:color w:val="000000"/>
                <w:sz w:val="21"/>
              </w:rPr>
              <w:t>本报告是研究与项目筛选框架，不构成证券投资、法律、制裁或投标意见。对具体公司、合同和国家市场的判断，必须以当日官方资料、法律审查、交易对手尽调和实际采购文件为准。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Microsoft YaHei"/>
        <w:color w:val="666666"/>
        <w:sz w:val="17"/>
      </w:rPr>
      <w:t>战后重建专题 | 美国参与优先日更计划</w:t>
    </w:r>
    <w:r>
      <w:rPr>
        <w:rFonts w:ascii="Calibri" w:hAnsi="Calibri" w:eastAsia="Microsoft YaHei"/>
        <w:color w:val="666666"/>
        <w:sz w:val="17"/>
      </w:rPr>
      <w:tab/>
      <w:t>截至 2026-07-24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orldbank.org/en/topic/fragilityconflictviolence/brief/classification-of-fragile-and-conflict-affected-situations" TargetMode="External"/><Relationship Id="rId12" Type="http://schemas.openxmlformats.org/officeDocument/2006/relationships/hyperlink" Target="https://www.worldbank.org/en/news/press-release/2026/02/23/updated-ukraine-recovery-and-reconstruction-needs-assessment-released" TargetMode="External"/><Relationship Id="rId13" Type="http://schemas.openxmlformats.org/officeDocument/2006/relationships/hyperlink" Target="https://www.worldbank.org/ext/en/country/syria" TargetMode="External"/><Relationship Id="rId14" Type="http://schemas.openxmlformats.org/officeDocument/2006/relationships/hyperlink" Target="https://www.worldbank.org/en/country/westbankandgaza/brief/financial-intermediary-fund-for-gaza-reconstruction-and-development" TargetMode="External"/><Relationship Id="rId15" Type="http://schemas.openxmlformats.org/officeDocument/2006/relationships/hyperlink" Target="https://www.worldbank.org/en/news/press-release/2025/03/07/lebanon-s-recovery-and-reconstruction-needs-estimated-at-us-11-billion" TargetMode="External"/><Relationship Id="rId16" Type="http://schemas.openxmlformats.org/officeDocument/2006/relationships/hyperlink" Target="https://www.imf.org/en/publications/cr/issues/2025/07/11/iraq-2025-article-iv-consultation-press-release-staff-report-and-informational-annex-568569" TargetMode="External"/><Relationship Id="rId17" Type="http://schemas.openxmlformats.org/officeDocument/2006/relationships/hyperlink" Target="https://www.worldbank.org/ext/en/country/libya" TargetMode="External"/><Relationship Id="rId18" Type="http://schemas.openxmlformats.org/officeDocument/2006/relationships/hyperlink" Target="https://www.worldbank.org/ext/en/country/yemen" TargetMode="External"/><Relationship Id="rId19" Type="http://schemas.openxmlformats.org/officeDocument/2006/relationships/hyperlink" Target="https://www.worldbank.org/en/news/press-release/2025/04/23/afghan-economy-shows-signs-of-gradual-recovery-but-outlook-remains-uncertain-world-bank" TargetMode="External"/><Relationship Id="rId20" Type="http://schemas.openxmlformats.org/officeDocument/2006/relationships/hyperlink" Target="https://www.worldbank.org/ext/en/country/sudan" TargetMode="External"/><Relationship Id="rId21" Type="http://schemas.openxmlformats.org/officeDocument/2006/relationships/hyperlink" Target="https://www.worldbank.org/ext/en/country/iran" TargetMode="External"/><Relationship Id="rId22" Type="http://schemas.openxmlformats.org/officeDocument/2006/relationships/hyperlink" Target="https://media.defense.gov/2026/Mar/29/2003904283/-1/-1/1/OPERATION-EPIC-FURY-FACT-SHEET-THE-FIRST-29-DAYS.PDF" TargetMode="External"/><Relationship Id="rId23" Type="http://schemas.openxmlformats.org/officeDocument/2006/relationships/hyperlink" Target="https://www.congress.gov/crs-product/IN12577" TargetMode="External"/><Relationship Id="rId24" Type="http://schemas.openxmlformats.org/officeDocument/2006/relationships/hyperlink" Target="https://www.whitehouse.gov/wp-content/uploads/2026/02/Use-of-Military-Force-and-Related-National-Security-Operations.pdf" TargetMode="External"/><Relationship Id="rId25" Type="http://schemas.openxmlformats.org/officeDocument/2006/relationships/hyperlink" Target="https://www.congress.gov/crs-product/IF10328" TargetMode="External"/><Relationship Id="rId26" Type="http://schemas.openxmlformats.org/officeDocument/2006/relationships/hyperlink" Target="https://www.worldbank.org/en/region/mena/publication/building-for-peace-reconstruction-for-security-sustainable-peace-and-equity-in-the-middle-east-and-north-afr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战后重建专题总纲与美国参与优先日更计划</dc:title>
  <dc:subject>2000年以来战争国家、经济建设、产业机会、公司观察与42天研究计划</dc:subject>
  <dc:creator/>
  <cp:keywords>战后重建, 美国参与, 国家研究, 产业机会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