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/>
          <w:sz w:val="28"/>
          <w:szCs w:val="28"/>
          <w:lang w:val="en-GB"/>
        </w:rPr>
      </w:pPr>
      <w:r>
        <w:rPr>
          <w:rFonts w:eastAsia="Calibri" w:ascii="Calibri" w:hAnsi="Calibri"/>
          <w:sz w:val="28"/>
          <w:szCs w:val="28"/>
          <w:lang w:val="en-GB"/>
        </w:rPr>
        <w:t>UECS2354 Software Testing</w:t>
      </w:r>
    </w:p>
    <w:p>
      <w:pPr>
        <w:pStyle w:val="Normal"/>
        <w:jc w:val="center"/>
        <w:rPr>
          <w:rFonts w:ascii="Calibri" w:hAnsi="Calibri" w:eastAsia="Calibri"/>
          <w:sz w:val="28"/>
          <w:szCs w:val="28"/>
          <w:lang w:val="en-GB"/>
        </w:rPr>
      </w:pPr>
      <w:r>
        <w:rPr>
          <w:rFonts w:eastAsia="Calibri" w:ascii="Calibri" w:hAnsi="Calibri"/>
          <w:sz w:val="28"/>
          <w:szCs w:val="28"/>
          <w:lang w:val="en-GB"/>
        </w:rPr>
        <w:t>Assignment</w:t>
      </w:r>
    </w:p>
    <w:p>
      <w:pPr>
        <w:pStyle w:val="Normal"/>
        <w:jc w:val="center"/>
        <w:rPr>
          <w:rFonts w:ascii="Calibri" w:hAnsi="Calibri" w:eastAsia="Calibri"/>
          <w:sz w:val="28"/>
          <w:szCs w:val="28"/>
          <w:lang w:val="en-GB"/>
        </w:rPr>
      </w:pPr>
      <w:r>
        <w:rPr>
          <w:rFonts w:eastAsia="Calibri" w:ascii="Calibri" w:hAnsi="Calibri"/>
          <w:sz w:val="28"/>
          <w:szCs w:val="28"/>
          <w:lang w:val="en-GB"/>
        </w:rPr>
        <w:t>Jan 2018</w:t>
      </w:r>
    </w:p>
    <w:p>
      <w:pPr>
        <w:pStyle w:val="Normal"/>
        <w:jc w:val="both"/>
        <w:rPr>
          <w:rFonts w:ascii="Calibri" w:hAnsi="Calibri" w:eastAsia="Calibri"/>
          <w:lang w:val="en-GB"/>
        </w:rPr>
      </w:pPr>
      <w:r>
        <w:rPr>
          <w:rFonts w:eastAsia="Calibri" w:ascii="Calibri" w:hAnsi="Calibri"/>
          <w:lang w:val="en-GB"/>
        </w:rPr>
      </w:r>
    </w:p>
    <w:p>
      <w:pPr>
        <w:pStyle w:val="Normal"/>
        <w:jc w:val="center"/>
        <w:rPr>
          <w:rFonts w:ascii="Calibri" w:hAnsi="Calibri" w:eastAsia="Calibri"/>
          <w:b/>
          <w:b/>
          <w:sz w:val="28"/>
          <w:szCs w:val="28"/>
          <w:lang w:val="en-GB"/>
        </w:rPr>
      </w:pPr>
      <w:r>
        <w:rPr>
          <w:rFonts w:eastAsia="Calibri" w:ascii="Calibri" w:hAnsi="Calibri"/>
          <w:b/>
          <w:sz w:val="28"/>
          <w:szCs w:val="28"/>
          <w:lang w:val="en-GB"/>
        </w:rPr>
        <w:t>Group members</w:t>
      </w:r>
    </w:p>
    <w:p>
      <w:pPr>
        <w:pStyle w:val="Normal"/>
        <w:jc w:val="both"/>
        <w:rPr>
          <w:rFonts w:ascii="Calibri" w:hAnsi="Calibri" w:eastAsia="Calibri"/>
          <w:lang w:val="en-GB"/>
        </w:rPr>
      </w:pPr>
      <w:r>
        <w:rPr>
          <w:rFonts w:eastAsia="Calibri" w:ascii="Calibri" w:hAnsi="Calibri"/>
          <w:lang w:val="en-GB"/>
        </w:rPr>
      </w:r>
    </w:p>
    <w:tbl>
      <w:tblPr>
        <w:tblW w:w="989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85"/>
        <w:gridCol w:w="3509"/>
      </w:tblGrid>
      <w:tr>
        <w:trPr/>
        <w:tc>
          <w:tcPr>
            <w:tcW w:w="6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Name</w:t>
            </w:r>
          </w:p>
        </w:tc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Student ID</w:t>
            </w:r>
          </w:p>
        </w:tc>
      </w:tr>
      <w:tr>
        <w:trPr/>
        <w:tc>
          <w:tcPr>
            <w:tcW w:w="6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contextualSpacing/>
              <w:jc w:val="both"/>
              <w:rPr/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1.Wong Jia Hau</w:t>
            </w:r>
          </w:p>
        </w:tc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1500181</w:t>
            </w:r>
          </w:p>
        </w:tc>
      </w:tr>
    </w:tbl>
    <w:p>
      <w:pPr>
        <w:pStyle w:val="Normal"/>
        <w:jc w:val="both"/>
        <w:rPr>
          <w:rFonts w:ascii="Calibri" w:hAnsi="Calibri" w:eastAsia="Calibri"/>
          <w:lang w:val="en-GB"/>
        </w:rPr>
      </w:pPr>
      <w:r>
        <w:rPr>
          <w:rFonts w:eastAsia="Calibri" w:ascii="Calibri" w:hAnsi="Calibri"/>
          <w:lang w:val="en-GB"/>
        </w:rPr>
      </w:r>
    </w:p>
    <w:p>
      <w:pPr>
        <w:pStyle w:val="Normal"/>
        <w:jc w:val="both"/>
        <w:rPr>
          <w:rFonts w:ascii="Calibri" w:hAnsi="Calibri" w:eastAsia="Calibri"/>
          <w:lang w:val="en-GB"/>
        </w:rPr>
      </w:pPr>
      <w:r>
        <w:rPr>
          <w:rFonts w:eastAsia="Calibri" w:ascii="Calibri" w:hAnsi="Calibri"/>
          <w:lang w:val="en-GB"/>
        </w:rPr>
      </w:r>
    </w:p>
    <w:p>
      <w:pPr>
        <w:pStyle w:val="Normal"/>
        <w:jc w:val="center"/>
        <w:rPr>
          <w:rFonts w:ascii="Calibri" w:hAnsi="Calibri" w:eastAsia="Calibri"/>
          <w:b/>
          <w:b/>
          <w:sz w:val="28"/>
          <w:szCs w:val="28"/>
          <w:lang w:val="en-GB"/>
        </w:rPr>
      </w:pPr>
      <w:r>
        <w:rPr>
          <w:rFonts w:eastAsia="Calibri" w:ascii="Calibri" w:hAnsi="Calibri"/>
          <w:b/>
          <w:sz w:val="28"/>
          <w:szCs w:val="28"/>
          <w:lang w:val="en-GB"/>
        </w:rPr>
        <w:t>Marks breakdown</w:t>
      </w:r>
    </w:p>
    <w:p>
      <w:pPr>
        <w:pStyle w:val="Normal"/>
        <w:jc w:val="both"/>
        <w:rPr>
          <w:rFonts w:ascii="Calibri" w:hAnsi="Calibri" w:eastAsia="Calibri"/>
          <w:lang w:val="en-GB"/>
        </w:rPr>
      </w:pPr>
      <w:r>
        <w:rPr>
          <w:rFonts w:eastAsia="Calibri" w:ascii="Calibri" w:hAnsi="Calibri"/>
          <w:lang w:val="en-GB"/>
        </w:rPr>
      </w:r>
    </w:p>
    <w:tbl>
      <w:tblPr>
        <w:tblW w:w="989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4" w:type="dxa"/>
          <w:bottom w:w="0" w:type="dxa"/>
          <w:right w:w="29" w:type="dxa"/>
        </w:tblCellMar>
        <w:tblLook w:val="04a0" w:noVBand="1" w:noHBand="0" w:lastColumn="0" w:firstColumn="1" w:lastRow="0" w:firstRow="1"/>
      </w:tblPr>
      <w:tblGrid>
        <w:gridCol w:w="4675"/>
        <w:gridCol w:w="988"/>
        <w:gridCol w:w="4232"/>
      </w:tblGrid>
      <w:tr>
        <w:trPr/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b/>
                <w:b/>
                <w:sz w:val="28"/>
                <w:szCs w:val="28"/>
                <w:lang w:val="en-GB"/>
              </w:rPr>
            </w:pPr>
            <w:r>
              <w:rPr>
                <w:rFonts w:eastAsia="Calibri" w:ascii="Calibri" w:hAnsi="Calibri"/>
                <w:b/>
                <w:sz w:val="28"/>
                <w:szCs w:val="28"/>
                <w:lang w:val="en-GB"/>
              </w:rPr>
              <w:t>Parts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b/>
                <w:b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b/>
                <w:sz w:val="24"/>
                <w:szCs w:val="24"/>
                <w:lang w:val="en-GB"/>
              </w:rPr>
              <w:t>Marks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b/>
                <w:b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b/>
                <w:sz w:val="24"/>
                <w:szCs w:val="24"/>
                <w:lang w:val="en-GB"/>
              </w:rPr>
              <w:t>Comments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spacing w:before="0" w:after="0"/>
              <w:contextualSpacing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b/>
                <w:sz w:val="24"/>
                <w:szCs w:val="24"/>
                <w:lang w:val="en-GB"/>
              </w:rPr>
              <w:t>Part A</w:t>
            </w:r>
          </w:p>
          <w:p>
            <w:pPr>
              <w:pStyle w:val="ListParagraph"/>
              <w:numPr>
                <w:ilvl w:val="0"/>
                <w:numId w:val="2"/>
              </w:numPr>
              <w:ind w:left="236" w:hanging="236"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Decision table</w:t>
            </w:r>
          </w:p>
          <w:p>
            <w:pPr>
              <w:pStyle w:val="ListParagraph"/>
              <w:numPr>
                <w:ilvl w:val="0"/>
                <w:numId w:val="2"/>
              </w:numPr>
              <w:ind w:left="236" w:hanging="236"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Appropriateness of test cases.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/ 5</w:t>
            </w:r>
          </w:p>
          <w:p>
            <w:pPr>
              <w:pStyle w:val="Normal"/>
              <w:jc w:val="right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/ 15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ascii="Calibri" w:hAnsi="Calibri"/>
                <w:lang w:val="en-GB"/>
              </w:rPr>
            </w:r>
          </w:p>
        </w:tc>
      </w:tr>
      <w:tr>
        <w:trPr/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b/>
                <w:b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b/>
                <w:sz w:val="24"/>
                <w:szCs w:val="24"/>
                <w:lang w:val="en-GB"/>
              </w:rPr>
              <w:t>Part B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ascii="Calibri" w:hAnsi="Calibri"/>
                <w:lang w:val="en-GB"/>
              </w:rPr>
            </w:r>
          </w:p>
        </w:tc>
      </w:tr>
      <w:tr>
        <w:trPr/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236" w:hanging="236"/>
              <w:contextualSpacing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Correctness of application code (2 classes).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 xml:space="preserve">     </w:t>
            </w: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/ 10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ascii="Calibri" w:hAnsi="Calibri"/>
                <w:lang w:val="en-GB"/>
              </w:rPr>
            </w:r>
          </w:p>
        </w:tc>
      </w:tr>
      <w:tr>
        <w:trPr/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236" w:hanging="236"/>
              <w:contextualSpacing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 xml:space="preserve">Appropriate used of </w:t>
            </w:r>
            <w:r>
              <w:rPr>
                <w:rFonts w:eastAsia="Calibri" w:cs="Courier New" w:ascii="Courier New" w:hAnsi="Courier New"/>
                <w:sz w:val="24"/>
                <w:szCs w:val="24"/>
                <w:lang w:val="en-GB"/>
              </w:rPr>
              <w:t>assertsXXX</w:t>
            </w: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 xml:space="preserve"> methods.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/ 10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ascii="Calibri" w:hAnsi="Calibri"/>
                <w:lang w:val="en-GB"/>
              </w:rPr>
            </w:r>
          </w:p>
        </w:tc>
      </w:tr>
      <w:tr>
        <w:trPr/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236" w:hanging="236"/>
              <w:contextualSpacing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Using parameterised tests correctly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 xml:space="preserve">     </w:t>
            </w: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/ 10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ascii="Calibri" w:hAnsi="Calibri"/>
                <w:lang w:val="en-GB"/>
              </w:rPr>
            </w:r>
          </w:p>
        </w:tc>
      </w:tr>
      <w:tr>
        <w:trPr/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236" w:hanging="236"/>
              <w:contextualSpacing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Invalid values are checked for in implemented code, and tests for invalid values are performed.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 xml:space="preserve">     </w:t>
            </w: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/ 15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ascii="Calibri" w:hAnsi="Calibri"/>
                <w:lang w:val="en-GB"/>
              </w:rPr>
            </w:r>
          </w:p>
        </w:tc>
      </w:tr>
      <w:tr>
        <w:trPr/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236" w:hanging="236"/>
              <w:contextualSpacing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Use of test doubles, mocks, spies or stubs for testing.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 xml:space="preserve">     </w:t>
            </w: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/ 10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ascii="Calibri" w:hAnsi="Calibri"/>
                <w:lang w:val="en-GB"/>
              </w:rPr>
            </w:r>
          </w:p>
        </w:tc>
      </w:tr>
      <w:tr>
        <w:trPr/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236" w:hanging="236"/>
              <w:contextualSpacing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Combining test cases into test suites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 xml:space="preserve">     </w:t>
            </w:r>
            <w:bookmarkStart w:id="0" w:name="_GoBack"/>
            <w:bookmarkEnd w:id="0"/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/ 5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ascii="Calibri" w:hAnsi="Calibri"/>
                <w:lang w:val="en-GB"/>
              </w:rPr>
            </w:r>
          </w:p>
        </w:tc>
      </w:tr>
      <w:tr>
        <w:trPr/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236" w:hanging="236"/>
              <w:contextualSpacing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Setting up some tests so that test values are read from a text file instead of hardcoding into test code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 xml:space="preserve">     </w:t>
            </w: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/ 10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ascii="Calibri" w:hAnsi="Calibri"/>
                <w:lang w:val="en-GB"/>
              </w:rPr>
            </w:r>
          </w:p>
        </w:tc>
      </w:tr>
      <w:tr>
        <w:trPr/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236" w:hanging="236"/>
              <w:contextualSpacing/>
              <w:jc w:val="both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Perform integration testing after unit tests have been completed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  <w:vAlign w:val="bottom"/>
          </w:tcPr>
          <w:p>
            <w:pPr>
              <w:pStyle w:val="Normal"/>
              <w:jc w:val="right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 xml:space="preserve">     </w:t>
            </w: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/ 10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ascii="Calibri" w:hAnsi="Calibri"/>
                <w:lang w:val="en-GB"/>
              </w:rPr>
            </w:r>
          </w:p>
        </w:tc>
      </w:tr>
      <w:tr>
        <w:trPr/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b/>
                <w:b/>
                <w:sz w:val="28"/>
                <w:szCs w:val="28"/>
                <w:lang w:val="en-GB"/>
              </w:rPr>
            </w:pPr>
            <w:r>
              <w:rPr>
                <w:rFonts w:eastAsia="Calibri" w:ascii="Calibri" w:hAnsi="Calibri"/>
                <w:b/>
                <w:sz w:val="28"/>
                <w:szCs w:val="28"/>
                <w:lang w:val="en-GB"/>
              </w:rPr>
              <w:t>Total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right"/>
              <w:rPr>
                <w:rFonts w:ascii="Calibri" w:hAnsi="Calibri" w:eastAsia="Calibri"/>
                <w:sz w:val="24"/>
                <w:szCs w:val="24"/>
                <w:lang w:val="en-GB"/>
              </w:rPr>
            </w:pP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 xml:space="preserve">   </w:t>
            </w:r>
            <w:r>
              <w:rPr>
                <w:rFonts w:eastAsia="Calibri" w:ascii="Calibri" w:hAnsi="Calibri"/>
                <w:sz w:val="24"/>
                <w:szCs w:val="24"/>
                <w:lang w:val="en-GB"/>
              </w:rPr>
              <w:t>/ 100</w:t>
            </w:r>
          </w:p>
        </w:tc>
        <w:tc>
          <w:tcPr>
            <w:tcW w:w="4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jc w:val="both"/>
              <w:rPr>
                <w:rFonts w:ascii="Calibri" w:hAnsi="Calibri" w:eastAsia="Calibri"/>
                <w:lang w:val="en-GB"/>
              </w:rPr>
            </w:pPr>
            <w:r>
              <w:rPr>
                <w:rFonts w:eastAsia="Calibri" w:ascii="Calibri" w:hAnsi="Calibri"/>
                <w:lang w:val="en-GB"/>
              </w:rPr>
            </w:r>
          </w:p>
        </w:tc>
      </w:tr>
    </w:tbl>
    <w:p>
      <w:pPr>
        <w:pStyle w:val="Normal"/>
        <w:jc w:val="both"/>
        <w:rPr>
          <w:rFonts w:ascii="Calibri" w:hAnsi="Calibri" w:eastAsia="Calibri"/>
          <w:lang w:val="en-GB"/>
        </w:rPr>
      </w:pPr>
      <w:r>
        <w:rPr>
          <w:rFonts w:eastAsia="Calibri" w:ascii="Calibri" w:hAnsi="Calibri"/>
          <w:lang w:val="en-GB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  <w:t>Decision table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0150" cy="23717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  <w:t>Test cases</w:t>
      </w:r>
    </w:p>
    <w:p>
      <w:pPr>
        <w:pStyle w:val="Heading3"/>
        <w:rPr/>
      </w:pPr>
      <w:r>
        <w:rPr/>
        <w:t>Legend</w:t>
      </w:r>
    </w:p>
    <w:p>
      <w:pPr>
        <w:pStyle w:val="Heading3"/>
        <w:numPr>
          <w:ilvl w:val="0"/>
          <w:numId w:val="3"/>
        </w:numPr>
        <w:rPr/>
      </w:pPr>
      <w:r>
        <w:rPr/>
        <w:t>CPP means Charge Per Piece (RM)</w:t>
      </w:r>
    </w:p>
    <w:p>
      <w:pPr>
        <w:pStyle w:val="Heading3"/>
        <w:numPr>
          <w:ilvl w:val="0"/>
          <w:numId w:val="3"/>
        </w:numPr>
        <w:rPr/>
      </w:pPr>
      <w:r>
        <w:rPr/>
        <w:t>HQP means High Quality Paper</w:t>
      </w:r>
    </w:p>
    <w:p>
      <w:pPr>
        <w:pStyle w:val="Heading3"/>
        <w:numPr>
          <w:ilvl w:val="0"/>
          <w:numId w:val="3"/>
        </w:numPr>
        <w:rPr/>
      </w:pPr>
      <w:r>
        <w:rPr/>
        <w:t>DE means Design Effects</w:t>
      </w:r>
    </w:p>
    <w:p>
      <w:pPr>
        <w:pStyle w:val="Heading3"/>
        <w:numPr>
          <w:ilvl w:val="0"/>
          <w:numId w:val="3"/>
        </w:numPr>
        <w:rPr/>
      </w:pPr>
      <w:r>
        <w:rPr/>
        <w:t>N/A means Not Applicable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050" cy="670115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-13970</wp:posOffset>
            </wp:positionV>
            <wp:extent cx="3350260" cy="679894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1505585</wp:posOffset>
            </wp:positionH>
            <wp:positionV relativeFrom="paragraph">
              <wp:posOffset>6227445</wp:posOffset>
            </wp:positionV>
            <wp:extent cx="3378200" cy="110299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  <w:t>Test Report</w:t>
      </w:r>
    </w:p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0150" cy="329692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008" w:right="1008" w:header="0" w:top="144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26661c"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sid w:val="00d156c9"/>
    <w:rPr>
      <w:color w:val="0000FF"/>
      <w:u w:val="single"/>
    </w:rPr>
  </w:style>
  <w:style w:type="character" w:styleId="Heading1Char" w:customStyle="1">
    <w:name w:val="Heading 1 Char"/>
    <w:link w:val="Heading1"/>
    <w:qFormat/>
    <w:rsid w:val="0026661c"/>
    <w:rPr>
      <w:rFonts w:ascii="Calibri Light" w:hAnsi="Calibri Light" w:eastAsia="Times New Roman" w:cs="Times New Roman"/>
      <w:b/>
      <w:bCs/>
      <w:sz w:val="32"/>
      <w:szCs w:val="32"/>
    </w:rPr>
  </w:style>
  <w:style w:type="character" w:styleId="HeaderChar" w:customStyle="1">
    <w:name w:val="Header Char"/>
    <w:basedOn w:val="DefaultParagraphFont"/>
    <w:link w:val="Header"/>
    <w:qFormat/>
    <w:rsid w:val="000169af"/>
    <w:rPr>
      <w:lang w:val="en-US" w:eastAsia="en-US"/>
    </w:rPr>
  </w:style>
  <w:style w:type="character" w:styleId="ListLabel1">
    <w:name w:val="ListLabel 1"/>
    <w:qFormat/>
    <w:rPr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i w:val="false"/>
      <w:color w:val="00000A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 w:val="false"/>
      <w:i w:val="false"/>
      <w:color w:val="00000A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color w:val="00000A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rsid w:val="00fd0f56"/>
    <w:pPr>
      <w:spacing w:beforeAutospacing="1" w:afterAutospacing="1"/>
    </w:pPr>
    <w:rPr>
      <w:rFonts w:eastAsia="宋体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0169af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4104a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e35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5629A-1CBC-402B-97E4-68BDB047B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6557</TotalTime>
  <Application>LibreOffice/5.1.6.2$Linux_X86_64 LibreOffice_project/10m0$Build-2</Application>
  <Pages>6</Pages>
  <Words>168</Words>
  <Characters>762</Characters>
  <CharactersWithSpaces>911</CharactersWithSpaces>
  <Paragraphs>44</Paragraphs>
  <Company>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2018-03-16T01:44:00Z</dcterms:created>
  <dc:creator>Khor Siak Wang</dc:creator>
  <dc:description/>
  <dc:language>en-US</dc:language>
  <cp:lastModifiedBy/>
  <cp:lastPrinted>2002-06-23T07:30:00Z</cp:lastPrinted>
  <dcterms:modified xsi:type="dcterms:W3CDTF">2018-04-21T12:09:32Z</dcterms:modified>
  <cp:revision>16</cp:revision>
  <dc:subject/>
  <dc:title>Software Engineering -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