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[link the project proposal]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[link the project charter]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[link the project plan]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[link the evaluation findings presentation]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