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sz w:val="36"/>
          <w:szCs w:val="36"/>
        </w:rPr>
        <w:t>服务器性能容量变化趋势分析需求说明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书</w:t>
      </w:r>
    </w:p>
    <w:p>
      <w:pPr>
        <w:jc w:val="center"/>
        <w:rPr>
          <w:rFonts w:hint="eastAsia" w:ascii="黑体" w:hAnsi="黑体" w:eastAsia="黑体" w:cs="黑体"/>
          <w:sz w:val="36"/>
          <w:szCs w:val="36"/>
          <w:lang w:eastAsia="zh-CN"/>
        </w:rPr>
      </w:pPr>
    </w:p>
    <w:p>
      <w:pPr>
        <w:numPr>
          <w:ilvl w:val="0"/>
          <w:numId w:val="1"/>
        </w:numPr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背景</w:t>
      </w:r>
    </w:p>
    <w:p>
      <w:pPr>
        <w:numPr>
          <w:numId w:val="0"/>
        </w:numPr>
        <w:ind w:firstLine="420" w:firstLineChars="0"/>
        <w:jc w:val="both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目前一体化运维平台已采集每台生产服务器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CPU、内存等性能指标，同时也记录了每台服务器所属应用、节点类型、灾备等级、CPU、内存大小等信息，计划通过AI对服务器和应用性能容量变化趋势进行收集分析。</w:t>
      </w:r>
    </w:p>
    <w:p>
      <w:pPr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1610" cy="2837180"/>
            <wp:effectExtent l="0" t="0" r="152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1135" cy="906780"/>
            <wp:effectExtent l="0" t="0" r="571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需求</w:t>
      </w:r>
    </w:p>
    <w:p>
      <w:pPr>
        <w:numPr>
          <w:ilvl w:val="0"/>
          <w:numId w:val="2"/>
        </w:numPr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应用繁忙时段变化分析</w:t>
      </w:r>
    </w:p>
    <w:p>
      <w:pPr>
        <w:numPr>
          <w:numId w:val="0"/>
        </w:numPr>
        <w:ind w:firstLine="420" w:firstLineChars="0"/>
        <w:jc w:val="both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结合每台服务器的历史性能数据及和所属应用信息，可按应用维度分析出该应用的特性，如股票交易繁忙时段应该是股票开市时段，部分数据分析类应用繁忙时段可能是夜间批量时段。给出每个应用的应用特性画像，可按应用名称、应用简称、灾备等级、IP地址、主机名等信息搜索。如果是按应用搜索，结合所属应用所有服务器性能数据给出结论，如果是按IP地址或主机名搜索，按具体服务器给出结论。时间范围可按24小时、7天、一个月、半年、一年等维度进行分析。</w:t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服务器性能突发变化预警</w:t>
      </w:r>
    </w:p>
    <w:p>
      <w:pPr>
        <w:numPr>
          <w:numId w:val="0"/>
        </w:numPr>
        <w:ind w:leftChars="0" w:firstLine="420" w:firstLineChars="0"/>
        <w:jc w:val="both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可通过设定的阈值（阈值参数化可调整），对30天内某时间点的性能数据进行比较，如发现性能数据超过阈值的偏差，给出报警提示，提示在某时间段内性能数据发生异常变化。如A服务器周一早9-10点时间段CPU使用率一般是60%，突然某个周一使用率变成了80%，给出告警。</w:t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低效能服务器资源回收建议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如某台服务器CPU、内存使用率在某段时间（时间可设置为一个月、三个月、半年）从未超过阈值（阈值参数化可调整），给出资源回收建议，按不超过使用率70%（该参数可调整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）给出回收多少资源的建议。比如一台服务器目前内存为16G，但使用率仅为20%约3.2G，按回收后使用率不高于70%，约5G内存即可满足要求（16-16*20%/70%），即建议回收11G内存。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AC5ED"/>
    <w:multiLevelType w:val="singleLevel"/>
    <w:tmpl w:val="82DAC5E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EA99223"/>
    <w:multiLevelType w:val="singleLevel"/>
    <w:tmpl w:val="5EA9922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C14B0"/>
    <w:rsid w:val="122C2B77"/>
    <w:rsid w:val="20AC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Office_11.8.2.11089_F1E327BC-269C-435d-A152-05C5408002CA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2026-10-07T02:38:42Z</dcterms:created>
  <dc:creator>gyyz-yuanpu</dc:creator>
  <cp:lastModifiedBy>浦沅</cp:lastModifiedBy>
  <dcterms:modified xsi:type="dcterms:W3CDTF">2026-10-07T03:06:35Z</dcterms:modified>
  <dc:title>服务器性能容量变化趋势分析需求说明书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2052-11.8.2.11089</vt:lpwstr>
  </property>
  <property fmtid="{D5CDD505-2E9C-101B-9397-08002B2CF9AE}" pid="3" name="ICV">
    <vt:lpwstr>1B688529B93F4C71803F2EF4584E661E</vt:lpwstr>
  </property>
</Properties>
</file>