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Background</w:t>
      </w:r>
    </w:p>
    <w:p>
      <w:pPr>
        <w:rPr>
          <w:rFonts w:hint="eastAsia"/>
        </w:rPr>
      </w:pPr>
      <w:r>
        <w:rPr>
          <w:rFonts w:hint="eastAsia"/>
        </w:rPr>
        <w:t>To comply with HKMA guidelines (re SPM CR-G-2), cash flow forecast and</w:t>
      </w:r>
      <w:r>
        <w:rPr>
          <w:rFonts w:hint="default"/>
          <w:lang/>
        </w:rPr>
        <w:t xml:space="preserve"> </w:t>
      </w:r>
      <w:r>
        <w:rPr>
          <w:rFonts w:hint="eastAsia"/>
        </w:rPr>
        <w:t xml:space="preserve">assessment on debt </w:t>
      </w:r>
      <w:bookmarkStart w:id="0" w:name="_GoBack"/>
      <w:r>
        <w:rPr>
          <w:rFonts w:hint="eastAsia"/>
        </w:rPr>
        <w:t>service ability are the criteria for credit decision. As per</w:t>
      </w:r>
      <w:r>
        <w:rPr>
          <w:rFonts w:hint="default"/>
          <w:lang/>
        </w:rPr>
        <w:t xml:space="preserve"> </w:t>
      </w:r>
      <w:r>
        <w:rPr>
          <w:rFonts w:hint="eastAsia"/>
        </w:rPr>
        <w:t xml:space="preserve">Credit Manual Section D, cash flow </w:t>
      </w:r>
      <w:bookmarkEnd w:id="0"/>
      <w:r>
        <w:rPr>
          <w:rFonts w:hint="eastAsia"/>
        </w:rPr>
        <w:t>projection and DSR calculation for all</w:t>
      </w:r>
      <w:r>
        <w:rPr>
          <w:rFonts w:hint="default"/>
          <w:lang/>
        </w:rPr>
        <w:t xml:space="preserve"> </w:t>
      </w:r>
      <w:r>
        <w:rPr>
          <w:rFonts w:hint="eastAsia"/>
        </w:rPr>
        <w:t>granted facilities with tenor exceeding 1 year including syndication loans,</w:t>
      </w:r>
      <w:r>
        <w:rPr>
          <w:rFonts w:hint="default"/>
          <w:lang/>
        </w:rPr>
        <w:t xml:space="preserve"> </w:t>
      </w:r>
      <w:r>
        <w:rPr>
          <w:rFonts w:hint="eastAsia"/>
        </w:rPr>
        <w:t>bilateral term loans, term loan under 內保外貸, SEC limit, construction /</w:t>
      </w:r>
      <w:r>
        <w:rPr>
          <w:rFonts w:hint="default"/>
          <w:lang/>
        </w:rPr>
        <w:t xml:space="preserve"> </w:t>
      </w:r>
      <w:r>
        <w:rPr>
          <w:rFonts w:hint="eastAsia"/>
        </w:rPr>
        <w:t>project loans, and mortgages loans with tenor &gt; 1 year shall be conducted.</w:t>
      </w:r>
      <w:r>
        <w:rPr>
          <w:rFonts w:hint="default"/>
          <w:lang/>
        </w:rPr>
        <w:t xml:space="preserve"> </w:t>
      </w:r>
      <w:r>
        <w:rPr>
          <w:rFonts w:hint="eastAsia"/>
        </w:rPr>
        <w:t>Exemption only applies to banks and sovereigns.</w:t>
      </w:r>
      <w:r>
        <w:rPr>
          <w:rFonts w:hint="default"/>
          <w:lang/>
        </w:rPr>
        <w:t xml:space="preserve"> </w:t>
      </w:r>
      <w:r>
        <w:rPr>
          <w:rFonts w:hint="eastAsia"/>
        </w:rPr>
        <w:t>Given there are various type of loan facilities while some would have</w:t>
      </w:r>
      <w:r>
        <w:rPr>
          <w:rFonts w:hint="default"/>
          <w:lang/>
        </w:rPr>
        <w:t xml:space="preserve"> </w:t>
      </w:r>
      <w:r>
        <w:rPr>
          <w:rFonts w:hint="eastAsia"/>
        </w:rPr>
        <w:t>special features like construction / project loans, the cash flow projection</w:t>
      </w:r>
      <w:r>
        <w:rPr>
          <w:rFonts w:hint="default"/>
          <w:lang/>
        </w:rPr>
        <w:t xml:space="preserve"> </w:t>
      </w:r>
      <w:r>
        <w:rPr>
          <w:rFonts w:hint="eastAsia"/>
        </w:rPr>
        <w:t>template herewith is to cope with corporate transactions such as loans and</w:t>
      </w:r>
      <w:r>
        <w:rPr>
          <w:rFonts w:hint="default"/>
          <w:lang/>
        </w:rPr>
        <w:t xml:space="preserve"> </w:t>
      </w:r>
      <w:r>
        <w:rPr>
          <w:rFonts w:hint="eastAsia"/>
        </w:rPr>
        <w:t>bonds purchase only.</w:t>
      </w:r>
      <w:r>
        <w:rPr>
          <w:rFonts w:hint="default"/>
          <w:lang/>
        </w:rPr>
        <w:t xml:space="preserve"> </w:t>
      </w:r>
      <w:r>
        <w:rPr>
          <w:rFonts w:hint="eastAsia"/>
        </w:rPr>
        <w:t>The forecast in principle shall be tested on Borrower level. However in the</w:t>
      </w:r>
      <w:r>
        <w:rPr>
          <w:rFonts w:hint="default"/>
          <w:lang/>
        </w:rPr>
        <w:t xml:space="preserve"> </w:t>
      </w:r>
      <w:r>
        <w:rPr>
          <w:rFonts w:hint="eastAsia"/>
        </w:rPr>
        <w:t>case where the Borrower is a SPV or there is a corporate guarantee</w:t>
      </w:r>
      <w:r>
        <w:rPr>
          <w:rFonts w:hint="default"/>
          <w:lang/>
        </w:rPr>
        <w:t xml:space="preserve"> </w:t>
      </w:r>
      <w:r>
        <w:rPr>
          <w:rFonts w:hint="eastAsia"/>
        </w:rPr>
        <w:t>provided, the projection could be run on the Guarantor level in order to</w:t>
      </w:r>
      <w:r>
        <w:rPr>
          <w:rFonts w:hint="default"/>
          <w:lang/>
        </w:rPr>
        <w:t xml:space="preserve"> </w:t>
      </w:r>
      <w:r>
        <w:rPr>
          <w:rFonts w:hint="eastAsia"/>
        </w:rPr>
        <w:t>provide a reasonable and meaningful test.</w:t>
      </w:r>
    </w:p>
    <w:p>
      <w:pPr>
        <w:rPr>
          <w:rFonts w:hint="eastAsia"/>
        </w:rPr>
      </w:pPr>
    </w:p>
    <w:p>
      <w:pPr>
        <w:rPr>
          <w:rFonts w:hint="eastAsia"/>
        </w:rPr>
      </w:pPr>
      <w:r>
        <w:rPr>
          <w:rFonts w:hint="eastAsia"/>
        </w:rPr>
        <w:t>Principle</w:t>
      </w:r>
    </w:p>
    <w:p>
      <w:pPr>
        <w:rPr>
          <w:rFonts w:hint="eastAsia"/>
        </w:rPr>
      </w:pPr>
      <w:r>
        <w:rPr>
          <w:rFonts w:hint="eastAsia"/>
        </w:rPr>
        <w:t>Cash flow forecast should cover the whole loan life of our new financing</w:t>
      </w:r>
      <w:r>
        <w:rPr>
          <w:rFonts w:hint="default"/>
          <w:lang/>
        </w:rPr>
        <w:t xml:space="preserve"> </w:t>
      </w:r>
      <w:r>
        <w:rPr>
          <w:rFonts w:hint="eastAsia"/>
        </w:rPr>
        <w:t>with full debt repayment shown. Proper assumptions have to be made</w:t>
      </w:r>
      <w:r>
        <w:rPr>
          <w:rFonts w:hint="default"/>
          <w:lang/>
        </w:rPr>
        <w:t xml:space="preserve"> </w:t>
      </w:r>
      <w:r>
        <w:rPr>
          <w:rFonts w:hint="eastAsia"/>
        </w:rPr>
        <w:t>and duly justified with supporting arguments / facts. Considerations</w:t>
      </w:r>
      <w:r>
        <w:rPr>
          <w:rFonts w:hint="default"/>
          <w:lang/>
        </w:rPr>
        <w:t xml:space="preserve"> </w:t>
      </w:r>
      <w:r>
        <w:rPr>
          <w:rFonts w:hint="eastAsia"/>
        </w:rPr>
        <w:t>should include macro-economic factors such as interest rate, exchange rate,</w:t>
      </w:r>
      <w:r>
        <w:rPr>
          <w:rFonts w:hint="default"/>
          <w:lang/>
        </w:rPr>
        <w:t xml:space="preserve"> </w:t>
      </w:r>
      <w:r>
        <w:rPr>
          <w:rFonts w:hint="eastAsia"/>
        </w:rPr>
        <w:t>adverse developments of industries like regulatory changes, etc., as well as</w:t>
      </w:r>
      <w:r>
        <w:rPr>
          <w:rFonts w:hint="default"/>
          <w:lang/>
        </w:rPr>
        <w:t xml:space="preserve"> </w:t>
      </w:r>
      <w:r>
        <w:rPr>
          <w:rFonts w:hint="eastAsia"/>
        </w:rPr>
        <w:t>factors specific to the borrower.</w:t>
      </w:r>
    </w:p>
    <w:p>
      <w:pPr>
        <w:rPr>
          <w:rFonts w:hint="eastAsia"/>
        </w:rPr>
      </w:pPr>
      <w:r>
        <w:rPr>
          <w:rFonts w:hint="eastAsia"/>
        </w:rPr>
        <w:t>Input for Cash flow</w:t>
      </w:r>
    </w:p>
    <w:p>
      <w:pPr>
        <w:rPr>
          <w:rFonts w:hint="eastAsia"/>
        </w:rPr>
      </w:pPr>
      <w:r>
        <w:rPr>
          <w:rFonts w:hint="eastAsia"/>
        </w:rPr>
        <w:t>I) OIC Input for DSR Worksheet</w:t>
      </w:r>
    </w:p>
    <w:p>
      <w:pPr>
        <w:rPr>
          <w:rFonts w:hint="eastAsia"/>
        </w:rPr>
      </w:pPr>
      <w:r>
        <w:rPr>
          <w:rFonts w:hint="eastAsia"/>
        </w:rPr>
        <w:t>i) Input of Basic information</w:t>
      </w:r>
    </w:p>
    <w:p>
      <w:pPr>
        <w:rPr>
          <w:rFonts w:hint="eastAsia"/>
        </w:rPr>
      </w:pPr>
      <w:r>
        <w:rPr>
          <w:rFonts w:hint="eastAsia"/>
        </w:rPr>
        <w:t> All basic information including name of the borrower, total group</w:t>
      </w:r>
      <w:r>
        <w:rPr>
          <w:rFonts w:hint="default"/>
          <w:lang/>
        </w:rPr>
        <w:t xml:space="preserve"> </w:t>
      </w:r>
      <w:r>
        <w:rPr>
          <w:rFonts w:hint="eastAsia"/>
        </w:rPr>
        <w:t>exposure, proposed loan amount, loan tenor and name of OIC/CA shall</w:t>
      </w:r>
      <w:r>
        <w:rPr>
          <w:rFonts w:hint="default"/>
          <w:lang/>
        </w:rPr>
        <w:t xml:space="preserve"> </w:t>
      </w:r>
      <w:r>
        <w:rPr>
          <w:rFonts w:hint="eastAsia"/>
        </w:rPr>
        <w:t>be input into the respective cell.</w:t>
      </w:r>
    </w:p>
    <w:p>
      <w:pPr>
        <w:rPr>
          <w:rFonts w:hint="eastAsia"/>
        </w:rPr>
      </w:pPr>
      <w:r>
        <w:rPr>
          <w:rFonts w:hint="eastAsia"/>
        </w:rPr>
        <w:t> Corp Type has to be input (“0” for SME &amp; Trading, “1” for Corporates</w:t>
      </w:r>
      <w:r>
        <w:rPr>
          <w:rFonts w:hint="default"/>
          <w:lang/>
        </w:rPr>
        <w:t xml:space="preserve"> </w:t>
      </w:r>
      <w:r>
        <w:rPr>
          <w:rFonts w:hint="eastAsia"/>
        </w:rPr>
        <w:t>and Manufacturing) in order for the determination of depreciation</w:t>
      </w:r>
      <w:r>
        <w:rPr>
          <w:rFonts w:hint="default"/>
          <w:lang/>
        </w:rPr>
        <w:t xml:space="preserve"> </w:t>
      </w:r>
      <w:r>
        <w:rPr>
          <w:rFonts w:hint="eastAsia"/>
        </w:rPr>
        <w:t>incurred from new capex into COGS or operating expenses.</w:t>
      </w:r>
    </w:p>
    <w:p>
      <w:pPr>
        <w:rPr>
          <w:rFonts w:hint="eastAsia"/>
        </w:rPr>
      </w:pPr>
      <w:r>
        <w:rPr>
          <w:rFonts w:hint="eastAsia"/>
        </w:rPr>
        <w:t> Once the basic information is input, the same will be shown in all the</w:t>
      </w:r>
      <w:r>
        <w:rPr>
          <w:rFonts w:hint="default"/>
          <w:lang/>
        </w:rPr>
        <w:t xml:space="preserve"> </w:t>
      </w:r>
      <w:r>
        <w:rPr>
          <w:rFonts w:hint="eastAsia"/>
        </w:rPr>
        <w:t>other worksheets of the cash flow template file.</w:t>
      </w:r>
    </w:p>
    <w:p>
      <w:pPr>
        <w:rPr>
          <w:rFonts w:hint="eastAsia"/>
        </w:rPr>
      </w:pPr>
      <w:r>
        <w:rPr>
          <w:rFonts w:hint="eastAsia"/>
        </w:rPr>
        <w:t>ii) Source of Financial Information</w:t>
      </w:r>
    </w:p>
    <w:p>
      <w:pPr>
        <w:rPr>
          <w:rFonts w:hint="eastAsia"/>
        </w:rPr>
      </w:pPr>
      <w:r>
        <w:rPr>
          <w:rFonts w:hint="eastAsia"/>
        </w:rPr>
        <w:t> Under this section, input type of financial statement ie Audited or</w:t>
      </w:r>
      <w:r>
        <w:rPr>
          <w:rFonts w:hint="default"/>
          <w:lang/>
        </w:rPr>
        <w:t xml:space="preserve"> </w:t>
      </w:r>
      <w:r>
        <w:rPr>
          <w:rFonts w:hint="eastAsia"/>
        </w:rPr>
        <w:t>Unaudited. Unaudited / draft statements are acceptable if the audited</w:t>
      </w:r>
      <w:r>
        <w:rPr>
          <w:rFonts w:hint="default"/>
          <w:lang/>
        </w:rPr>
        <w:t xml:space="preserve"> </w:t>
      </w:r>
      <w:r>
        <w:rPr>
          <w:rFonts w:hint="eastAsia"/>
        </w:rPr>
        <w:t>statement is not available. Latest financial statement available /</w:t>
      </w:r>
      <w:r>
        <w:rPr>
          <w:rFonts w:hint="default"/>
          <w:lang/>
        </w:rPr>
        <w:t xml:space="preserve"> </w:t>
      </w:r>
      <w:r>
        <w:rPr>
          <w:rFonts w:hint="eastAsia"/>
        </w:rPr>
        <w:t>provided shall be the basis for the cash flow projection.</w:t>
      </w:r>
    </w:p>
    <w:p>
      <w:pPr>
        <w:rPr>
          <w:rFonts w:hint="default"/>
          <w:lang/>
        </w:rPr>
      </w:pPr>
      <w:r>
        <w:rPr>
          <w:rFonts w:hint="eastAsia"/>
        </w:rPr>
        <w:t> For “Full Year”, input “Y” if the latest financial is full year statement. If full</w:t>
      </w:r>
      <w:r>
        <w:rPr>
          <w:rFonts w:hint="default"/>
          <w:lang/>
        </w:rPr>
        <w:t xml:space="preserve"> </w:t>
      </w:r>
      <w:r>
        <w:rPr>
          <w:rFonts w:hint="eastAsia"/>
        </w:rPr>
        <w:t>year financial statement is not available, input “N” and the available</w:t>
      </w:r>
      <w:r>
        <w:rPr>
          <w:rFonts w:hint="default"/>
          <w:lang/>
        </w:rPr>
        <w:t xml:space="preserve"> financial data shall be manually adjusted and annualized.</w:t>
      </w:r>
    </w:p>
    <w:p>
      <w:pPr>
        <w:rPr>
          <w:rFonts w:hint="default"/>
          <w:lang/>
        </w:rPr>
      </w:pPr>
      <w:r>
        <w:rPr>
          <w:rFonts w:hint="default"/>
          <w:lang/>
        </w:rPr>
        <w:t> Currency input in this section should be the reported currency as per the audited statements.</w:t>
      </w:r>
    </w:p>
    <w:p>
      <w:pPr>
        <w:rPr>
          <w:rFonts w:hint="default"/>
          <w:lang/>
        </w:rPr>
      </w:pPr>
      <w:r>
        <w:rPr>
          <w:rFonts w:hint="default"/>
          <w:lang/>
        </w:rPr>
        <w:t>iii) Debt Financing</w:t>
      </w:r>
    </w:p>
    <w:p>
      <w:pPr>
        <w:rPr>
          <w:rFonts w:hint="default"/>
          <w:lang/>
        </w:rPr>
      </w:pPr>
      <w:r>
        <w:rPr>
          <w:rFonts w:hint="default"/>
          <w:lang/>
        </w:rPr>
        <w:t> Input is divided into existing and new debt in the form of long term loan, bonds &amp; notes and revolving loan obligations which information could be obtained from the B/S of latest financial statements. Data shall be input in accordance to the respective loan type, ie loan, bonds / debentures and lease.</w:t>
      </w:r>
    </w:p>
    <w:p>
      <w:pPr>
        <w:rPr>
          <w:rFonts w:hint="default"/>
          <w:lang/>
        </w:rPr>
      </w:pPr>
      <w:r>
        <w:rPr>
          <w:rFonts w:hint="default"/>
          <w:lang/>
        </w:rPr>
        <w:t> For existing debt, all outstanding term debt (&gt; than 1 year) and bonds including current portion long term debt and bonds, shall be input into respective item under “Existing Debt” section. Current portion long term debt disclosed in the financial statement or long term debt to be repaid within 12 months as per loan repayment schedule shall be input into “Term Loan Principal Repaid p.a.” and “Bonds &amp; Notes maturing within 12 months” respectively. If there has been refinancing arrangement, revised repayment could only be input herewith with completed</w:t>
      </w:r>
    </w:p>
    <w:p>
      <w:pPr>
        <w:rPr>
          <w:rFonts w:hint="default"/>
          <w:lang/>
        </w:rPr>
      </w:pPr>
      <w:r>
        <w:rPr>
          <w:rFonts w:hint="default"/>
          <w:lang/>
        </w:rPr>
        <w:t>refinancing activities during the current financial year. Short term debt shall be input under ST Revolving loan section. Given the nature of revolving loan, one can assume all short term loan to be roll-over unless OIC has knowledge of banks exiting the banking relationship with the Borrower / Group.</w:t>
      </w:r>
    </w:p>
    <w:p>
      <w:pPr>
        <w:rPr>
          <w:rFonts w:hint="default"/>
          <w:lang/>
        </w:rPr>
      </w:pPr>
      <w:r>
        <w:rPr>
          <w:rFonts w:hint="default"/>
          <w:lang/>
        </w:rPr>
        <w:t> Interest rate input for existing debt could be to the knowledge of OIC based on the provided information by the Borrower or calculate the weighted average interest rate based on the details available in the financial statements. OIC shall check if any disclosure of interest breakdown by product types and calculate the relevant average interest rate accordingly for input.</w:t>
      </w:r>
    </w:p>
    <w:p>
      <w:pPr>
        <w:rPr>
          <w:rFonts w:hint="default"/>
          <w:lang/>
        </w:rPr>
      </w:pPr>
      <w:r>
        <w:rPr>
          <w:rFonts w:hint="default"/>
          <w:lang/>
        </w:rPr>
        <w:t> Under new facilities, input the proposed loan / bond amount including term and revolving loans applied and interest rates into the respective cells. Unless the proposed is a bilateral loan facility, otherwise facility such as syndicate loan or club loan, total facility limit shall be input herewith for correct calculation of DSR. If the Borrower / Group issued new bond after the reported financial year end, the same shall be included into the new facility for DSR calculation.</w:t>
      </w:r>
    </w:p>
    <w:p>
      <w:pPr>
        <w:rPr>
          <w:rFonts w:hint="default"/>
          <w:lang/>
        </w:rPr>
      </w:pPr>
      <w:r>
        <w:rPr>
          <w:rFonts w:hint="default"/>
          <w:lang/>
        </w:rPr>
        <w:t> All assumptions have to be clearly stated and duly justified. One has to ensure all existing facilities input to be consistent with that of the latest financial statements referred while weighted average interest rate calculation for existing facilities has to be shown.</w:t>
      </w:r>
    </w:p>
    <w:p>
      <w:pPr>
        <w:rPr>
          <w:rFonts w:hint="default"/>
          <w:lang/>
        </w:rPr>
      </w:pPr>
      <w:r>
        <w:rPr>
          <w:rFonts w:hint="default"/>
          <w:lang/>
        </w:rPr>
        <w:t> EBITDA figure shall be obtained from spreadsheet for the base case. In the case where EBITDA of the Borrower are volatile over the past years, weighted average EBITDA over the last 3 financial years could be a substitute.</w:t>
      </w:r>
    </w:p>
    <w:p>
      <w:pPr>
        <w:rPr>
          <w:rFonts w:hint="default"/>
          <w:lang/>
        </w:rPr>
      </w:pPr>
      <w:r>
        <w:rPr>
          <w:rFonts w:hint="default"/>
          <w:lang/>
        </w:rPr>
        <w:t> For stress case, the bank’s standard in principle shall be applied ie 10% discount on base EBITDA (90% of base EBITDA) and 2% add-on to base case interest rate. OIC and CA could upward adjust the discount rate for the stress case with justifications such as the borrower’s updated business performance, latest market conditions and interest rate movements etc.</w:t>
      </w:r>
    </w:p>
    <w:p>
      <w:pPr>
        <w:rPr>
          <w:rFonts w:hint="default"/>
          <w:lang/>
        </w:rPr>
      </w:pPr>
      <w:r>
        <w:rPr>
          <w:rFonts w:hint="default"/>
          <w:lang/>
        </w:rPr>
        <w:t>II) DSR &amp; Stressed DSR Calculation</w:t>
      </w:r>
    </w:p>
    <w:p>
      <w:pPr>
        <w:rPr>
          <w:rFonts w:hint="default"/>
          <w:lang/>
        </w:rPr>
      </w:pPr>
      <w:r>
        <w:rPr>
          <w:rFonts w:hint="default"/>
          <w:lang/>
        </w:rPr>
        <w:t> All input from “OIC input for DSR” will be automatically transferred into DSR calculation worksheet and the result will be auto-generated. In order to generate correct calculations, one has to ensure correct input in the “OIC input for DSR” worksheet.</w:t>
      </w:r>
    </w:p>
    <w:p>
      <w:pPr>
        <w:rPr>
          <w:rFonts w:hint="default"/>
          <w:lang/>
        </w:rPr>
      </w:pPr>
      <w:r>
        <w:rPr>
          <w:rFonts w:hint="default"/>
          <w:lang/>
        </w:rPr>
        <w:t> Calculated DSR (Total obligation / EBITDA) in principle shall be less than 1. In the case where DSR is greater than 1, justification is required to proceed with the new financing.</w:t>
      </w:r>
    </w:p>
    <w:p>
      <w:pPr>
        <w:rPr>
          <w:rFonts w:hint="default"/>
          <w:lang/>
        </w:rPr>
      </w:pPr>
      <w:r>
        <w:rPr>
          <w:rFonts w:hint="default"/>
          <w:lang/>
        </w:rPr>
        <w:t>III) OIC Input for Cash Flow Forecast Worksheet</w:t>
      </w:r>
    </w:p>
    <w:p>
      <w:pPr>
        <w:rPr>
          <w:rFonts w:hint="default"/>
          <w:lang/>
        </w:rPr>
      </w:pPr>
      <w:r>
        <w:rPr>
          <w:rFonts w:hint="default"/>
          <w:lang/>
        </w:rPr>
        <w:t>A) PART A - Basic Information</w:t>
      </w:r>
    </w:p>
    <w:p>
      <w:pPr>
        <w:rPr>
          <w:rFonts w:hint="default"/>
          <w:lang/>
        </w:rPr>
      </w:pPr>
      <w:r>
        <w:rPr>
          <w:rFonts w:hint="default"/>
          <w:lang/>
        </w:rPr>
        <w:t>Input of latest audited financial statement (“AFS”) column shall refer to the audited financial statements and the data in the financial spreadsheets (the “spreadsheets”) prepared by CAD. For Year 1 onwards, proper assumptions has to be made for the forecast and rationale for the assumption have to be duly documented and justified under the “Assumption” column:</w:t>
      </w:r>
    </w:p>
    <w:p>
      <w:pPr>
        <w:rPr>
          <w:rFonts w:hint="default"/>
          <w:lang/>
        </w:rPr>
      </w:pPr>
      <w:r>
        <w:rPr>
          <w:rFonts w:hint="default"/>
          <w:lang/>
        </w:rPr>
        <w:t> Sales &amp; Growth Rate - Sales referred to income generated from core business including trading activities and services provided. For input of “Latest AFS”, turnover (net sales) from the spreadsheets could be applied herewith. Forecast of sales growth rate could reference to historical growth rates and trend, latest sales reported in interim report or management accounts as well as any additional revenue expected to be generated from any expansion or project. One can also reference to that of broker report published by reputable research houses with justification of data applied. Application of data blindly from broker report is not recommended. In addition, one should also check and factor in aspects like latest market environment, changes in regulatory policies, any adverse development of industry and product price movement etc that might affect the future sales and thus sales growth rate. Rationale for assumed sales growth rate have to be duly documented and justified under the assumption section.</w:t>
      </w:r>
    </w:p>
    <w:p>
      <w:pPr>
        <w:rPr>
          <w:rFonts w:hint="default"/>
          <w:lang/>
        </w:rPr>
      </w:pPr>
      <w:r>
        <w:rPr>
          <w:rFonts w:hint="default"/>
          <w:lang/>
        </w:rPr>
        <w:t> Current &amp; Forecast Gross Profit Margin (“GPM”) - Gross profit margin shall be referred to the spreadsheet and to be input under “Latest AFS”. Projected GPM could base on the historical GPM and trend. For Borrower with volatile GPM, 3-year weighted average GPM could be considered as substitute. Same as sales growth rate, one can make reference to the projected GPM of broker report published by reputable research houses for bank’s projection while taking into consideration of key factors that might have potential impact over GPM such as raw material price trend etc. Rationale and justification shall be well documented under the assumption section. Current &amp; Forecast Depreciation / Amortization - There are 2 items related to current and forecast depreciation / amortization: i) charged to cost of goods sold (“COGS”, Row 11 of “OIC Input for Cash Flow Forecast”); and ii) charged to operating expenses (Row 13). For manufacturing companies / group, significant depreciation / amortization expenses would be charged to COGS. Apart from COGS, depreciation expenses might incur also under Selling, General &amp; Administrative expenses. If financial statements have provided depreciation / amortization expenses breakdown, details have to be input into the respective cells. Otherwise, one shall decide the input of the expenses into either COGS or operating expenses in accordance to its business nature. Future depreciation / amortization expenses could be assumed flat herewith as additional depreciation would be calculated from the capex.  Operating Expense &amp; growth rate - Input of operating expense shall be in absolute amount given some fixed costs do not have strong correlation to turnover. Operating expense input under Latest AFS column herewith shall be the summation of all cash items including selling and distribution expenses, staff expenses / fringe benefits, directors’ remuneration, operating &amp; admin expenses, rents &amp; rates, research and development expenses and others as per spreadsheet’s profit and loss accounts. Future growth rate for operating expenses shall be checked against past track and 3-year weighted average growth rate could be a reference. Assumed growth rate (in %) shall be well justified and stated in the “Assumption” column.</w:t>
      </w:r>
    </w:p>
    <w:p>
      <w:pPr>
        <w:rPr>
          <w:rFonts w:hint="default"/>
          <w:lang/>
        </w:rPr>
      </w:pPr>
      <w:r>
        <w:rPr>
          <w:rFonts w:hint="default"/>
          <w:lang/>
        </w:rPr>
        <w:t> Investment / Rental income - The total of income from investments and rental as per spreadsheet shall be input to Latest AFS (Row 14). Any non-cash investment income recorded and forming part of the Investment / Rental income (details check notes of financial statements) have to be input into “of which non-cash investment income” (Row 15) for the calculation of cash flow. For the future income, one shall taking into account of the past trend, recurrence and volatility in particular for investment income. In the case where recurrent but high volatility income from investment is noticed, conservative approach should be applied for the forecast by applying 3-year weighted average or the the least contribution over the past 3 financial years. Assumptions have to be clearly specified and justified with supporting arguments / facts in the “Assumption” column.</w:t>
      </w:r>
    </w:p>
    <w:p>
      <w:pPr>
        <w:rPr>
          <w:rFonts w:hint="default"/>
          <w:lang/>
        </w:rPr>
      </w:pPr>
      <w:r>
        <w:rPr>
          <w:rFonts w:hint="default"/>
          <w:lang/>
        </w:rPr>
        <w:t> Share of contributions from associates or JV - Input shall refer to share of results / (losses) of associates and joint ventures as per spreadsheet. For the forecast, one shall take into account if there are recurrent contributions as well as the contribution trend. Any disposal or new associates / JV invested during the financial year that might impact the contribution to the group, shall be considered.</w:t>
      </w:r>
    </w:p>
    <w:p>
      <w:pPr>
        <w:rPr>
          <w:rFonts w:hint="default"/>
          <w:lang/>
        </w:rPr>
      </w:pPr>
      <w:r>
        <w:rPr>
          <w:rFonts w:hint="default"/>
          <w:lang/>
        </w:rPr>
        <w:t> Dividend Received from Associates or JV - The information could be obtained from investing activities of cash flow statement in the audited financial statement to reflect the cash payment received. For the forecast, one shall check if dividend payment from associates / JV is recurrent and of stable trend. Otherwise, zero or 3-yr average could be considered for the coming years.</w:t>
      </w:r>
    </w:p>
    <w:p>
      <w:pPr>
        <w:rPr>
          <w:rFonts w:hint="default"/>
          <w:lang/>
        </w:rPr>
      </w:pPr>
      <w:r>
        <w:rPr>
          <w:rFonts w:hint="default"/>
          <w:lang/>
        </w:rPr>
        <w:t> Dividend Receivable - Dividend receivable (if any) could be obtained from Borrower’s latest B/S and shall be input into latest AFS herewith. Given dividend payment from associates / JV or investments would be subject to commercial decision and dividend policies of the invested companies, for simplicity, could assume staying flat or set to zero.</w:t>
      </w:r>
    </w:p>
    <w:p>
      <w:pPr>
        <w:rPr>
          <w:rFonts w:hint="default"/>
          <w:lang/>
        </w:rPr>
      </w:pPr>
      <w:r>
        <w:rPr>
          <w:rFonts w:hint="default"/>
          <w:lang/>
        </w:rPr>
        <w:t> All other non-operating income &amp; growth rate - Interest income, government subsidy / grants, fair value gain on assets, disposal gains from fixed assets, investments, subsidiaries as well as associates and JVs, FX gains and any other income such as management fee shall be grouped under all other non-operating income. For future growth rate, one shall consider the proportion of contribution from non-recurrent components and adjusted accordingly by taking out all non-recurrent contribution to avoid over optimistic projection for future non-operating income.</w:t>
      </w:r>
    </w:p>
    <w:p>
      <w:pPr>
        <w:rPr>
          <w:rFonts w:hint="default"/>
          <w:lang/>
        </w:rPr>
      </w:pPr>
      <w:r>
        <w:rPr>
          <w:rFonts w:hint="default"/>
          <w:lang/>
        </w:rPr>
        <w:t> All other non-operating expenditure &amp; growth rate - Impairment loss on assets, write down on asset value, FX loss, disposal loss from fixed assets, investments, subsidiaries as well as associates and JVs, and any other non-recurrent expenses and losses. Special attention shall be given to the asset impairment and FX loss trend in the forecast. The sum for any non-recurrent expense, shall be taken out. For simplicity, one also could also assume flat over the projected period if nonrecurrent expenses are not excessive.</w:t>
      </w:r>
    </w:p>
    <w:p>
      <w:pPr>
        <w:rPr>
          <w:rFonts w:hint="default"/>
          <w:lang/>
        </w:rPr>
      </w:pPr>
      <w:r>
        <w:rPr>
          <w:rFonts w:hint="default"/>
          <w:lang/>
        </w:rPr>
        <w:t> Tax rate - Current tax rate is referred to tax expenses over pre-tax profit as per latest AFS. Unless stable tax rate could be traced over the last 3 financial years, otherwise, weighted average tax rate shall be considered for the forecast. In the case where the Borrower / Group has entered new markets, tax rate might be affected. Under such circumstances, contribution from and tax rate of the new market should be taking into account for the projected tax rate.</w:t>
      </w:r>
    </w:p>
    <w:p>
      <w:pPr>
        <w:rPr>
          <w:rFonts w:hint="default"/>
          <w:lang/>
        </w:rPr>
      </w:pPr>
      <w:r>
        <w:rPr>
          <w:rFonts w:hint="default"/>
          <w:lang/>
        </w:rPr>
        <w:t> Dividend Payout Ratio - Current dividend payout ratio shall be calculated based on the total dividend paid (Row 71 of spreadsheet’s “CF Input”, ref: 90122 ) over net income (Row 56 or Row 57 of spreadsheet’s “PL Input”) for the year. Future dividend ratio shall not only consider the historical dividend payout ratio but also the Borrower / group’s dividend payout policy / strategy. If the Borrower / group’s dividend payout policy / strategy is known, this shall be considered as one of the basis for future dividend payout ratio as it would be more appropriate for estimation of future dividend payment.</w:t>
      </w:r>
    </w:p>
    <w:p>
      <w:pPr>
        <w:rPr>
          <w:rFonts w:hint="default"/>
          <w:lang/>
        </w:rPr>
      </w:pPr>
      <w:r>
        <w:rPr>
          <w:rFonts w:hint="default"/>
          <w:lang/>
        </w:rPr>
        <w:t> Dividend Payable - Dividend payable (if any) could be obtained from balance sheet. The sum normally is the final dividend declared as at FYE and yet to pay out. For simplicity, could be assumed flat throughout the projected period.</w:t>
      </w:r>
    </w:p>
    <w:p>
      <w:pPr>
        <w:rPr>
          <w:rFonts w:hint="default"/>
          <w:lang/>
        </w:rPr>
      </w:pPr>
      <w:r>
        <w:rPr>
          <w:rFonts w:hint="default"/>
          <w:lang/>
        </w:rPr>
        <w:t> Bad Debt Provision &amp;/or Expenses - Bad debt provision herewith is to be input as a percentage of sales. With the projection, one shall consider a number of factors including the Borrower / Group’s provision policy, buyer’s credibility and macroeconomic conditions that might adversely affect the financial condition of the buyers of the Borrower / Group and thus the sum of bad debt provision. One shall also be aware of the historical trend on provision. If high volatility is noticed, one shall consider to apply a weighted average rate. For simplicity, a flat rate can be assumed. However, where there is substantial economic downturn which triggered significant sales drop, one should consider using actual provision amount and calculate into new provision rate based on the projected sales.</w:t>
      </w:r>
    </w:p>
    <w:p>
      <w:pPr>
        <w:rPr>
          <w:rFonts w:hint="default"/>
          <w:lang/>
        </w:rPr>
      </w:pPr>
      <w:r>
        <w:rPr>
          <w:rFonts w:hint="default"/>
          <w:lang/>
        </w:rPr>
        <w:t> Debtors &amp; Debtors’ T/O Days - Debtors which shall be the sum of account receivables, trade receivables and bills receivables in absolute amount, shall be input into “Latest AFS” and will be the base for the calculation of the future receivables amount. Debtors T/O days is generated from debtors outstanding as at FYE and sales turnover for the respective year which data could be obtained from spreadsheet’s “Key Financial Ratio” sheet for input to “Latest AFS”. For the projected T/O days, one shall take into consideration of credit terms offered to buyers as well as the trend of T/O days in the last 3 financial years and the projected T/O days shall be in line with the credit terms offered or the historical T/O days whichever is more conservative. 3-year weighted average could be considered if high volatility is noticed from the past trend.</w:t>
      </w:r>
    </w:p>
    <w:p>
      <w:pPr>
        <w:rPr>
          <w:rFonts w:hint="default"/>
          <w:lang/>
        </w:rPr>
      </w:pPr>
      <w:r>
        <w:rPr>
          <w:rFonts w:hint="default"/>
          <w:lang/>
        </w:rPr>
        <w:t> Inventory &amp; Inventory T/O Days - Inventory shall be the total of raw materials, spare parts, work in progress and finished goods. For companies also engaged in properties development and trading, properties under construction and for sale shall be grouped under inventory. The sum shall be input to “Latest AFS” which would be the basis for the projected inventory. Inventory T/O days is generated from total inventory outstanding as at FYE and COGS for the respective year which data could be obtained from spreadsheet’s “Key Financial Ratio” sheet for input to “Latest AFS”. For the projected T/O days, one shall take into consideration of production cycle and Borrower / Group’s raw material stock up period / internal inventory holding period etc as well as</w:t>
      </w:r>
    </w:p>
    <w:p>
      <w:pPr>
        <w:rPr>
          <w:rFonts w:hint="default"/>
          <w:lang/>
        </w:rPr>
      </w:pPr>
      <w:r>
        <w:rPr>
          <w:rFonts w:hint="default"/>
          <w:lang/>
        </w:rPr>
        <w:t>the trend of T/O days in the last 3 financial years. The projected T/O days shall be in line with the stock up policy or the historical T/O days and for conservative purpose, a longer tenor should be applied. 3-year weighted average could be considered if high volatility is noticed from the past trend.</w:t>
      </w:r>
    </w:p>
    <w:p>
      <w:pPr>
        <w:rPr>
          <w:rFonts w:hint="default"/>
          <w:lang/>
        </w:rPr>
      </w:pPr>
      <w:r>
        <w:rPr>
          <w:rFonts w:hint="default"/>
          <w:lang/>
        </w:rPr>
        <w:t> Creditors and Creditor’s T/O Days - Creditors which shall be the sum of account payables, trade payables and bills payables in absolute amount, shall be input into “Latest AFS” which would be the base for the calculation of the future creditors amount. Creditors T/O days data could be obtained from spreadsheet’s “Key Financial Ratio” sheet for input to “Latest AFS”. For the projected T/O days, one shall take into consideration of purchase / credit terms granted by suppliers as well as the trend of T/O days in the last 3 financial years. Comparing the above stated factors, shorter payables T/O days shall be applied for conservative reason. In the case where high volatility is noticed from the past trend, 3-year weighted average could be exerted for projection.</w:t>
      </w:r>
    </w:p>
    <w:p>
      <w:pPr>
        <w:rPr>
          <w:rFonts w:hint="default"/>
          <w:lang/>
        </w:rPr>
      </w:pPr>
      <w:r>
        <w:rPr>
          <w:rFonts w:hint="default"/>
          <w:lang/>
        </w:rPr>
        <w:t> CAPEX - This refers to the purchase of property, plant and equipment (including construction in progress) and addition of investment properties / investment properties under development (if any). For Lastest AFS, the sum could be extracted from the Borrower / group’s cash flow statement under investing activities. Future CAPEX and financing plan of the capex in principal shall be obtained from the Borrower / Group. This shall include any expansion plan and/or project announced or to be launched, regular CAPEX and maintenance p.a. etc. If possible, detailed expansion / project information such as total investment, tenor, CAPEX to be spent each year, financing plan, income to be generated upon completion of the expansion / project and expected profit margin etc shall be obtained for the projection.</w:t>
      </w:r>
    </w:p>
    <w:p>
      <w:pPr>
        <w:rPr>
          <w:rFonts w:hint="default"/>
          <w:lang/>
        </w:rPr>
      </w:pPr>
      <w:r>
        <w:rPr>
          <w:rFonts w:hint="default"/>
          <w:lang/>
        </w:rPr>
        <w:t> Estimated Useful Life of CAPEX - Number of years shall be input here. The applied number of years shall be in accordance with the CAPEX acquired. Additional depreciation for CAPEX will be calculated automatically based on straight line method and the data input for CAPEX and estimated useful life.</w:t>
      </w:r>
    </w:p>
    <w:p>
      <w:pPr>
        <w:rPr>
          <w:rFonts w:hint="default"/>
          <w:lang/>
        </w:rPr>
      </w:pPr>
      <w:r>
        <w:rPr>
          <w:rFonts w:hint="default"/>
          <w:lang/>
        </w:rPr>
        <w:t> Acquisition of Investment - This refers to investment in investment properties, marketable securities such as stock shares, treasury bills, bonds and money market instruments, acquisition of subsidiary(ies), investments in associate(s) and JV(s) which sums could be tracked from the Borrower / group’s cash flow statement under investing activities. Given investment would be a commercial decision of the Borrower / Group and subject to investment opportunities, one could assume the future investment based on past trend or information provided by the Borrower Group in respect of their planned annual investment.</w:t>
      </w:r>
    </w:p>
    <w:p>
      <w:pPr>
        <w:rPr>
          <w:rFonts w:hint="default"/>
          <w:lang/>
        </w:rPr>
      </w:pPr>
      <w:r>
        <w:rPr>
          <w:rFonts w:hint="default"/>
          <w:lang/>
        </w:rPr>
        <w:t> Proceeds of Disposal of FA / Investment - Total sum from the disposal of asset / investments shall be obtained from the investing activities of cash flow statement. Given asset and investment disposal would not be a recurrent item, unless such sum is presented annually, otherwise, it is recommended to set as “zero” for conservative purpose.</w:t>
      </w:r>
    </w:p>
    <w:p>
      <w:pPr>
        <w:rPr>
          <w:rFonts w:hint="default"/>
          <w:lang/>
        </w:rPr>
      </w:pPr>
      <w:r>
        <w:rPr>
          <w:rFonts w:hint="default"/>
          <w:lang/>
        </w:rPr>
        <w:t> All Other Current Assets - For all other current assets, one shall add the sum of loan receivables, advance payments, security deposits, ST financial assets including but not limited to marketable securities, derivative financial assets; prepaid / deferred tax assets; sundry debtors and other current assets. Given theses items are not core balance sheet items and the sum would be affected by each single item and would be difficult to project, for simplicity, it could be assumed flat throughout the projected period unless there is any one-off items noted. One shall well explained the movement under assumptions.</w:t>
      </w:r>
    </w:p>
    <w:p>
      <w:pPr>
        <w:rPr>
          <w:rFonts w:hint="default"/>
          <w:lang/>
        </w:rPr>
      </w:pPr>
      <w:r>
        <w:rPr>
          <w:rFonts w:hint="default"/>
          <w:lang/>
        </w:rPr>
        <w:t> All Other Current Liabilities - This shall includes accruals, ST financial liabilities such as derivative financial liabilities; current provisions, current and deferred tax liabilities, employee benefits, other payables and other current liabilities. Same as all other current assets, all other current liabilities could be assumed unchanged for the projected tenor unless one-off payment is noted from the latest AFS which would not be recurrent in the future. Assumption for any movement shall be properly explained.</w:t>
      </w:r>
    </w:p>
    <w:p>
      <w:pPr>
        <w:rPr>
          <w:rFonts w:hint="default"/>
          <w:lang/>
        </w:rPr>
      </w:pPr>
      <w:r>
        <w:rPr>
          <w:rFonts w:hint="default"/>
          <w:lang/>
        </w:rPr>
        <w:t> Interco Claims / Interco Debt - This refers to all intra-group loans as well as amount due from / to related parties (LT and ST) including holding company(ies), subsidiaries, associates and JVs. Given the sum due from / to could be an internal decision of the Borrower / Group subject to the fund flow, one could assume flat throughout the projected period or follow the past trend where assumption and rationale to the forecast has to be documented.</w:t>
      </w:r>
    </w:p>
    <w:p>
      <w:pPr>
        <w:rPr>
          <w:rFonts w:hint="default"/>
          <w:lang/>
        </w:rPr>
      </w:pPr>
      <w:r>
        <w:rPr>
          <w:rFonts w:hint="default"/>
          <w:lang/>
        </w:rPr>
        <w:t> All Other LT Assets - Other LT assets comprised of fixed assets, investment properties &amp; properties under development, LT investments, investments in subsidiaries, associates &amp; JV, amount due from shareholders and directors, prepayments for LT assets as well as intangible assets like, goodwill and patent, etc. The future sum of the B/S items herewith could be assumed stable since CAPEX and</w:t>
      </w:r>
    </w:p>
    <w:p>
      <w:pPr>
        <w:rPr>
          <w:rFonts w:hint="default"/>
          <w:lang/>
        </w:rPr>
      </w:pPr>
      <w:r>
        <w:rPr>
          <w:rFonts w:hint="default"/>
          <w:lang/>
        </w:rPr>
        <w:t>acquisition of investments have been projected and will be reflected in the forecasted cash flow template. Assumption with justifications shall be provided if any changes in the future other LT assets herewith.</w:t>
      </w:r>
    </w:p>
    <w:p>
      <w:pPr>
        <w:rPr>
          <w:rFonts w:hint="default"/>
          <w:lang/>
        </w:rPr>
      </w:pPr>
      <w:r>
        <w:rPr>
          <w:rFonts w:hint="default"/>
          <w:lang/>
        </w:rPr>
        <w:t> All Other LT Liabilities - The sum of derivative financial liabilities, deferred income and tax liabilities, LT provisions and payables, amount due to shareholders and directors formed “Other LT Liabilities” herewith. Same as Other LT Assets, the projected sum could be assumed flat.</w:t>
      </w:r>
    </w:p>
    <w:p>
      <w:pPr>
        <w:rPr>
          <w:rFonts w:hint="default"/>
          <w:lang/>
        </w:rPr>
      </w:pPr>
      <w:r>
        <w:rPr>
          <w:rFonts w:hint="default"/>
          <w:lang/>
        </w:rPr>
        <w:t> Net Proceed of Capital Issue - This refers to proceeds from share issued including the additional capital injected and/or from share option being exercised which sum could be found from “Financing Activities” in cash flow statement. Unless the Borrower / Group has recorded</w:t>
      </w:r>
    </w:p>
    <w:p>
      <w:pPr>
        <w:rPr>
          <w:rFonts w:hint="default"/>
          <w:lang/>
        </w:rPr>
      </w:pPr>
      <w:r>
        <w:rPr>
          <w:rFonts w:hint="default"/>
          <w:lang/>
        </w:rPr>
        <w:t>recurrent new capital in the latest 3 FYs or the Borrower / Group has made announcement of new share issuance, otherwise, no new capital shall be expected for the projected years for conservative purpose.</w:t>
      </w:r>
    </w:p>
    <w:p>
      <w:pPr>
        <w:rPr>
          <w:rFonts w:hint="default"/>
          <w:lang/>
        </w:rPr>
      </w:pPr>
      <w:r>
        <w:rPr>
          <w:rFonts w:hint="default"/>
          <w:lang/>
        </w:rPr>
        <w:t> Proceeds from New Bond Issue - For the projection of new bond issuance, one shall take into account of past track record, fund raising activities of the Borrower / Group in the financial market, plans and announcement to the market as well as financing.</w:t>
      </w:r>
    </w:p>
    <w:p>
      <w:pPr>
        <w:rPr>
          <w:rFonts w:hint="default"/>
          <w:lang/>
        </w:rPr>
      </w:pPr>
      <w:r>
        <w:rPr>
          <w:rFonts w:hint="default"/>
          <w:lang/>
        </w:rPr>
        <w:t> Bond Repayment - Data input shall be in accordance to the maturity profile. In case of any refinancing needs, the refinancing sum shall be reflected in “Proceeds from New Bond Issue”.</w:t>
      </w:r>
    </w:p>
    <w:p>
      <w:pPr>
        <w:rPr>
          <w:rFonts w:hint="default"/>
          <w:lang/>
        </w:rPr>
      </w:pPr>
      <w:r>
        <w:rPr>
          <w:rFonts w:hint="default"/>
          <w:lang/>
        </w:rPr>
        <w:t xml:space="preserve"> Cash Balances - Cash on hand / bank and fixed deposits made up total cash balances. The sum here stated shall be free of any encumbrances. Apart from required input for Latest AFS, projected cash balances are generated automatically after taking into account of cash surplus / deficit generated from projected cash flow. </w:t>
      </w:r>
    </w:p>
    <w:p>
      <w:pPr>
        <w:rPr>
          <w:rFonts w:hint="default"/>
          <w:lang/>
        </w:rPr>
      </w:pPr>
      <w:r>
        <w:rPr>
          <w:rFonts w:hint="default"/>
          <w:lang/>
        </w:rPr>
        <w:t> New Debt - New debt to be raised and presented under “OIC input for DSR” will be automatically transferred to Latest AFS which will be summed into Year 1 new debt. Additional new debt to be raised other than the aforesaid have to be input into the respective projected years. New debt should be taking into consideration of the trend of debt level in the past, any new financing needs for capex and investments, additional working capital needs (eg to support business growth) and refinancing of debt to be repaid etc. One shall also consider loan tenor based on the past track record.</w:t>
      </w:r>
    </w:p>
    <w:p>
      <w:pPr>
        <w:rPr>
          <w:rFonts w:hint="default"/>
          <w:lang/>
        </w:rPr>
      </w:pPr>
      <w:r>
        <w:rPr>
          <w:rFonts w:hint="default"/>
          <w:lang/>
        </w:rPr>
        <w:t> Principal Repayment of New Debt - Repayment shall be in accordance to the repayment schedule of the proposed new loan as per “OIC input for DSR” as well as the subsequent new loans input throughout the projected years. Loan repayment in the form of installment, balloon and/or bullet payment shall be input herewith in accordance to the Borrower / Group’s past repayment pattern supported by backing / justification.</w:t>
      </w:r>
    </w:p>
    <w:p>
      <w:pPr>
        <w:rPr>
          <w:rFonts w:hint="default"/>
          <w:lang/>
        </w:rPr>
      </w:pPr>
      <w:r>
        <w:rPr>
          <w:rFonts w:hint="default"/>
          <w:lang/>
        </w:rPr>
        <w:t> Principal Repayment of Existing Debt - For repayment of the existing debt, one shall refer to the details disclosed in the “Latest AFS”. The sum of current portion long term debt shall be input into Year 1 while loan repayment for the remaining years shall refer to the loan maturity as provided in the notes of “Latest AFS”. For loan maturity profile not being disclosed per annum, one can equalize the loan payment as per disclosed loan maturity period, eg to be matured in 3-5 years, one can divide the loan principal by 3 for simplicity.</w:t>
      </w:r>
    </w:p>
    <w:p>
      <w:pPr>
        <w:rPr>
          <w:rFonts w:hint="default"/>
          <w:lang/>
        </w:rPr>
      </w:pPr>
      <w:r>
        <w:rPr>
          <w:rFonts w:hint="default"/>
          <w:lang/>
        </w:rPr>
        <w:t> Loan Interest Rate - Weighted average interest rate calculated from “OIC input for DSR” will be directly applied to “Latest AFS”. For the determination of future interest rate, one shall consider the current market rate, market expectation of interest rate movement, latest interest trend as well as any other factors that might have an impact on the rate movements (eg, in 2022, FED announced of rate increase in the next 18 months to fight inflation, in the projection of 2022 and 2023 interest rate, one shall add the rate hike already happened and expected to be increased if the Borrower’s debts are mainly in USD). Proportion of loan in various currencies shall also be taken into account in the determination of future interest rate.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MT">
    <w:altName w:val="Times New Roman"/>
    <w:panose1 w:val="00000000000000000000"/>
    <w:charset w:val="86"/>
    <w:family w:val="auto"/>
    <w:pitch w:val="default"/>
    <w:sig w:usb0="00000000" w:usb1="00000000" w:usb2="00000000" w:usb3="00000000" w:csb0="00040000" w:csb1="00000000"/>
  </w:font>
  <w:font w:name="Wingdings-Regular">
    <w:altName w:val="MingLiU-ExtB"/>
    <w:panose1 w:val="00000000000000000000"/>
    <w:charset w:val="88"/>
    <w:family w:val="auto"/>
    <w:pitch w:val="default"/>
    <w:sig w:usb0="00000000" w:usb1="00000000" w:usb2="00000000" w:usb3="00000000" w:csb0="00100000" w:csb1="00000000"/>
  </w:font>
  <w:font w:name="MingLiU-ExtB">
    <w:panose1 w:val="02020500000000000000"/>
    <w:charset w:val="88"/>
    <w:family w:val="auto"/>
    <w:pitch w:val="default"/>
    <w:sig w:usb0="8000002F" w:usb1="02000008" w:usb2="0000000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21A1"/>
    <w:rsid w:val="001220C9"/>
    <w:rsid w:val="008727B2"/>
    <w:rsid w:val="009D6152"/>
    <w:rsid w:val="00DA25AE"/>
    <w:rsid w:val="00E12CFE"/>
    <w:rsid w:val="00EC2E3A"/>
    <w:rsid w:val="0111459B"/>
    <w:rsid w:val="01442112"/>
    <w:rsid w:val="01E320D6"/>
    <w:rsid w:val="021D15EC"/>
    <w:rsid w:val="02261B51"/>
    <w:rsid w:val="02503BD3"/>
    <w:rsid w:val="027064EF"/>
    <w:rsid w:val="02C17406"/>
    <w:rsid w:val="02E73C86"/>
    <w:rsid w:val="0360089C"/>
    <w:rsid w:val="03723ABD"/>
    <w:rsid w:val="037312EB"/>
    <w:rsid w:val="037F71FE"/>
    <w:rsid w:val="03852888"/>
    <w:rsid w:val="03A32E42"/>
    <w:rsid w:val="03A92234"/>
    <w:rsid w:val="03AE2D76"/>
    <w:rsid w:val="03DC4DCF"/>
    <w:rsid w:val="03FB2D6E"/>
    <w:rsid w:val="04A97102"/>
    <w:rsid w:val="04F63E69"/>
    <w:rsid w:val="04F869EA"/>
    <w:rsid w:val="04FD517D"/>
    <w:rsid w:val="05286C1C"/>
    <w:rsid w:val="05307A0A"/>
    <w:rsid w:val="053673E5"/>
    <w:rsid w:val="05666B05"/>
    <w:rsid w:val="056E4CD0"/>
    <w:rsid w:val="062E3F96"/>
    <w:rsid w:val="065E3B6E"/>
    <w:rsid w:val="068F1037"/>
    <w:rsid w:val="06B468E8"/>
    <w:rsid w:val="074135C4"/>
    <w:rsid w:val="079517BD"/>
    <w:rsid w:val="080A78CF"/>
    <w:rsid w:val="0821773C"/>
    <w:rsid w:val="08314F0C"/>
    <w:rsid w:val="085C2A5D"/>
    <w:rsid w:val="09281931"/>
    <w:rsid w:val="09830F74"/>
    <w:rsid w:val="0986026B"/>
    <w:rsid w:val="09F36B07"/>
    <w:rsid w:val="0A4A4272"/>
    <w:rsid w:val="0A580F36"/>
    <w:rsid w:val="0A733C70"/>
    <w:rsid w:val="0A8A4512"/>
    <w:rsid w:val="0A996C2F"/>
    <w:rsid w:val="0B526EAF"/>
    <w:rsid w:val="0B6C7854"/>
    <w:rsid w:val="0B963E71"/>
    <w:rsid w:val="0BA56139"/>
    <w:rsid w:val="0BB07860"/>
    <w:rsid w:val="0BB60D28"/>
    <w:rsid w:val="0BBA697D"/>
    <w:rsid w:val="0BBC1532"/>
    <w:rsid w:val="0C3A5881"/>
    <w:rsid w:val="0C3F4F21"/>
    <w:rsid w:val="0C8B46CA"/>
    <w:rsid w:val="0CBA4428"/>
    <w:rsid w:val="0CEB071E"/>
    <w:rsid w:val="0D4D7088"/>
    <w:rsid w:val="0D5F70E7"/>
    <w:rsid w:val="0D7D3B5A"/>
    <w:rsid w:val="0D84755D"/>
    <w:rsid w:val="0D9C5190"/>
    <w:rsid w:val="0DCD255C"/>
    <w:rsid w:val="0DE50B44"/>
    <w:rsid w:val="0E1B504E"/>
    <w:rsid w:val="0ECD4635"/>
    <w:rsid w:val="0EE02FC2"/>
    <w:rsid w:val="0EF024DC"/>
    <w:rsid w:val="0F2D3A10"/>
    <w:rsid w:val="0F3222A4"/>
    <w:rsid w:val="0FAE7625"/>
    <w:rsid w:val="0FB91090"/>
    <w:rsid w:val="102F6786"/>
    <w:rsid w:val="103527BE"/>
    <w:rsid w:val="10594206"/>
    <w:rsid w:val="105B5FC9"/>
    <w:rsid w:val="106E5CAF"/>
    <w:rsid w:val="107A3B3B"/>
    <w:rsid w:val="10A272A0"/>
    <w:rsid w:val="10B434B7"/>
    <w:rsid w:val="10D26241"/>
    <w:rsid w:val="10ED7D72"/>
    <w:rsid w:val="11691922"/>
    <w:rsid w:val="1175727A"/>
    <w:rsid w:val="11C15EB9"/>
    <w:rsid w:val="1224753F"/>
    <w:rsid w:val="127D0DBB"/>
    <w:rsid w:val="12C1704F"/>
    <w:rsid w:val="12CD5E8A"/>
    <w:rsid w:val="12E418DC"/>
    <w:rsid w:val="12EC6098"/>
    <w:rsid w:val="12F45C6F"/>
    <w:rsid w:val="13025C63"/>
    <w:rsid w:val="13044EB1"/>
    <w:rsid w:val="133F5B51"/>
    <w:rsid w:val="1344023F"/>
    <w:rsid w:val="13806D50"/>
    <w:rsid w:val="13FD0024"/>
    <w:rsid w:val="14015EC3"/>
    <w:rsid w:val="140546BF"/>
    <w:rsid w:val="1418550B"/>
    <w:rsid w:val="14454880"/>
    <w:rsid w:val="1449395B"/>
    <w:rsid w:val="1469535A"/>
    <w:rsid w:val="14891E07"/>
    <w:rsid w:val="14D857D3"/>
    <w:rsid w:val="14E616B2"/>
    <w:rsid w:val="14E858B7"/>
    <w:rsid w:val="14EE0A58"/>
    <w:rsid w:val="14F66586"/>
    <w:rsid w:val="14FC0E5D"/>
    <w:rsid w:val="151936CB"/>
    <w:rsid w:val="153A1D12"/>
    <w:rsid w:val="154408CA"/>
    <w:rsid w:val="15C07642"/>
    <w:rsid w:val="15CF5CD9"/>
    <w:rsid w:val="16246539"/>
    <w:rsid w:val="16505D26"/>
    <w:rsid w:val="16D63D4B"/>
    <w:rsid w:val="1710033E"/>
    <w:rsid w:val="173D071E"/>
    <w:rsid w:val="179B78B2"/>
    <w:rsid w:val="17A76525"/>
    <w:rsid w:val="17AE73FB"/>
    <w:rsid w:val="17CB2C81"/>
    <w:rsid w:val="18274816"/>
    <w:rsid w:val="186D089C"/>
    <w:rsid w:val="189E1A6A"/>
    <w:rsid w:val="18F355F8"/>
    <w:rsid w:val="190B3238"/>
    <w:rsid w:val="195821E7"/>
    <w:rsid w:val="197B1416"/>
    <w:rsid w:val="197F7FE5"/>
    <w:rsid w:val="19815DEF"/>
    <w:rsid w:val="1A0B56CC"/>
    <w:rsid w:val="1A5209BF"/>
    <w:rsid w:val="1A9A7814"/>
    <w:rsid w:val="1ACC2C72"/>
    <w:rsid w:val="1AD92C1A"/>
    <w:rsid w:val="1AE05882"/>
    <w:rsid w:val="1B7E1D91"/>
    <w:rsid w:val="1BA01F15"/>
    <w:rsid w:val="1BAA51E9"/>
    <w:rsid w:val="1BB37A52"/>
    <w:rsid w:val="1BDE0500"/>
    <w:rsid w:val="1BE03904"/>
    <w:rsid w:val="1BE35D72"/>
    <w:rsid w:val="1BFA781D"/>
    <w:rsid w:val="1C036D4A"/>
    <w:rsid w:val="1C8528A5"/>
    <w:rsid w:val="1CFD19F4"/>
    <w:rsid w:val="1D7C5DE4"/>
    <w:rsid w:val="1DC9676C"/>
    <w:rsid w:val="1DD75F33"/>
    <w:rsid w:val="1E0E4E16"/>
    <w:rsid w:val="1E88359D"/>
    <w:rsid w:val="1EB21020"/>
    <w:rsid w:val="1F154AC1"/>
    <w:rsid w:val="1F183ACB"/>
    <w:rsid w:val="1F5912B3"/>
    <w:rsid w:val="1F5C7C80"/>
    <w:rsid w:val="1F6022B7"/>
    <w:rsid w:val="1F6912DB"/>
    <w:rsid w:val="1FDD4D57"/>
    <w:rsid w:val="2010374C"/>
    <w:rsid w:val="20162418"/>
    <w:rsid w:val="20193196"/>
    <w:rsid w:val="202A0EFF"/>
    <w:rsid w:val="20451ABE"/>
    <w:rsid w:val="2057227E"/>
    <w:rsid w:val="20A61CA7"/>
    <w:rsid w:val="20B41CC5"/>
    <w:rsid w:val="20DA7ECA"/>
    <w:rsid w:val="20FE560F"/>
    <w:rsid w:val="215C4FC3"/>
    <w:rsid w:val="216B7E5B"/>
    <w:rsid w:val="217334F0"/>
    <w:rsid w:val="217F4BEE"/>
    <w:rsid w:val="21863531"/>
    <w:rsid w:val="21882936"/>
    <w:rsid w:val="2193541B"/>
    <w:rsid w:val="22867AEB"/>
    <w:rsid w:val="22A93A21"/>
    <w:rsid w:val="22D5638C"/>
    <w:rsid w:val="22F67384"/>
    <w:rsid w:val="230A3311"/>
    <w:rsid w:val="230C2238"/>
    <w:rsid w:val="232579D9"/>
    <w:rsid w:val="236F2A9A"/>
    <w:rsid w:val="23923A23"/>
    <w:rsid w:val="23A4527D"/>
    <w:rsid w:val="23B636EC"/>
    <w:rsid w:val="24032B93"/>
    <w:rsid w:val="241C5060"/>
    <w:rsid w:val="244C2FC9"/>
    <w:rsid w:val="245709A7"/>
    <w:rsid w:val="24E20B57"/>
    <w:rsid w:val="24F2488A"/>
    <w:rsid w:val="25012544"/>
    <w:rsid w:val="25270B6B"/>
    <w:rsid w:val="25760A10"/>
    <w:rsid w:val="257A6015"/>
    <w:rsid w:val="259D1905"/>
    <w:rsid w:val="26016039"/>
    <w:rsid w:val="263D14BD"/>
    <w:rsid w:val="264C52BA"/>
    <w:rsid w:val="266C288F"/>
    <w:rsid w:val="268C32EC"/>
    <w:rsid w:val="26B75C02"/>
    <w:rsid w:val="26BF7E5B"/>
    <w:rsid w:val="271809BE"/>
    <w:rsid w:val="27670C62"/>
    <w:rsid w:val="277337A5"/>
    <w:rsid w:val="2791603C"/>
    <w:rsid w:val="27B75153"/>
    <w:rsid w:val="28011EDE"/>
    <w:rsid w:val="283A4162"/>
    <w:rsid w:val="2842183C"/>
    <w:rsid w:val="28C555A0"/>
    <w:rsid w:val="28E05110"/>
    <w:rsid w:val="28EC6544"/>
    <w:rsid w:val="293A489C"/>
    <w:rsid w:val="296703F4"/>
    <w:rsid w:val="29900CBF"/>
    <w:rsid w:val="29986C2A"/>
    <w:rsid w:val="29AB5097"/>
    <w:rsid w:val="29AF33A4"/>
    <w:rsid w:val="2A267F4D"/>
    <w:rsid w:val="2A2E65CD"/>
    <w:rsid w:val="2A4F3091"/>
    <w:rsid w:val="2B1B16D7"/>
    <w:rsid w:val="2B812C59"/>
    <w:rsid w:val="2B9577BC"/>
    <w:rsid w:val="2B9B7C2C"/>
    <w:rsid w:val="2BB02DFC"/>
    <w:rsid w:val="2BBD341C"/>
    <w:rsid w:val="2BEE439E"/>
    <w:rsid w:val="2BF462A2"/>
    <w:rsid w:val="2C216106"/>
    <w:rsid w:val="2C372494"/>
    <w:rsid w:val="2C416389"/>
    <w:rsid w:val="2C535A4E"/>
    <w:rsid w:val="2C5A6530"/>
    <w:rsid w:val="2C6A3910"/>
    <w:rsid w:val="2C7A64C6"/>
    <w:rsid w:val="2CA70C7A"/>
    <w:rsid w:val="2CA94CE5"/>
    <w:rsid w:val="2CF95F68"/>
    <w:rsid w:val="2CF96D4F"/>
    <w:rsid w:val="2D076559"/>
    <w:rsid w:val="2D0E7297"/>
    <w:rsid w:val="2D1E3C32"/>
    <w:rsid w:val="2D4C5158"/>
    <w:rsid w:val="2D6F7C80"/>
    <w:rsid w:val="2DA75E8C"/>
    <w:rsid w:val="2DE81B90"/>
    <w:rsid w:val="2E2E5697"/>
    <w:rsid w:val="2E390740"/>
    <w:rsid w:val="2E4F5FF4"/>
    <w:rsid w:val="2EBD78C2"/>
    <w:rsid w:val="2EE53219"/>
    <w:rsid w:val="2EEF7505"/>
    <w:rsid w:val="2F0F4C06"/>
    <w:rsid w:val="2F105957"/>
    <w:rsid w:val="2F124704"/>
    <w:rsid w:val="2F1A4E31"/>
    <w:rsid w:val="2F606A43"/>
    <w:rsid w:val="301C5925"/>
    <w:rsid w:val="30276623"/>
    <w:rsid w:val="30657217"/>
    <w:rsid w:val="306C440C"/>
    <w:rsid w:val="30BB2ADE"/>
    <w:rsid w:val="30EF255B"/>
    <w:rsid w:val="31023323"/>
    <w:rsid w:val="310D0175"/>
    <w:rsid w:val="31286858"/>
    <w:rsid w:val="31311FF8"/>
    <w:rsid w:val="31BE2200"/>
    <w:rsid w:val="31FB16C2"/>
    <w:rsid w:val="32826D57"/>
    <w:rsid w:val="32860277"/>
    <w:rsid w:val="32FE4C85"/>
    <w:rsid w:val="33A329CA"/>
    <w:rsid w:val="33AB4AC3"/>
    <w:rsid w:val="33DD1BFA"/>
    <w:rsid w:val="34307339"/>
    <w:rsid w:val="3435630A"/>
    <w:rsid w:val="34CF47D5"/>
    <w:rsid w:val="34ED7392"/>
    <w:rsid w:val="351714EF"/>
    <w:rsid w:val="355F6808"/>
    <w:rsid w:val="359945C6"/>
    <w:rsid w:val="35AC0328"/>
    <w:rsid w:val="360272B4"/>
    <w:rsid w:val="36B23C59"/>
    <w:rsid w:val="370F33F4"/>
    <w:rsid w:val="375D1070"/>
    <w:rsid w:val="378023F0"/>
    <w:rsid w:val="37817246"/>
    <w:rsid w:val="37B53E6C"/>
    <w:rsid w:val="37B97BC1"/>
    <w:rsid w:val="37EC6DB4"/>
    <w:rsid w:val="380047A5"/>
    <w:rsid w:val="380A1BA3"/>
    <w:rsid w:val="381B3763"/>
    <w:rsid w:val="38725669"/>
    <w:rsid w:val="390555E3"/>
    <w:rsid w:val="390A55DA"/>
    <w:rsid w:val="391C7413"/>
    <w:rsid w:val="39414AEA"/>
    <w:rsid w:val="39AB1462"/>
    <w:rsid w:val="39D52856"/>
    <w:rsid w:val="3A5924BD"/>
    <w:rsid w:val="3A6C66D8"/>
    <w:rsid w:val="3A7C3C59"/>
    <w:rsid w:val="3A9E5D8E"/>
    <w:rsid w:val="3BC04EEC"/>
    <w:rsid w:val="3C4B0C35"/>
    <w:rsid w:val="3C7C3783"/>
    <w:rsid w:val="3C93231F"/>
    <w:rsid w:val="3CBE022B"/>
    <w:rsid w:val="3CD4048A"/>
    <w:rsid w:val="3CEC0CC1"/>
    <w:rsid w:val="3D2B09E6"/>
    <w:rsid w:val="3D492389"/>
    <w:rsid w:val="3DAC5514"/>
    <w:rsid w:val="3DBE717E"/>
    <w:rsid w:val="3E1469A7"/>
    <w:rsid w:val="3E197ACF"/>
    <w:rsid w:val="3E29537F"/>
    <w:rsid w:val="3E3F16AB"/>
    <w:rsid w:val="3E4E6266"/>
    <w:rsid w:val="3E910BFE"/>
    <w:rsid w:val="3E963666"/>
    <w:rsid w:val="3EDC68EB"/>
    <w:rsid w:val="3F2415F6"/>
    <w:rsid w:val="3F326DA7"/>
    <w:rsid w:val="3F3E7F7E"/>
    <w:rsid w:val="3F610E05"/>
    <w:rsid w:val="3FED2E2D"/>
    <w:rsid w:val="3FFA1940"/>
    <w:rsid w:val="40241405"/>
    <w:rsid w:val="40871881"/>
    <w:rsid w:val="40B51C26"/>
    <w:rsid w:val="40CF2530"/>
    <w:rsid w:val="40E768EE"/>
    <w:rsid w:val="413B44BD"/>
    <w:rsid w:val="417C1446"/>
    <w:rsid w:val="417F4BF0"/>
    <w:rsid w:val="41A5315A"/>
    <w:rsid w:val="41B26513"/>
    <w:rsid w:val="41CE7FD0"/>
    <w:rsid w:val="422B55B5"/>
    <w:rsid w:val="4248629D"/>
    <w:rsid w:val="425F3D33"/>
    <w:rsid w:val="42662507"/>
    <w:rsid w:val="429515E4"/>
    <w:rsid w:val="43743EDC"/>
    <w:rsid w:val="43745F22"/>
    <w:rsid w:val="43DE0EAF"/>
    <w:rsid w:val="43DF4B9E"/>
    <w:rsid w:val="43F91AC6"/>
    <w:rsid w:val="441A6232"/>
    <w:rsid w:val="443777D7"/>
    <w:rsid w:val="45131A88"/>
    <w:rsid w:val="454545F0"/>
    <w:rsid w:val="45AA7653"/>
    <w:rsid w:val="45CF1D21"/>
    <w:rsid w:val="4620570D"/>
    <w:rsid w:val="4633522E"/>
    <w:rsid w:val="463818E7"/>
    <w:rsid w:val="469F1AFD"/>
    <w:rsid w:val="46D20CC1"/>
    <w:rsid w:val="46D83457"/>
    <w:rsid w:val="474B55D6"/>
    <w:rsid w:val="479360B2"/>
    <w:rsid w:val="47986BC9"/>
    <w:rsid w:val="4799586B"/>
    <w:rsid w:val="483E1A96"/>
    <w:rsid w:val="489C1234"/>
    <w:rsid w:val="48AC0C17"/>
    <w:rsid w:val="48D5273E"/>
    <w:rsid w:val="49174C2D"/>
    <w:rsid w:val="491D25E1"/>
    <w:rsid w:val="49474C70"/>
    <w:rsid w:val="495517ED"/>
    <w:rsid w:val="49835341"/>
    <w:rsid w:val="49C73528"/>
    <w:rsid w:val="49EA6E2D"/>
    <w:rsid w:val="49EF46E0"/>
    <w:rsid w:val="49F53A5E"/>
    <w:rsid w:val="4A0D189C"/>
    <w:rsid w:val="4A681926"/>
    <w:rsid w:val="4A876383"/>
    <w:rsid w:val="4AAA4FD8"/>
    <w:rsid w:val="4ACA24AC"/>
    <w:rsid w:val="4ACF558F"/>
    <w:rsid w:val="4B2C731E"/>
    <w:rsid w:val="4B5B7862"/>
    <w:rsid w:val="4B665A1A"/>
    <w:rsid w:val="4BA8100F"/>
    <w:rsid w:val="4BC8232E"/>
    <w:rsid w:val="4BC94DBD"/>
    <w:rsid w:val="4BD2311F"/>
    <w:rsid w:val="4BEA778A"/>
    <w:rsid w:val="4BEB4F17"/>
    <w:rsid w:val="4C1B173C"/>
    <w:rsid w:val="4C205BFB"/>
    <w:rsid w:val="4C9E0B9C"/>
    <w:rsid w:val="4CA63545"/>
    <w:rsid w:val="4CEA48C6"/>
    <w:rsid w:val="4CFF13EC"/>
    <w:rsid w:val="4D2868EE"/>
    <w:rsid w:val="4D4D6963"/>
    <w:rsid w:val="4D4E3D2B"/>
    <w:rsid w:val="4DB2452D"/>
    <w:rsid w:val="4DC42A73"/>
    <w:rsid w:val="4E0A57E2"/>
    <w:rsid w:val="4E0A7D83"/>
    <w:rsid w:val="4E3C6322"/>
    <w:rsid w:val="4E815C5F"/>
    <w:rsid w:val="4EEA5C19"/>
    <w:rsid w:val="4EFC2703"/>
    <w:rsid w:val="4F060E2B"/>
    <w:rsid w:val="4F19502F"/>
    <w:rsid w:val="4F3B1980"/>
    <w:rsid w:val="4F5B006C"/>
    <w:rsid w:val="4FE52C89"/>
    <w:rsid w:val="502640B2"/>
    <w:rsid w:val="50684ECB"/>
    <w:rsid w:val="509A5E21"/>
    <w:rsid w:val="50B26154"/>
    <w:rsid w:val="50CA61B9"/>
    <w:rsid w:val="50DB1E7D"/>
    <w:rsid w:val="50FA3EDC"/>
    <w:rsid w:val="51502223"/>
    <w:rsid w:val="516D6767"/>
    <w:rsid w:val="51862530"/>
    <w:rsid w:val="51A76D89"/>
    <w:rsid w:val="51FB05CD"/>
    <w:rsid w:val="52182C76"/>
    <w:rsid w:val="522313A9"/>
    <w:rsid w:val="523053AA"/>
    <w:rsid w:val="524624F3"/>
    <w:rsid w:val="52854202"/>
    <w:rsid w:val="52885DAA"/>
    <w:rsid w:val="5298336B"/>
    <w:rsid w:val="52B6742C"/>
    <w:rsid w:val="53357AB6"/>
    <w:rsid w:val="53A328E2"/>
    <w:rsid w:val="53FB01E1"/>
    <w:rsid w:val="5408179E"/>
    <w:rsid w:val="54A41487"/>
    <w:rsid w:val="54BB40EE"/>
    <w:rsid w:val="54EE23E6"/>
    <w:rsid w:val="54F36B36"/>
    <w:rsid w:val="54F644E0"/>
    <w:rsid w:val="5521759A"/>
    <w:rsid w:val="5524081D"/>
    <w:rsid w:val="552821FF"/>
    <w:rsid w:val="558E6BA1"/>
    <w:rsid w:val="55CC12A8"/>
    <w:rsid w:val="561D25AE"/>
    <w:rsid w:val="56444FA2"/>
    <w:rsid w:val="568A3A6A"/>
    <w:rsid w:val="56AB0D74"/>
    <w:rsid w:val="56AB32BC"/>
    <w:rsid w:val="56DE15B2"/>
    <w:rsid w:val="572359E2"/>
    <w:rsid w:val="57723184"/>
    <w:rsid w:val="5795555F"/>
    <w:rsid w:val="57AD3C9C"/>
    <w:rsid w:val="57B609EA"/>
    <w:rsid w:val="580E6F89"/>
    <w:rsid w:val="58516C16"/>
    <w:rsid w:val="586A7D60"/>
    <w:rsid w:val="589F317D"/>
    <w:rsid w:val="59106738"/>
    <w:rsid w:val="59417E03"/>
    <w:rsid w:val="59993219"/>
    <w:rsid w:val="59D41A07"/>
    <w:rsid w:val="59DA0C4F"/>
    <w:rsid w:val="5A1332A6"/>
    <w:rsid w:val="5A5B02FD"/>
    <w:rsid w:val="5A5F1592"/>
    <w:rsid w:val="5AD55059"/>
    <w:rsid w:val="5AFA140C"/>
    <w:rsid w:val="5B1A6259"/>
    <w:rsid w:val="5B2B1594"/>
    <w:rsid w:val="5B8B35EE"/>
    <w:rsid w:val="5BF334FD"/>
    <w:rsid w:val="5C29270A"/>
    <w:rsid w:val="5CFF4499"/>
    <w:rsid w:val="5D1A7A7F"/>
    <w:rsid w:val="5D4F6364"/>
    <w:rsid w:val="5D884DE6"/>
    <w:rsid w:val="5DDB25D6"/>
    <w:rsid w:val="5E0E27CB"/>
    <w:rsid w:val="5E694E56"/>
    <w:rsid w:val="5E775CC8"/>
    <w:rsid w:val="5F18740C"/>
    <w:rsid w:val="5F4C6B17"/>
    <w:rsid w:val="5F6B6098"/>
    <w:rsid w:val="5F823871"/>
    <w:rsid w:val="5FB822DA"/>
    <w:rsid w:val="5FFC0268"/>
    <w:rsid w:val="60046744"/>
    <w:rsid w:val="60127915"/>
    <w:rsid w:val="601A6214"/>
    <w:rsid w:val="601E6D22"/>
    <w:rsid w:val="601F306D"/>
    <w:rsid w:val="60215B1E"/>
    <w:rsid w:val="602B7CF2"/>
    <w:rsid w:val="6085794C"/>
    <w:rsid w:val="6097419F"/>
    <w:rsid w:val="60B51185"/>
    <w:rsid w:val="60C82388"/>
    <w:rsid w:val="60FC0CCC"/>
    <w:rsid w:val="612D11A2"/>
    <w:rsid w:val="61806D7E"/>
    <w:rsid w:val="61C22D84"/>
    <w:rsid w:val="622137FB"/>
    <w:rsid w:val="62807851"/>
    <w:rsid w:val="62F95A48"/>
    <w:rsid w:val="630B5A93"/>
    <w:rsid w:val="634A6570"/>
    <w:rsid w:val="63545B94"/>
    <w:rsid w:val="63DD00CA"/>
    <w:rsid w:val="63F007FF"/>
    <w:rsid w:val="6404731F"/>
    <w:rsid w:val="64204EE6"/>
    <w:rsid w:val="64336240"/>
    <w:rsid w:val="64B36425"/>
    <w:rsid w:val="64D924E1"/>
    <w:rsid w:val="65393AA8"/>
    <w:rsid w:val="653F2E1E"/>
    <w:rsid w:val="656010EE"/>
    <w:rsid w:val="65A34908"/>
    <w:rsid w:val="66897252"/>
    <w:rsid w:val="670677D8"/>
    <w:rsid w:val="67114B13"/>
    <w:rsid w:val="671F0C48"/>
    <w:rsid w:val="6753509B"/>
    <w:rsid w:val="67A2312B"/>
    <w:rsid w:val="67BC7932"/>
    <w:rsid w:val="67F23267"/>
    <w:rsid w:val="67FE70F5"/>
    <w:rsid w:val="68187CAB"/>
    <w:rsid w:val="685E1278"/>
    <w:rsid w:val="68B8626C"/>
    <w:rsid w:val="6A642CCC"/>
    <w:rsid w:val="6A8D15B7"/>
    <w:rsid w:val="6A95215C"/>
    <w:rsid w:val="6B15227B"/>
    <w:rsid w:val="6B175495"/>
    <w:rsid w:val="6B2563CD"/>
    <w:rsid w:val="6B264F5B"/>
    <w:rsid w:val="6B375C7D"/>
    <w:rsid w:val="6B3959FA"/>
    <w:rsid w:val="6B7A2318"/>
    <w:rsid w:val="6BF25206"/>
    <w:rsid w:val="6C2A0B02"/>
    <w:rsid w:val="6C2E78B2"/>
    <w:rsid w:val="6C425AE2"/>
    <w:rsid w:val="6C622050"/>
    <w:rsid w:val="6C6F74DF"/>
    <w:rsid w:val="6C9101BF"/>
    <w:rsid w:val="6CCB5A26"/>
    <w:rsid w:val="6CF27EA0"/>
    <w:rsid w:val="6D174EA1"/>
    <w:rsid w:val="6D2613FC"/>
    <w:rsid w:val="6D551FDC"/>
    <w:rsid w:val="6E344704"/>
    <w:rsid w:val="6E774996"/>
    <w:rsid w:val="6EF13C4D"/>
    <w:rsid w:val="6EF84946"/>
    <w:rsid w:val="6F4C7702"/>
    <w:rsid w:val="6FCF7EE9"/>
    <w:rsid w:val="700E0FAB"/>
    <w:rsid w:val="704F3245"/>
    <w:rsid w:val="706D2BCE"/>
    <w:rsid w:val="7099289D"/>
    <w:rsid w:val="70F43F14"/>
    <w:rsid w:val="7100407D"/>
    <w:rsid w:val="716A72AF"/>
    <w:rsid w:val="716E7B60"/>
    <w:rsid w:val="719E0C31"/>
    <w:rsid w:val="71FE3708"/>
    <w:rsid w:val="726250C1"/>
    <w:rsid w:val="72645BB6"/>
    <w:rsid w:val="72B568BD"/>
    <w:rsid w:val="72DE5907"/>
    <w:rsid w:val="72E54474"/>
    <w:rsid w:val="72E80CEF"/>
    <w:rsid w:val="732D0CBA"/>
    <w:rsid w:val="732E29A7"/>
    <w:rsid w:val="733C3021"/>
    <w:rsid w:val="734D278E"/>
    <w:rsid w:val="737836AF"/>
    <w:rsid w:val="737D7BE7"/>
    <w:rsid w:val="738F6DA3"/>
    <w:rsid w:val="73BC1B27"/>
    <w:rsid w:val="741514F2"/>
    <w:rsid w:val="742517E5"/>
    <w:rsid w:val="746E5842"/>
    <w:rsid w:val="74BC2E0E"/>
    <w:rsid w:val="74C17C46"/>
    <w:rsid w:val="74D24B75"/>
    <w:rsid w:val="74D77DA3"/>
    <w:rsid w:val="74DC64B8"/>
    <w:rsid w:val="74E93DB3"/>
    <w:rsid w:val="74FB37A7"/>
    <w:rsid w:val="75110379"/>
    <w:rsid w:val="75220B07"/>
    <w:rsid w:val="75602874"/>
    <w:rsid w:val="757869CB"/>
    <w:rsid w:val="75A6102B"/>
    <w:rsid w:val="75DD3F01"/>
    <w:rsid w:val="75E45E01"/>
    <w:rsid w:val="75F37AD6"/>
    <w:rsid w:val="75F90007"/>
    <w:rsid w:val="761D2EA0"/>
    <w:rsid w:val="763B3F5A"/>
    <w:rsid w:val="764255C2"/>
    <w:rsid w:val="76572ACE"/>
    <w:rsid w:val="767E779C"/>
    <w:rsid w:val="7742112C"/>
    <w:rsid w:val="776460F0"/>
    <w:rsid w:val="77894EB0"/>
    <w:rsid w:val="77C2452B"/>
    <w:rsid w:val="77CA102B"/>
    <w:rsid w:val="77CE39B2"/>
    <w:rsid w:val="77DC7C6B"/>
    <w:rsid w:val="780207E2"/>
    <w:rsid w:val="78160E40"/>
    <w:rsid w:val="781C4464"/>
    <w:rsid w:val="782A352D"/>
    <w:rsid w:val="78490C25"/>
    <w:rsid w:val="785E1DE5"/>
    <w:rsid w:val="78816BFC"/>
    <w:rsid w:val="78A84C45"/>
    <w:rsid w:val="79084DA3"/>
    <w:rsid w:val="7968380F"/>
    <w:rsid w:val="79B663B4"/>
    <w:rsid w:val="79E619C2"/>
    <w:rsid w:val="79F00A1F"/>
    <w:rsid w:val="7A1F709E"/>
    <w:rsid w:val="7A220440"/>
    <w:rsid w:val="7A464EAD"/>
    <w:rsid w:val="7A491EA2"/>
    <w:rsid w:val="7A746B1E"/>
    <w:rsid w:val="7ABC6F58"/>
    <w:rsid w:val="7AC87199"/>
    <w:rsid w:val="7AD06E8E"/>
    <w:rsid w:val="7AFB4E00"/>
    <w:rsid w:val="7AFC30EF"/>
    <w:rsid w:val="7B564FD5"/>
    <w:rsid w:val="7B7A624D"/>
    <w:rsid w:val="7BA40B0F"/>
    <w:rsid w:val="7BB27340"/>
    <w:rsid w:val="7C2D5C98"/>
    <w:rsid w:val="7C3F09F2"/>
    <w:rsid w:val="7C4341B0"/>
    <w:rsid w:val="7C5F4340"/>
    <w:rsid w:val="7D2805AB"/>
    <w:rsid w:val="7DC13CB9"/>
    <w:rsid w:val="7E2B19CF"/>
    <w:rsid w:val="7E2E415A"/>
    <w:rsid w:val="7E3B085B"/>
    <w:rsid w:val="7E9B2044"/>
    <w:rsid w:val="7EAC7681"/>
    <w:rsid w:val="7EC27D0C"/>
    <w:rsid w:val="7F1246FD"/>
    <w:rsid w:val="7F652B4B"/>
    <w:rsid w:val="7F8D2E3E"/>
    <w:rsid w:val="7F916BF8"/>
    <w:rsid w:val="7F92191B"/>
    <w:rsid w:val="7FB14826"/>
    <w:rsid w:val="7FF77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147</TotalTime>
  <ScaleCrop>false</ScaleCrop>
  <LinksUpToDate>false</LinksUpToDate>
  <CharactersWithSpaces>0</CharactersWithSpaces>
  <Application>WPS Office_11.8.2.11089_F1E327BC-269C-435d-A152-05C5408002CA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2025-11-27T03:24:00Z</dcterms:created>
  <dc:creator>gyyz-laitungwong</dc:creator>
  <cp:lastModifiedBy>gyyz-laitungwong</cp:lastModifiedBy>
  <dcterms:modified xsi:type="dcterms:W3CDTF">2025-11-27T05:53:17Z</dcterms:modified>
  <dc:title>Background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2052-11.8.2.11089</vt:lpwstr>
  </property>
  <property fmtid="{D5CDD505-2E9C-101B-9397-08002B2CF9AE}" pid="3" name="ICV">
    <vt:lpwstr>D4A8EB27C3494699AA74823A5F37F3CA</vt:lpwstr>
  </property>
</Properties>
</file>