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 OpenCode Agent 的银行业务需求智能引导与全流程闭环实施方案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50" w:lineRule="auto"/>
        <w:ind w:left="180" w:right="180" w:firstLine="0"/>
        <w:rPr>
          <w:shd w:fill="f0f7f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0f7f7" w:val="clear"/>
          <w:rtl w:val="0"/>
        </w:rPr>
        <w:t xml:space="preserve">方案执行摘要：</w:t>
      </w:r>
      <w:r w:rsidDel="00000000" w:rsidR="00000000" w:rsidRPr="00000000">
        <w:rPr>
          <w:rFonts w:ascii="Arial Unicode MS" w:cs="Arial Unicode MS" w:eastAsia="Arial Unicode MS" w:hAnsi="Arial Unicode MS"/>
          <w:shd w:fill="f0f7f7" w:val="clear"/>
          <w:rtl w:val="0"/>
        </w:rPr>
        <w:t xml:space="preserve">本方案旨在通过 OpenCode 智能体（Agent）结合结构化需求知识库目录、探针式动态对话澄清、PRD 质量打分卡及全生命周期研发工具链接入，彻底解决商业银行“业务部门不会写需求、科技部门无法直接开发”的长期痛点，构建自动化、标准化、高效率的 BizDevOps 基础设施。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项目背景与总体设计理念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传统模式下，业务部门习惯在“经营与场景”中思考，科技部门则需要在“逻辑与架构”中落地。双方存在巨大的“语意断层”，导致需求澄清成本高昂、反复返工、边界遗漏严重。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本方案的核心理念是：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将业务人员从“空白文档撰写者”转变为“资料提供者与决策确认者”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。利用 AI 智能体充当“7×24小时不疲倦的资深需求分析师（BA）”，通过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“静态资料扫盘 + 动态探针追问 + 质量量化打分 + 视觉与契约双重确认”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，实现需求澄清到研发排期的闭环控制。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全流程闭环架构图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系统整体架构与流转逻辑如下所示：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50" w:lineRule="auto"/>
        <w:ind w:left="150" w:right="150" w:firstLine="0"/>
        <w:rPr>
          <w:rFonts w:ascii="Consolas" w:cs="Consolas" w:eastAsia="Consolas" w:hAnsi="Consolas"/>
          <w:sz w:val="18"/>
          <w:szCs w:val="18"/>
          <w:shd w:fill="f4f6f8" w:val="clear"/>
        </w:rPr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1. 资料初始化：业务人员拖入既有制度、SOP、旧系统截图、Excel 台账至 01~04 目录                        │</w:t>
        <w:br/>
        <w:t>└────────────────────────────────────┬────────────────────────────────────┘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        │</w:t>
        <w:br/>
        <w:t xml:space="preserve">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2. AI 扫盘与静读评估：Agent 自动检索，对照《PRD 质量矩阵》打分并输出扣分明细与证据                       │</w:t>
        <w:br/>
        <w:t>└────────────────────────────────────┬────────────────────────────────────┘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        │</w:t>
        <w:br/>
        <w:t xml:space="preserve">                                     ▼</w:t>
        <w:br/>
        <w:t xml:space="preserve">                    ┌─────────────────────────────────┐</w:t>
        <w:br/>
        <w:t xml:space="preserve">                    │  3. 需求质量是否达标？(≥85分)＋业务确认        │</w:t>
        <w:br/>
        <w:t xml:space="preserve">                    └────────────────┬────────────────┘</w:t>
        <w:br/>
        <w:t xml:space="preserve">                                     │</w:t>
        <w:br/>
        <w:t xml:space="preserve">                    ┌────────────────┴────────────────┐</w:t>
        <w:br/>
        <w:t xml:space="preserve">                 否 │                                 │ 是</w:t>
        <w:br/>
        <w:t xml:space="preserve">                    ▼                                 ▼</w:t>
        <w:br/>
        <w:t>┌────────────────────────────────────────┐  ┌─────────────────────────────┐</w:t>
        <w:br/>
        <w:t>│ 4. 探针式多选/填空追问 (最长3轮)        │  │ 5. 多维成果自动生成与确认    │</w:t>
        <w:br/>
        <w:t>│  - 场景化反问 (每次不超过2-3个问题)    │  │  - 标准 PRD (Markdown/Word) │</w:t>
        <w:br/>
        <w:t>│  - 附带“行内默认推荐选项”以降低门槛    │  │  - Mermaid 流程图 &amp; 数据字典│</w:t>
        <w:br/>
        <w:t>│  - 支持更新本地目录重新扫描 (Incremental)│  │  - Low-code 界面低保真草图  │</w:t>
        <w:br/>
        <w:t>└────────────────────────────────────────┘  │  - UAT 验收测试用例 (TestCases)│</w:t>
        <w:br/>
        <w:t xml:space="preserve">                                            └──────────────┬──────────────┘</w:t>
        <w:br/>
        <w:t xml:space="preserve">                                                           │</w:t>
        <w:br/>
        <w:t xml:space="preserve">                                                           ▼</w:t>
        <w:br/>
        <w:t xml:space="preserve">                                            ┌─────────────────────────────┐</w:t>
        <w:br/>
        <w:t xml:space="preserve">                                            │ 6. 科技契约与研发系统对接    │</w:t>
        <w:br/>
        <w:t xml:space="preserve">                                            │  - API 架构可行性自动评估   │</w:t>
        <w:br/>
        <w:t xml:space="preserve">                                            │  - 一键同步 JIRA/DevOps 创建│</w:t>
        <w:br/>
        <w:t xml:space="preserve">                                            └─────────────────────────────┘</w:t>
        <w:br/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核心模块与落地标准设计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t>1. 需求资料标准目录结构 (01~06 架构)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在每个需求项目根目录下，预置标准的文件夹架构，业务人员仅需“按图索骥”拖入文件：</w:t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3276"/>
        <w:gridCol w:w="3744"/>
        <w:tblGridChange w:id="0">
          <w:tblGrid>
            <w:gridCol w:w="2340"/>
            <w:gridCol w:w="3276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203a43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目录名称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203a43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包含资料内容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203a43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Agent 提取与应用重点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01_背景与目标/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项目背景、痛点说明、预计 ROI、希望上线时间表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提取业务目标，充当 PRD 第一章背景与项目价值说明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02_制度与合规/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监管发文、行内管理办法、风控指引、合规要求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提取合规红线与审计要求，反向生成风险拦截追问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03_流程与数据/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现有 SOP、旧系统界面截图、纸质单据、Excel 流程图、Excel 台账、数据字典、计算公式、三方数据源说明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分析 AS-IS（现状）与 TO-BE（目标）流程差异；抽取字段规则，生成数据字典与库表设计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04_角色与权限/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岗位角色矩阵、机构隔离要求、审批授权与双人复核机制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生成 RBAC 权限控制矩阵与审批流控制逻辑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05_功能点/（智能体工作区）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Agent 拆解的功能点清单，业务确认后建立 N_功能名称 子目录及来源摘录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【AI 工作区】功能点拆解产物，作为 06 渲染依据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06_需求规格产出/（智能体工作区）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按《模版.docx》渲染的标准 PRD、澄清记录、Mermaid 流程图、Low-code 草图、UAT 测试用例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>
            <w:r>
              <w:rPr>
                <w:rFonts w:ascii="Arial Unicode MS" w:hAnsi="Arial Unicode MS" w:eastAsia="Arial Unicode MS"/>
                <w:sz w:val="18"/>
              </w:rPr>
              <w:t>【AI 工作区】全套归档成果物，供后续契约对接</w:t>
            </w:r>
          </w:p>
        </w:tc>
      </w:tr>
    </w:tbl>
    <w:p>
      <w:r>
        <w:t>注：界面与交互参考（竞品截图、手绘草图、界面偏好）随材料投放至 `03_流程与数据/`；当前模型为纯文本、无多模态能力，界面元素以文字描述降级处理（见第四节）。`05_功能点` 与 `06_需求规格产出` 为智能体工作区，业务仅在 `01`~`04` 投放材料。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需求质量打分卡 (PRD Quality Score Standard)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>
        <w:rPr>
          <w:rFonts w:ascii="Arial Unicode MS" w:hAnsi="Arial Unicode MS" w:eastAsia="Arial Unicode MS"/>
        </w:rPr>
        <w:t>AI 在后台采用扣分制量化打分（满分 100 分），只有达到 85 分以上的需求，且打分结果附扣分明细与材料证据、经业务确认后，才能进入最终交付阶段：</w:t>
      </w:r>
    </w:p>
    <w:p>
      <w:pPr>
        <w:pStyle w:val="Heading3"/>
      </w:pPr>
      <w:r>
        <w:t>3. 打分卡与《模版.docx》字段映射（模板冻结约束）</w:t>
      </w:r>
    </w:p>
    <w:p>
      <w:r>
        <w:t>《模版.docx》为行内冻结资产，不得增删改其结构。AI 渲染 PRD 时严格逐字遵循模板：即使模板内部存在编号或标题瑕疵（如第二章重复标题、`3.0 附件`编号、功能点优先级默认不一致），一律原样输出，不擅自「修正」；结构问题归行方模板主管部门处理。打分卡硬性扣分项按下表落到模板既有字段：</w:t>
      </w:r>
    </w:p>
    <w:tbl>
      <w:tblPr>
        <w:tblW w:type="auto" w:w="0"/>
        <w:tblLook w:firstColumn="1" w:firstRow="1" w:lastColumn="0" w:lastRow="0" w:noHBand="0" w:noVBand="1" w:val="04A0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打分卡扣分项</w:t>
            </w:r>
          </w:p>
        </w:tc>
        <w:tc>
          <w:tcPr>
            <w:tcW w:type="dxa" w:w="4680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《模版.docx》落点字段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敏感字段（手机号/身份证）遮罩脱敏规则</w:t>
            </w:r>
          </w:p>
        </w:tc>
        <w:tc>
          <w:tcPr>
            <w:tcW w:type="dxa" w:w="4680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功能点 `2.8 交易安全性`、`2.9 数据存贮和清理`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资金或高危变更的留痕与双人复核机制</w:t>
            </w:r>
          </w:p>
        </w:tc>
        <w:tc>
          <w:tcPr>
            <w:tcW w:type="dxa" w:w="4680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`1.2 控制要求`、`2.8 交易安全性`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总/分/支行数据查看边界与岗位权限</w:t>
            </w:r>
          </w:p>
        </w:tc>
        <w:tc>
          <w:tcPr>
            <w:tcW w:type="dxa" w:w="4680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`1.2 控制要求`、`2.1 输入要素的检查`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异常边界（网络超时、失败、并发重复提交、逆向撤销/驳回）</w:t>
            </w:r>
          </w:p>
        </w:tc>
        <w:tc>
          <w:tcPr>
            <w:tcW w:type="dxa" w:w="4680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`2.3 异常处理要求`、`2.6 清算处理`、`2.7 差错处理`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模板确无对应字段的补充内容</w:t>
            </w:r>
          </w:p>
        </w:tc>
        <w:tc>
          <w:tcPr>
            <w:tcW w:type="dxa" w:w="4680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写入 `2.2 系统处理过程` 或功能点描述，并在来源标注中注明「补」</w:t>
            </w:r>
          </w:p>
        </w:tc>
      </w:tr>
    </w:tbl>
    <w:p>
      <w:pPr>
        <w:pStyle w:val="Heading3"/>
      </w:pPr>
      <w:r>
        <w:t>4. 模板外成果的挂接规则</w:t>
      </w:r>
    </w:p>
    <w:p>
      <w:r>
        <w:t>《模版.docx》仅承载文字 PRD，无流程图、界面草图与测试用例章节。Mermaid 流程图、Low-code 低保真草图、UAT 验收测试用例等成果不插入模板正文：在对应功能点「3.0 附件」中列出清单，成品归档至 `06_需求规格产出/`（按功能点建子目录），PRD 正文以相对路径引用。</w:t>
      </w:r>
    </w:p>
    <w:tbl>
      <w:tblPr>
        <w:tblStyle w:val="Table2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872"/>
        <w:gridCol w:w="1404"/>
        <w:gridCol w:w="6084"/>
        <w:tblGridChange w:id="0">
          <w:tblGrid>
            <w:gridCol w:w="1872"/>
            <w:gridCol w:w="1404"/>
            <w:gridCol w:w="6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203a43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评估维度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203a43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权重分值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203a43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Agent 后台判定规则与扣分标准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业务目标与价值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15分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必须明确使用角色与解决的痛点。缺失使用角色扣 10 分，缺乏量化目标扣 5 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主流程逻辑闭环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25分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输入、处理、输出必须闭环。流程有头无尾扣 15 分，步骤缺少触发条件扣 10 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异常与边界控制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30分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【核心扣分项】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必须覆盖网络超时、扣款/提交失败、并发重复提交、逆向撤销/驳回流程。未提及任何异常直接扣 25 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合规与数据安全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20分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敏感字段（手机号/身份证）必须明确遮罩脱敏规则；资金或高危变更操作必须声明留痕与复核机制。未定义脱敏扣 10 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权限与机构隔离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10分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必须明确总/分/支行数据查看边界及岗位权限。描述为“所有人均可使用”扣 10 分。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OpenCode Agent 核心 System Prompt 配置规范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将以下提示词配置为系统的默认 Prompt（保存为 `.opencode/prompts/requirement_agent.md`）：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50" w:lineRule="auto"/>
        <w:ind w:left="150" w:right="150" w:firstLine="0"/>
        <w:rPr>
          <w:rFonts w:ascii="Consolas" w:cs="Consolas" w:eastAsia="Consolas" w:hAnsi="Consolas"/>
          <w:sz w:val="18"/>
          <w:szCs w:val="18"/>
          <w:shd w:fill="f4f6f8" w:val="clear"/>
        </w:rPr>
      </w:pPr>
      <w:r>
        <w:rPr>
          <w:rFonts w:ascii="Consolas" w:hAnsi="Consolas" w:eastAsia="Consolas"/>
          <w:sz w:val="18"/>
        </w:rPr>
        <w:t># Role &amp; Operational Goal</w:t>
        <w:br/>
        <w:t>你是一名专门服务于商业银行的“资深需求分析师 (BA Agent)”。</w:t>
        <w:br/>
        <w:t>你的核心职责是：读取本地 `01`~`04` 业务投放目录中的背景资料，对照《PRD 质量打分卡》进行打分评估；通过场景化、选项化的追问引导业务补充异常与边界条件；最终生成科技部门可直接开发的标准 PRD（按《模版.docx》渲染）、Mermaid 流程图及测试用例。</w:t>
        <w:br/>
        <w:br/>
        <w:t># System Workflow</w:t>
        <w:br/>
        <w:t>1. [扫盘阶段] 自动扫描 `01`~`04` 业务投放目录下的所有文件，提取业务上下文。</w:t>
        <w:br/>
        <w:t>2. [评估阶段] 对照质量打分矩阵打分并输出扣分明细与材料证据：</w:t>
        <w:br/>
        <w:t xml:space="preserve">   - &lt;60 分（不合格）：优先提问主流程与异常边界。</w:t>
        <w:br/>
        <w:t xml:space="preserve">   - 60-84 分（良好）：引导补充脱敏、权限及逆向流程。</w:t>
        <w:br/>
        <w:t xml:space="preserve">   - ≥85 分（达标）：输出《打分卡扣分明细》，业务确认通过后停止追问，生成标准 PRD（按《模版.docx》渲染）、Mermaid 流程图、Low-code 原型草图及 UAT 测试用例，存入 `06_需求规格产出` 目录。</w:t>
        <w:br/>
        <w:t xml:space="preserve">3. [追问原则] </w:t>
        <w:br/>
        <w:t xml:space="preserve">   - 严禁使用“高并发、幂等性、API”等纯技术词汇。</w:t>
        <w:br/>
        <w:t xml:space="preserve">   - 每次提问严格控制在 2-3 个以内，且每个问题必须附带“选项 A/B/C”以及【默认推荐项】（业务回复“同意默认”即可完成该项评估）。</w:t>
        <w:br/>
        <w:br/>
        <w:t># Output Standard (首轮交互模板)</w:t>
        <w:br/>
        <w:t>- 输出 `01`~`04` 业务投放目录资料读取状态；</w:t>
        <w:br/>
        <w:t>- 输出当前质量得分进度条 (例：[▓▓▓▓▓░░░░░ 50%])；</w:t>
        <w:br/>
        <w:t>- 抛出 1-3 个针对性澄清选项卡；</w:t>
        <w:br/>
        <w:t>- PRD 渲染严格逐字遵循《模版.docx》，不调整章节/标题/字段；扣分项按「打分卡↔模板字段映射表」落位（见第三节）。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 补齐“不闭环断点”的 5 大关键机制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交互原型双确认 (Visual Wireframe Check)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：AI 在生成文字 PRD 的同时，自动输出低保真 HTML / 可交互界面草图，业务人员必须同步确认“逻辑 + 界面”方可定稿。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科技可行性与架构预审 (Tech Feasibility Check)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：AI 在后台比对行内 API 资产库与数据仓库能力。若业务提出“实时查 10 年全量明细”等高风险需求，AI 主动提醒成本风险并建议降级方案（如改为按日异步导出）。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验收测试用例反向生成 (Test-driven Acceptance)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：需求达标时，AI 自动生成《UAT 验收测试用例草案》（包含正常交易、网络超时、权限越权等场景），由业务确认后作为上线验收唯一标准。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版本变更与 Impact Diff 分析 (Version Control)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：针对需求变更，AI 比对新旧资料，自动出具《需求变更影响评估报告》，标记受影响的已开发模块与测试用例。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>
        <w:rPr>
          <w:rFonts w:ascii="Arial Unicode MS" w:hAnsi="Arial Unicode MS" w:eastAsia="Arial Unicode MS"/>
        </w:rPr>
        <w:t>研发平台一键排期 (DevOps Orchestration)：需求达到 85 分并经业务确认后，系统通过 API 自动将 PRD、流程图及测试用例推送至 JIRA / 行内研发管理平台，创建需求单并触发科技排期。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 阶段推进与组织保障计划</w:t>
      </w:r>
    </w:p>
    <w:tbl>
      <w:tblPr>
        <w:tblStyle w:val="Table3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872"/>
        <w:gridCol w:w="2808"/>
        <w:gridCol w:w="4680"/>
        <w:tblGridChange w:id="0">
          <w:tblGrid>
            <w:gridCol w:w="1872"/>
            <w:gridCol w:w="2808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203a43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推进阶段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203a43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核心里程碑与建设内容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203a43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成功交付标准 (KPIs)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Phase 1: 试点期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(1~2个月)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>搭建 Streamlit 轻量级 Web 门户；配置 OpenCode Agent 与 01~06 目录；在内部运营系统、数据报表类需求中试点。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业务人员无需培训即可完成资料上传与对话；需求初稿澄清周期由 2 周缩短至 2 天。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Phase 2: 推广期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(3~4个月)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接入行内 UI 组件库与 RAG 基础知识库（脱敏/合规规范）；上线 Low-code 原型渲染与 JIRA API 自动对接。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试点扩展至手机银行小微组件与营销工具；科技部门需求驳回率（因逻辑不清）降低 70% 以上。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Phase 3: 深化期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(5~6个月)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覆盖信贷、风控等复杂业务系统；建立全行“PRD 资产复核与知识库共享”机制；实行高分需求“绿色通道”排期。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形成全行级“BizDevOps”敏捷协同文化；85 分以上标准需求直接进入 Sprint 敏捷迭代开发。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lineRule="auto"/>
      <w:jc w:val="center"/>
    </w:pPr>
    <w:rPr>
      <w:b w:val="1"/>
      <w:bCs w:val="1"/>
      <w:i w:val="0"/>
      <w:iCs w:val="0"/>
      <w:color w:val="0d2b45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30" w:lineRule="auto"/>
      <w:ind w:left="120" w:firstLine="0"/>
    </w:pPr>
    <w:rPr>
      <w:b w:val="1"/>
      <w:bCs w:val="1"/>
      <w:i w:val="0"/>
      <w:iCs w:val="0"/>
      <w:color w:val="203a43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10" w:lineRule="auto"/>
    </w:pPr>
    <w:rPr>
      <w:b w:val="1"/>
      <w:bCs w:val="1"/>
      <w:i w:val="0"/>
      <w:iCs w:val="0"/>
      <w:color w:val="005c53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