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0" w:name="银行ai发展整体架构框架"/>
      <w:r>
        <w:rPr>
          <w:rFonts w:hint="eastAsia" w:ascii="仿宋_GB2312" w:hAnsi="仿宋_GB2312" w:eastAsia="仿宋_GB2312" w:cs="仿宋_GB2312"/>
          <w:color w:val="auto"/>
        </w:rPr>
        <w:t>银行AI发展整体架构框架</w:t>
      </w:r>
      <w:bookmarkEnd w:id="0"/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" w:name="一全视图ai银行架构全景"/>
      <w:r>
        <w:rPr>
          <w:rFonts w:hint="eastAsia" w:ascii="仿宋_GB2312" w:hAnsi="仿宋_GB2312" w:eastAsia="仿宋_GB2312" w:cs="仿宋_GB2312"/>
          <w:color w:val="auto"/>
        </w:rPr>
        <w:t>一、全视图：AI银行架构全景</w:t>
      </w:r>
      <w:bookmarkEnd w:id="1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本架构框架采用“六层架构”设计，从战略愿景到组织执行层层递进。核心目的在于为银行提供一套可落地的AI转型行动纲领，旨在系统性解决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战略共识</w:t>
      </w:r>
      <w:r>
        <w:rPr>
          <w:rFonts w:hint="eastAsia" w:ascii="仿宋_GB2312" w:hAnsi="仿宋_GB2312" w:eastAsia="仿宋_GB2312" w:cs="仿宋_GB2312"/>
          <w:color w:val="auto"/>
        </w:rPr>
        <w:t>、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资源投入</w:t>
      </w:r>
      <w:r>
        <w:rPr>
          <w:rFonts w:hint="eastAsia" w:ascii="仿宋_GB2312" w:hAnsi="仿宋_GB2312" w:eastAsia="仿宋_GB2312" w:cs="仿宋_GB2312"/>
          <w:color w:val="auto"/>
        </w:rPr>
        <w:t>与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组织协同</w:t>
      </w:r>
      <w:r>
        <w:rPr>
          <w:rFonts w:hint="eastAsia" w:ascii="仿宋_GB2312" w:hAnsi="仿宋_GB2312" w:eastAsia="仿宋_GB2312" w:cs="仿宋_GB2312"/>
          <w:color w:val="auto"/>
        </w:rPr>
        <w:t>三大关键矛盾，将AI从技术工具升维为银行的核心竞争力。通过量化收益化解高层对AI投入的迟疑，借"总行私有云+本地算力卡"双轨架构平衡创新与合规；用"业务-IT融合团队"打破部门墙，确保AI能力嵌入理财助手、智能信贷等高价值场景；更以三层治理体系预置人机协同关卡，将HKMA监管要求转化为可审计的操作规范。最终驱动银行从"金融产品供应商"蜕变为嵌入千行百业的智能服务生态。</w:t>
      </w:r>
    </w:p>
    <w:p>
      <w:pPr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5481320" cy="2794000"/>
            <wp:effectExtent l="0" t="0" r="5080" b="6350"/>
            <wp:docPr id="1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" w:name="二战略愿景层为什么需要ai银行"/>
      <w:r>
        <w:rPr>
          <w:rFonts w:hint="eastAsia" w:ascii="仿宋_GB2312" w:hAnsi="仿宋_GB2312" w:eastAsia="仿宋_GB2312" w:cs="仿宋_GB2312"/>
          <w:color w:val="auto"/>
        </w:rPr>
        <w:t>二、战略愿景层：为什么需要AI银行？</w:t>
      </w:r>
      <w:bookmarkEnd w:id="2"/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" w:name="转型动因为什么现在必须行动"/>
      <w:r>
        <w:rPr>
          <w:rFonts w:hint="eastAsia" w:ascii="仿宋_GB2312" w:hAnsi="仿宋_GB2312" w:eastAsia="仿宋_GB2312" w:cs="仿宋_GB2312"/>
          <w:color w:val="auto"/>
        </w:rPr>
        <w:t>2.1 转型动因：为什么现在必须行动？</w:t>
      </w:r>
      <w:bookmarkEnd w:id="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3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  <w:lang w:val="en-US"/>
        </w:rPr>
        <w:t>2.1.1</w:t>
      </w:r>
      <w:r>
        <w:rPr>
          <w:rFonts w:hint="eastAsia" w:ascii="仿宋_GB2312" w:hAnsi="仿宋_GB2312" w:eastAsia="仿宋_GB2312" w:cs="仿宋_GB2312"/>
          <w:b/>
          <w:color w:val="auto"/>
        </w:rPr>
        <w:t>外部压力：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客户期望跃迁</w:t>
      </w:r>
      <w:r>
        <w:rPr>
          <w:rFonts w:hint="eastAsia" w:ascii="仿宋_GB2312" w:hAnsi="仿宋_GB2312" w:eastAsia="仿宋_GB2312" w:cs="仿宋_GB2312"/>
          <w:color w:val="auto"/>
        </w:rPr>
        <w:t>：数字原生代成为主力客群，期待“即时、个性化、无摩擦”的服务体验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竞争格局重塑</w:t>
      </w:r>
      <w:r>
        <w:rPr>
          <w:rFonts w:hint="eastAsia" w:ascii="仿宋_GB2312" w:hAnsi="仿宋_GB2312" w:eastAsia="仿宋_GB2312" w:cs="仿宋_GB2312"/>
          <w:color w:val="auto"/>
        </w:rPr>
        <w:t>：金融科技公司、互联网巨头跨界竞争，传统银行护城河被侵蚀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监管科技升级</w:t>
      </w:r>
      <w:r>
        <w:rPr>
          <w:rFonts w:hint="eastAsia" w:ascii="仿宋_GB2312" w:hAnsi="仿宋_GB2312" w:eastAsia="仿宋_GB2312" w:cs="仿宋_GB2312"/>
          <w:color w:val="auto"/>
        </w:rPr>
        <w:t>：HKMA等监管机构推动AI治理框架，合规要求日益严格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3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  <w:lang w:val="en-US"/>
        </w:rPr>
        <w:t xml:space="preserve">2.1.2 </w:t>
      </w:r>
      <w:r>
        <w:rPr>
          <w:rFonts w:hint="eastAsia" w:ascii="仿宋_GB2312" w:hAnsi="仿宋_GB2312" w:eastAsia="仿宋_GB2312" w:cs="仿宋_GB2312"/>
          <w:b/>
          <w:color w:val="auto"/>
        </w:rPr>
        <w:t>技术成熟窗口：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大模型能力突破</w:t>
      </w:r>
      <w:r>
        <w:rPr>
          <w:rFonts w:hint="eastAsia" w:ascii="仿宋_GB2312" w:hAnsi="仿宋_GB2312" w:eastAsia="仿宋_GB2312" w:cs="仿宋_GB2312"/>
          <w:color w:val="auto"/>
        </w:rPr>
        <w:t>：大模型在理解、推理、生成能力上实现质的飞跃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智能体技术成熟</w:t>
      </w:r>
      <w:r>
        <w:rPr>
          <w:rFonts w:hint="eastAsia" w:ascii="仿宋_GB2312" w:hAnsi="仿宋_GB2312" w:eastAsia="仿宋_GB2312" w:cs="仿宋_GB2312"/>
          <w:color w:val="auto"/>
        </w:rPr>
        <w:t>：多智能体协作、工具调用、自主规划等技术进入实用阶段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部署成本下降</w:t>
      </w:r>
      <w:r>
        <w:rPr>
          <w:rFonts w:hint="eastAsia" w:ascii="仿宋_GB2312" w:hAnsi="仿宋_GB2312" w:eastAsia="仿宋_GB2312" w:cs="仿宋_GB2312"/>
          <w:color w:val="auto"/>
        </w:rPr>
        <w:t>：开源模型、云服务使AI落地门槛大幅降低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3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  <w:lang w:val="en-US"/>
        </w:rPr>
        <w:t xml:space="preserve">2.1.3 </w:t>
      </w:r>
      <w:r>
        <w:rPr>
          <w:rFonts w:hint="eastAsia" w:ascii="仿宋_GB2312" w:hAnsi="仿宋_GB2312" w:eastAsia="仿宋_GB2312" w:cs="仿宋_GB2312"/>
          <w:b/>
          <w:color w:val="auto"/>
        </w:rPr>
        <w:t>价值机遇：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麦肯锡研究显示，AI可带来</w:t>
      </w:r>
      <w:r>
        <w:rPr>
          <w:rFonts w:hint="eastAsia" w:ascii="仿宋_GB2312" w:hAnsi="仿宋_GB2312" w:eastAsia="仿宋_GB2312" w:cs="仿宋_GB2312"/>
          <w:b/>
          <w:color w:val="auto"/>
        </w:rPr>
        <w:t>14%-24%的潜在利润提升</w:t>
      </w:r>
      <w:r>
        <w:rPr>
          <w:rFonts w:hint="eastAsia" w:ascii="仿宋_GB2312" w:hAnsi="仿宋_GB2312" w:eastAsia="仿宋_GB2312" w:cs="仿宋_GB2312"/>
          <w:b/>
          <w:color w:val="auto"/>
          <w:lang w:val="en-US"/>
        </w:rPr>
        <w:t>。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软件开发、运营、市场营销、风控与法务等板块增效潜力最大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>- 先行者将在客户体验、风险控制、运营效率上建立竞争壁垒</w:t>
      </w:r>
      <w:r>
        <w:rPr>
          <w:rFonts w:hint="eastAsia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" w:name="战略目标体系"/>
      <w:r>
        <w:rPr>
          <w:rFonts w:hint="eastAsia" w:ascii="仿宋_GB2312" w:hAnsi="仿宋_GB2312" w:eastAsia="仿宋_GB2312" w:cs="仿宋_GB2312"/>
          <w:color w:val="auto"/>
        </w:rPr>
        <w:t>2.2 战略目标体系</w:t>
      </w:r>
      <w:bookmarkEnd w:id="4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3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  <w:lang w:val="en-US"/>
        </w:rPr>
        <w:t xml:space="preserve">2.2.1 </w:t>
      </w:r>
      <w:r>
        <w:rPr>
          <w:rFonts w:hint="eastAsia" w:ascii="仿宋_GB2312" w:hAnsi="仿宋_GB2312" w:eastAsia="仿宋_GB2312" w:cs="仿宋_GB2312"/>
          <w:b/>
          <w:color w:val="auto"/>
        </w:rPr>
        <w:t>财务目标：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短期（1年）：2-3个高价值用例规模化，ROI可衡量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中期（3年）：AI贡献20-30%运营效率提升，10-15%收入增长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长期（5年）：成为行业AI标准制定者，孵化新业务模式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3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  <w:lang w:val="en-US"/>
        </w:rPr>
        <w:t xml:space="preserve">2.2.2 </w:t>
      </w:r>
      <w:r>
        <w:rPr>
          <w:rFonts w:hint="eastAsia" w:ascii="仿宋_GB2312" w:hAnsi="仿宋_GB2312" w:eastAsia="仿宋_GB2312" w:cs="仿宋_GB2312"/>
          <w:b/>
          <w:color w:val="auto"/>
        </w:rPr>
        <w:t>能力目标：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客户体验：NPS提升30+分，服务解决率&gt;90%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运营效率：自动化率&gt;70%，流程时间缩短50%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风险管理：实时风险覆盖率&gt;90%，损失减少60%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" w:name="未来银行展望"/>
      <w:r>
        <w:rPr>
          <w:rFonts w:hint="eastAsia" w:ascii="仿宋_GB2312" w:hAnsi="仿宋_GB2312" w:eastAsia="仿宋_GB2312" w:cs="仿宋_GB2312"/>
          <w:color w:val="auto"/>
        </w:rPr>
        <w:t>2.3 未来银行展望</w:t>
      </w:r>
      <w:bookmarkEnd w:id="5"/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482"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</w:rPr>
        <w:t>AI银行是</w:t>
      </w:r>
      <w:r>
        <w:rPr>
          <w:rFonts w:hint="eastAsia" w:ascii="仿宋_GB2312" w:hAnsi="仿宋_GB2312" w:eastAsia="仿宋_GB2312" w:cs="仿宋_GB2312"/>
          <w:b/>
          <w:bCs w:val="0"/>
          <w:color w:val="auto"/>
        </w:rPr>
        <w:t>“</w:t>
      </w:r>
      <w:r>
        <w:rPr>
          <w:rFonts w:hint="eastAsia" w:ascii="仿宋_GB2312" w:hAnsi="仿宋_GB2312" w:eastAsia="仿宋_GB2312" w:cs="仿宋_GB2312"/>
          <w:b/>
          <w:color w:val="auto"/>
        </w:rPr>
        <w:t>智能驱动的增长引擎 + 自主运行的风险体系 + 人机协同的组织范式”</w:t>
      </w:r>
      <w:r>
        <w:rPr>
          <w:rFonts w:hint="eastAsia" w:ascii="仿宋_GB2312" w:hAnsi="仿宋_GB2312" w:eastAsia="仿宋_GB2312" w:cs="仿宋_GB2312"/>
          <w:color w:val="auto"/>
        </w:rPr>
        <w:t>。它不止于“更数字化”，而是致力于将金融服务嵌入千行百业，成为“无处不在的智能金融能力”。</w:t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三大核心要素：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1907"/>
        <w:gridCol w:w="1931"/>
        <w:gridCol w:w="35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核心要素</w:t>
            </w:r>
          </w:p>
        </w:tc>
        <w:tc>
          <w:tcPr>
            <w:tcW w:w="1907" w:type="dxa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传统模式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未来模式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AI驱动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智能驱动的增长引擎</w:t>
            </w:r>
          </w:p>
        </w:tc>
        <w:tc>
          <w:tcPr>
            <w:tcW w:w="1907" w:type="dxa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卖产品、触点运营</w:t>
            </w:r>
          </w:p>
        </w:tc>
        <w:tc>
          <w:tcPr>
            <w:tcW w:w="1931" w:type="dxa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经营客户生命周期、嵌入式服务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AI分析客户需求，主动提供个性化方案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自主运行的风险体系</w:t>
            </w:r>
          </w:p>
        </w:tc>
        <w:tc>
          <w:tcPr>
            <w:tcW w:w="1907" w:type="dxa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事后止损、规则驱动</w:t>
            </w:r>
          </w:p>
        </w:tc>
        <w:tc>
          <w:tcPr>
            <w:tcW w:w="1931" w:type="dxa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事前预防、智能学习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实时监测、持续优化，将风险控制转化为风险定价能力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人机协同的组织范式</w:t>
            </w:r>
          </w:p>
        </w:tc>
        <w:tc>
          <w:tcPr>
            <w:tcW w:w="1907" w:type="dxa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人工流程、部门割裂</w:t>
            </w:r>
          </w:p>
        </w:tc>
        <w:tc>
          <w:tcPr>
            <w:tcW w:w="1931" w:type="dxa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自主流程、端到端协同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AI接管标准化流程，人类专注复杂决策与情感连接</w:t>
            </w:r>
          </w:p>
        </w:tc>
      </w:tr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" w:name="三业务架构层ai如何重塑银行业务"/>
      <w:r>
        <w:rPr>
          <w:rFonts w:hint="eastAsia" w:ascii="仿宋_GB2312" w:hAnsi="仿宋_GB2312" w:eastAsia="仿宋_GB2312" w:cs="仿宋_GB2312"/>
          <w:color w:val="auto"/>
        </w:rPr>
        <w:t>三、业务架构层：AI如何重塑银行业务？</w:t>
      </w:r>
      <w:bookmarkEnd w:id="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业务架构层将战略愿景转化为具体的业务能力与场景。基于银行“增长-保护-运营”三大业务域，AI技术将重构每个领域的核心能力。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" w:name="三大业务域重构"/>
      <w:r>
        <w:rPr>
          <w:rFonts w:hint="eastAsia" w:ascii="仿宋_GB2312" w:hAnsi="仿宋_GB2312" w:eastAsia="仿宋_GB2312" w:cs="仿宋_GB2312"/>
          <w:color w:val="auto"/>
        </w:rPr>
        <w:t>3.1 三大业务域重构</w:t>
      </w:r>
      <w:bookmarkEnd w:id="7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业务架构从“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横向能力</w:t>
      </w:r>
      <w:r>
        <w:rPr>
          <w:rFonts w:hint="eastAsia" w:ascii="仿宋_GB2312" w:hAnsi="仿宋_GB2312" w:eastAsia="仿宋_GB2312" w:cs="仿宋_GB2312"/>
          <w:color w:val="auto"/>
        </w:rPr>
        <w:t>”与“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纵向流程</w:t>
      </w:r>
      <w:r>
        <w:rPr>
          <w:rFonts w:hint="eastAsia" w:ascii="仿宋_GB2312" w:hAnsi="仿宋_GB2312" w:eastAsia="仿宋_GB2312" w:cs="仿宋_GB2312"/>
          <w:color w:val="auto"/>
        </w:rPr>
        <w:t>”两个维度展开。横向按业务域构建能力矩阵，纵向以客户旅程为主线设计端到端流程，两者互为补充——横向能力支撑纵向流程，纵向流程牵引能力演进。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" w:name="客户经营域-grow-the-bank"/>
      <w:r>
        <w:rPr>
          <w:rFonts w:hint="eastAsia" w:ascii="仿宋_GB2312" w:hAnsi="仿宋_GB2312" w:eastAsia="仿宋_GB2312" w:cs="仿宋_GB2312"/>
          <w:color w:val="auto"/>
        </w:rPr>
        <w:t>3.1.1 客户经营域 (Grow the Bank)</w:t>
      </w:r>
      <w:bookmarkEnd w:id="8"/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default" w:ascii="仿宋_GB2312" w:hAnsi="仿宋_GB2312" w:eastAsia="仿宋_GB2312" w:cs="仿宋_GB2312"/>
          <w:color w:val="auto"/>
          <w:lang w:val="en-US"/>
        </w:rPr>
        <w:t>客户经营</w:t>
      </w:r>
      <w:r>
        <w:rPr>
          <w:rFonts w:hint="eastAsia" w:ascii="仿宋_GB2312" w:hAnsi="仿宋_GB2312" w:eastAsia="仿宋_GB2312" w:cs="仿宋_GB2312"/>
          <w:color w:val="auto"/>
        </w:rPr>
        <w:t>域实现“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智能驱动的增长引擎</w:t>
      </w:r>
      <w:r>
        <w:rPr>
          <w:rFonts w:hint="eastAsia" w:ascii="仿宋_GB2312" w:hAnsi="仿宋_GB2312" w:eastAsia="仿宋_GB2312" w:cs="仿宋_GB2312"/>
          <w:color w:val="auto"/>
        </w:rPr>
        <w:t>”，从被动响应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客户需求转向预测需求，主动服务</w:t>
      </w:r>
      <w:r>
        <w:rPr>
          <w:rFonts w:hint="eastAsia" w:ascii="仿宋_GB2312" w:hAnsi="仿宋_GB2312" w:eastAsia="仿宋_GB2312" w:cs="仿宋_GB2312"/>
          <w:color w:val="auto"/>
        </w:rPr>
        <w:t>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传统能力 vs AI驱动能力：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3926205" cy="1993900"/>
            <wp:effectExtent l="0" t="0" r="17145" b="6350"/>
            <wp:docPr id="1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9" w:name="风险管理域-protect-the-bank"/>
      <w:r>
        <w:rPr>
          <w:rFonts w:hint="eastAsia" w:ascii="仿宋_GB2312" w:hAnsi="仿宋_GB2312" w:eastAsia="仿宋_GB2312" w:cs="仿宋_GB2312"/>
          <w:color w:val="auto"/>
        </w:rPr>
        <w:t>3.1.2 风险管理域 (Protect the Bank)</w:t>
      </w:r>
      <w:bookmarkEnd w:id="9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风险管理域实现“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自主运行的风险体系</w:t>
      </w:r>
      <w:r>
        <w:rPr>
          <w:rFonts w:hint="eastAsia" w:ascii="仿宋_GB2312" w:hAnsi="仿宋_GB2312" w:eastAsia="仿宋_GB2312" w:cs="仿宋_GB2312"/>
          <w:color w:val="auto"/>
        </w:rPr>
        <w:t>”，从规则驱动、被动响应转向模型自我优化、主动预防。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传统能力 vs AI驱动能力：</w:t>
      </w:r>
    </w:p>
    <w:p>
      <w:pPr>
        <w:pStyle w:val="23"/>
        <w:jc w:val="center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235450" cy="2312035"/>
            <wp:effectExtent l="0" t="0" r="12700" b="12065"/>
            <wp:docPr id="1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0" w:name="运营管理域-run-the-bank"/>
      <w:r>
        <w:rPr>
          <w:rFonts w:hint="eastAsia" w:ascii="仿宋_GB2312" w:hAnsi="仿宋_GB2312" w:eastAsia="仿宋_GB2312" w:cs="仿宋_GB2312"/>
          <w:color w:val="auto"/>
        </w:rPr>
        <w:t>3.1.3 运营管理域 (Run the Bank)</w:t>
      </w:r>
      <w:bookmarkEnd w:id="10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运营管理域实现“</w:t>
      </w:r>
      <w:r>
        <w:rPr>
          <w:rFonts w:hint="eastAsia" w:ascii="仿宋_GB2312" w:hAnsi="仿宋_GB2312" w:eastAsia="仿宋_GB2312" w:cs="仿宋_GB2312"/>
          <w:b/>
          <w:bCs/>
          <w:color w:val="auto"/>
        </w:rPr>
        <w:t>人机协同的智能运营</w:t>
      </w:r>
      <w:r>
        <w:rPr>
          <w:rFonts w:hint="eastAsia" w:ascii="仿宋_GB2312" w:hAnsi="仿宋_GB2312" w:eastAsia="仿宋_GB2312" w:cs="仿宋_GB2312"/>
          <w:color w:val="auto"/>
        </w:rPr>
        <w:t>”，从人工执行转向AI自动化处理、人工异常介入。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传统能力 vs AI驱动能力：</w:t>
      </w:r>
    </w:p>
    <w:p>
      <w:pPr>
        <w:pStyle w:val="23"/>
        <w:jc w:val="center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122420" cy="2052955"/>
            <wp:effectExtent l="0" t="0" r="11430" b="4445"/>
            <wp:docPr id="1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1" w:name="端到端流程重构"/>
      <w:r>
        <w:rPr>
          <w:rFonts w:hint="eastAsia" w:ascii="仿宋_GB2312" w:hAnsi="仿宋_GB2312" w:eastAsia="仿宋_GB2312" w:cs="仿宋_GB2312"/>
          <w:color w:val="auto"/>
        </w:rPr>
        <w:t>3.2 端到端流程重构</w:t>
      </w:r>
      <w:bookmarkEnd w:id="11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以客户旅程为主线，AI打通业务域边界，实现从“被动响应”到“主动预测”的转变。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传统线性旅程 vs AI智能旅程：</w:t>
      </w:r>
    </w:p>
    <w:p>
      <w:pPr>
        <w:jc w:val="center"/>
        <w:outlineLvl w:val="9"/>
        <w:rPr>
          <w:rFonts w:hint="eastAsia" w:ascii="仿宋_GB2312" w:hAnsi="仿宋_GB2312" w:eastAsia="仿宋_GB2312" w:cs="仿宋_GB2312"/>
          <w:color w:val="auto"/>
        </w:rPr>
      </w:pPr>
      <w:bookmarkStart w:id="12" w:name="六大高价值应用场景"/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891405" cy="2493010"/>
            <wp:effectExtent l="0" t="0" r="4445" b="2540"/>
            <wp:docPr id="1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3.3 六大高价值应用场景</w:t>
      </w:r>
      <w:bookmarkEnd w:id="12"/>
    </w:p>
    <w:p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六大场景是业务能力与端到端流程的交汇点，是AI价值释放的具体载体。基于业界AI落地实践，归纳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领先银行</w:t>
      </w:r>
      <w:bookmarkStart w:id="90" w:name="_GoBack"/>
      <w:bookmarkEnd w:id="90"/>
      <w:r>
        <w:rPr>
          <w:rFonts w:hint="eastAsia" w:ascii="仿宋_GB2312" w:hAnsi="仿宋_GB2312" w:eastAsia="仿宋_GB2312" w:cs="仿宋_GB2312"/>
          <w:color w:val="auto"/>
        </w:rPr>
        <w:t>六大高价值应用场景，按三大核心要素分组：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3" w:name="银行理财经理ai-copilot助手智能增长"/>
      <w:r>
        <w:rPr>
          <w:rFonts w:hint="eastAsia" w:ascii="仿宋_GB2312" w:hAnsi="仿宋_GB2312" w:eastAsia="仿宋_GB2312" w:cs="仿宋_GB2312"/>
          <w:color w:val="auto"/>
        </w:rPr>
        <w:t>3.3.1 银行理财经理AI Copilot助手（智能驱动的增长引擎）</w:t>
      </w:r>
      <w:bookmarkEnd w:id="1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业务痛点：</w:t>
      </w:r>
      <w:r>
        <w:rPr>
          <w:rFonts w:hint="eastAsia" w:ascii="仿宋_GB2312" w:hAnsi="仿宋_GB2312" w:eastAsia="仿宋_GB2312" w:cs="仿宋_GB2312"/>
          <w:color w:val="auto"/>
        </w:rPr>
        <w:t xml:space="preserve"> 客户经理人均管理客户数受限（约200户），难以深入洞察每位客户需求；营销话术标准化程度低，合规风险高；产品知识更新频繁，客户经理难以全面掌握。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AI重构：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实时客户画像</w:t>
      </w:r>
      <w:r>
        <w:rPr>
          <w:rFonts w:hint="eastAsia" w:ascii="仿宋_GB2312" w:hAnsi="仿宋_GB2312" w:eastAsia="仿宋_GB2312" w:cs="仿宋_GB2312"/>
          <w:color w:val="auto"/>
        </w:rPr>
        <w:t>：整合交易、持仓、行为数据，动态识别需求信号（如大额入账、产品到期）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智能方案生成</w:t>
      </w:r>
      <w:r>
        <w:rPr>
          <w:rFonts w:hint="eastAsia" w:ascii="仿宋_GB2312" w:hAnsi="仿宋_GB2312" w:eastAsia="仿宋_GB2312" w:cs="仿宋_GB2312"/>
          <w:color w:val="auto"/>
        </w:rPr>
        <w:t xml:space="preserve">：基于风险偏好与市场数据，自动生成资产配置建议与推荐理由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合规话术辅助</w:t>
      </w:r>
      <w:r>
        <w:rPr>
          <w:rFonts w:hint="eastAsia" w:ascii="仿宋_GB2312" w:hAnsi="仿宋_GB2312" w:eastAsia="仿宋_GB2312" w:cs="仿宋_GB2312"/>
          <w:color w:val="auto"/>
        </w:rPr>
        <w:t>：产品条款语义解析，自动生成风险提示与合规表述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人机协同：</w:t>
      </w:r>
      <w:r>
        <w:rPr>
          <w:rFonts w:hint="eastAsia" w:ascii="仿宋_GB2312" w:hAnsi="仿宋_GB2312" w:eastAsia="仿宋_GB2312" w:cs="仿宋_GB2312"/>
          <w:color w:val="auto"/>
        </w:rPr>
        <w:t xml:space="preserve"> AI生成建议草案，客户经理审核确认；复杂产品配置由人工主导，AI辅助计算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价值实现：</w:t>
      </w:r>
      <w:r>
        <w:rPr>
          <w:rFonts w:hint="eastAsia" w:ascii="仿宋_GB2312" w:hAnsi="仿宋_GB2312" w:eastAsia="仿宋_GB2312" w:cs="仿宋_GB2312"/>
          <w:color w:val="auto"/>
        </w:rPr>
        <w:t xml:space="preserve"> AUM提升20-30%，客户满意度显著提升，客户经理服务半径扩展至500+户（来源：McKinsey、安永AI银行研究报告）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4" w:name="智能营销智能增长"/>
      <w:r>
        <w:rPr>
          <w:rFonts w:hint="eastAsia" w:ascii="仿宋_GB2312" w:hAnsi="仿宋_GB2312" w:eastAsia="仿宋_GB2312" w:cs="仿宋_GB2312"/>
          <w:color w:val="auto"/>
        </w:rPr>
        <w:t>3.3.2 智能营销（智能驱动的增长引擎）</w:t>
      </w:r>
      <w:bookmarkEnd w:id="14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业务痛点：</w:t>
      </w:r>
      <w:r>
        <w:rPr>
          <w:rFonts w:hint="eastAsia" w:ascii="仿宋_GB2312" w:hAnsi="仿宋_GB2312" w:eastAsia="仿宋_GB2312" w:cs="仿宋_GB2312"/>
          <w:color w:val="auto"/>
        </w:rPr>
        <w:t xml:space="preserve"> 传统营销依赖批量推送，转化率低（约2-5%）；客户需求识别滞后，错失最佳触达时机；营销策略调整周期长，难以实时优化。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AI重构：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需求预测引擎</w:t>
      </w:r>
      <w:r>
        <w:rPr>
          <w:rFonts w:hint="eastAsia" w:ascii="仿宋_GB2312" w:hAnsi="仿宋_GB2312" w:eastAsia="仿宋_GB2312" w:cs="仿宋_GB2312"/>
          <w:color w:val="auto"/>
        </w:rPr>
        <w:t xml:space="preserve">：分析客户行为轨迹，预测购买意向与最佳触达时机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超个性化推荐</w:t>
      </w:r>
      <w:r>
        <w:rPr>
          <w:rFonts w:hint="eastAsia" w:ascii="仿宋_GB2312" w:hAnsi="仿宋_GB2312" w:eastAsia="仿宋_GB2312" w:cs="仿宋_GB2312"/>
          <w:color w:val="auto"/>
        </w:rPr>
        <w:t xml:space="preserve">：实时生成千人千面的产品组合与营销内容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策略闭环优化</w:t>
      </w:r>
      <w:r>
        <w:rPr>
          <w:rFonts w:hint="eastAsia" w:ascii="仿宋_GB2312" w:hAnsi="仿宋_GB2312" w:eastAsia="仿宋_GB2312" w:cs="仿宋_GB2312"/>
          <w:color w:val="auto"/>
        </w:rPr>
        <w:t>：A/B测试自动运行，策略参数实时调整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人机协同：</w:t>
      </w:r>
      <w:r>
        <w:rPr>
          <w:rFonts w:hint="eastAsia" w:ascii="仿宋_GB2312" w:hAnsi="仿宋_GB2312" w:eastAsia="仿宋_GB2312" w:cs="仿宋_GB2312"/>
          <w:color w:val="auto"/>
        </w:rPr>
        <w:t xml:space="preserve"> AI执行触达与优化，营销人员定义策略边界与创意方向；异常转化模式人工介入分析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价值实现：</w:t>
      </w:r>
      <w:r>
        <w:rPr>
          <w:rFonts w:hint="eastAsia" w:ascii="仿宋_GB2312" w:hAnsi="仿宋_GB2312" w:eastAsia="仿宋_GB2312" w:cs="仿宋_GB2312"/>
          <w:color w:val="auto"/>
        </w:rPr>
        <w:t xml:space="preserve"> 转化率提升40%+，营销ROI显著改善，触达时效从天级缩短至分钟级（来源：行业AI营销应用案例）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5" w:name="智能信贷审批自主风控"/>
      <w:r>
        <w:rPr>
          <w:rFonts w:hint="eastAsia" w:ascii="仿宋_GB2312" w:hAnsi="仿宋_GB2312" w:eastAsia="仿宋_GB2312" w:cs="仿宋_GB2312"/>
          <w:color w:val="auto"/>
        </w:rPr>
        <w:t>3.3.3 智能信贷审批（自主运行的风险体系）</w:t>
      </w:r>
      <w:bookmarkEnd w:id="15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业务痛点：</w:t>
      </w:r>
      <w:r>
        <w:rPr>
          <w:rFonts w:hint="eastAsia" w:ascii="仿宋_GB2312" w:hAnsi="仿宋_GB2312" w:eastAsia="仿宋_GB2312" w:cs="仿宋_GB2312"/>
          <w:color w:val="auto"/>
        </w:rPr>
        <w:t xml:space="preserve"> 传统审批依赖人工审核，周期长（3-5个工作日）；信用评估维度有限，难以覆盖无征信记录人群；审批标准执行不一致，存在道德风险。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AI重构：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多源数据整合</w:t>
      </w:r>
      <w:r>
        <w:rPr>
          <w:rFonts w:hint="eastAsia" w:ascii="仿宋_GB2312" w:hAnsi="仿宋_GB2312" w:eastAsia="仿宋_GB2312" w:cs="仿宋_GB2312"/>
          <w:color w:val="auto"/>
        </w:rPr>
        <w:t xml:space="preserve">：接入征信、税务、社保、电商等多维数据，构建全景信用画像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智能决策引擎</w:t>
      </w:r>
      <w:r>
        <w:rPr>
          <w:rFonts w:hint="eastAsia" w:ascii="仿宋_GB2312" w:hAnsi="仿宋_GB2312" w:eastAsia="仿宋_GB2312" w:cs="仿宋_GB2312"/>
          <w:color w:val="auto"/>
        </w:rPr>
        <w:t xml:space="preserve">：机器学习模型实时评估违约概率，生成审批建议与额度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可解释风控</w:t>
      </w:r>
      <w:r>
        <w:rPr>
          <w:rFonts w:hint="eastAsia" w:ascii="仿宋_GB2312" w:hAnsi="仿宋_GB2312" w:eastAsia="仿宋_GB2312" w:cs="仿宋_GB2312"/>
          <w:color w:val="auto"/>
        </w:rPr>
        <w:t>：输出风险评估依据，满足监管合规要求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人机协同：</w:t>
      </w:r>
      <w:r>
        <w:rPr>
          <w:rFonts w:hint="eastAsia" w:ascii="仿宋_GB2312" w:hAnsi="仿宋_GB2312" w:eastAsia="仿宋_GB2312" w:cs="仿宋_GB2312"/>
          <w:color w:val="auto"/>
        </w:rPr>
        <w:t xml:space="preserve"> AI初审自动通过低风险客户（评分≥700），中高风险客户人工终审；大额贷款必须人工确认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价值实现：</w:t>
      </w:r>
      <w:r>
        <w:rPr>
          <w:rFonts w:hint="eastAsia" w:ascii="仿宋_GB2312" w:hAnsi="仿宋_GB2312" w:eastAsia="仿宋_GB2312" w:cs="仿宋_GB2312"/>
          <w:color w:val="auto"/>
        </w:rPr>
        <w:t xml:space="preserve"> 审批时间缩短80%，风险识别准确率提升35%，覆盖客群扩展30%（来源：McKinsey银行业AI研究报告）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6" w:name="智能反欺诈自主风控"/>
      <w:r>
        <w:rPr>
          <w:rFonts w:hint="eastAsia" w:ascii="仿宋_GB2312" w:hAnsi="仿宋_GB2312" w:eastAsia="仿宋_GB2312" w:cs="仿宋_GB2312"/>
          <w:color w:val="auto"/>
        </w:rPr>
        <w:t>3.3.4 智能反欺诈（自主运行的风险体系）</w:t>
      </w:r>
      <w:bookmarkEnd w:id="1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业务痛点：</w:t>
      </w:r>
      <w:r>
        <w:rPr>
          <w:rFonts w:hint="eastAsia" w:ascii="仿宋_GB2312" w:hAnsi="仿宋_GB2312" w:eastAsia="仿宋_GB2312" w:cs="仿宋_GB2312"/>
          <w:color w:val="auto"/>
        </w:rPr>
        <w:t xml:space="preserve"> 规则引擎误报率高（约15%），影响正常交易体验；新型欺诈手段层出不穷，规则更新滞后；事后追损成本高，难以挽回损失。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AI重构：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实时交易监测</w:t>
      </w:r>
      <w:r>
        <w:rPr>
          <w:rFonts w:hint="eastAsia" w:ascii="仿宋_GB2312" w:hAnsi="仿宋_GB2312" w:eastAsia="仿宋_GB2312" w:cs="仿宋_GB2312"/>
          <w:color w:val="auto"/>
        </w:rPr>
        <w:t xml:space="preserve">：毫秒级分析交易行为，识别异常模式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图计算关联分析</w:t>
      </w:r>
      <w:r>
        <w:rPr>
          <w:rFonts w:hint="eastAsia" w:ascii="仿宋_GB2312" w:hAnsi="仿宋_GB2312" w:eastAsia="仿宋_GB2312" w:cs="仿宋_GB2312"/>
          <w:color w:val="auto"/>
        </w:rPr>
        <w:t xml:space="preserve">：构建交易关联网络，识别团伙欺诈与账户盗用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自适应学习</w:t>
      </w:r>
      <w:r>
        <w:rPr>
          <w:rFonts w:hint="eastAsia" w:ascii="仿宋_GB2312" w:hAnsi="仿宋_GB2312" w:eastAsia="仿宋_GB2312" w:cs="仿宋_GB2312"/>
          <w:color w:val="auto"/>
        </w:rPr>
        <w:t>：从历史欺诈案例中持续学习，自动适应新型攻击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人机协同：</w:t>
      </w:r>
      <w:r>
        <w:rPr>
          <w:rFonts w:hint="eastAsia" w:ascii="仿宋_GB2312" w:hAnsi="仿宋_GB2312" w:eastAsia="仿宋_GB2312" w:cs="仿宋_GB2312"/>
          <w:color w:val="auto"/>
        </w:rPr>
        <w:t xml:space="preserve"> AI自动拦截高风险交易，人工复核可疑交易；欺诈调查由人工主导，AI提供证据链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价值实现：</w:t>
      </w:r>
      <w:r>
        <w:rPr>
          <w:rFonts w:hint="eastAsia" w:ascii="仿宋_GB2312" w:hAnsi="仿宋_GB2312" w:eastAsia="仿宋_GB2312" w:cs="仿宋_GB2312"/>
          <w:color w:val="auto"/>
        </w:rPr>
        <w:t xml:space="preserve"> 欺诈识别准确率从85%提升至99.2%，误报率降至2%以下，年挽回损失超2亿元（来源：大型商业银行反欺诈系统案例）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7" w:name="智能客服人机协同"/>
      <w:r>
        <w:rPr>
          <w:rFonts w:hint="eastAsia" w:ascii="仿宋_GB2312" w:hAnsi="仿宋_GB2312" w:eastAsia="仿宋_GB2312" w:cs="仿宋_GB2312"/>
          <w:color w:val="auto"/>
        </w:rPr>
        <w:t>3.3.5 智能客服（人机协同的智能运营）</w:t>
      </w:r>
      <w:bookmarkEnd w:id="17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业务痛点：</w:t>
      </w:r>
      <w:r>
        <w:rPr>
          <w:rFonts w:hint="eastAsia" w:ascii="仿宋_GB2312" w:hAnsi="仿宋_GB2312" w:eastAsia="仿宋_GB2312" w:cs="仿宋_GB2312"/>
          <w:color w:val="auto"/>
        </w:rPr>
        <w:t xml:space="preserve"> 传统IVR菜单层级深，客户体验差；人工客服成本高，7×24小时服务难以保障；知识库更新滞后，回答一致性差。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AI重构：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自然语言交互</w:t>
      </w:r>
      <w:r>
        <w:rPr>
          <w:rFonts w:hint="eastAsia" w:ascii="仿宋_GB2312" w:hAnsi="仿宋_GB2312" w:eastAsia="仿宋_GB2312" w:cs="仿宋_GB2312"/>
          <w:color w:val="auto"/>
        </w:rPr>
        <w:t xml:space="preserve">：客户意图自动识别，从“菜单导航”转向“对话即服务”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多模态理解</w:t>
      </w:r>
      <w:r>
        <w:rPr>
          <w:rFonts w:hint="eastAsia" w:ascii="仿宋_GB2312" w:hAnsi="仿宋_GB2312" w:eastAsia="仿宋_GB2312" w:cs="仿宋_GB2312"/>
          <w:color w:val="auto"/>
        </w:rPr>
        <w:t xml:space="preserve">：语音、文本、图像多渠道统一处理，方言自适应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知识实时更新</w:t>
      </w:r>
      <w:r>
        <w:rPr>
          <w:rFonts w:hint="eastAsia" w:ascii="仿宋_GB2312" w:hAnsi="仿宋_GB2312" w:eastAsia="仿宋_GB2312" w:cs="仿宋_GB2312"/>
          <w:color w:val="auto"/>
        </w:rPr>
        <w:t>：产品信息、政策变更自动同步至知识库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人机协同：</w:t>
      </w:r>
      <w:r>
        <w:rPr>
          <w:rFonts w:hint="eastAsia" w:ascii="仿宋_GB2312" w:hAnsi="仿宋_GB2312" w:eastAsia="仿宋_GB2312" w:cs="仿宋_GB2312"/>
          <w:color w:val="auto"/>
        </w:rPr>
        <w:t xml:space="preserve"> AI处理常规咨询（占比约80%），人工介入复杂问题与情感投诉；客户可随时转人工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价值实现：</w:t>
      </w:r>
      <w:r>
        <w:rPr>
          <w:rFonts w:hint="eastAsia" w:ascii="仿宋_GB2312" w:hAnsi="仿宋_GB2312" w:eastAsia="仿宋_GB2312" w:cs="仿宋_GB2312"/>
          <w:color w:val="auto"/>
        </w:rPr>
        <w:t xml:space="preserve"> 客服自助解决率提升50%，客户满意度提升至98%，人工客服成本降低40%（来源：NVIDIA AI Customer Service、行业案例研究）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8" w:name="智能运营人机协同"/>
      <w:r>
        <w:rPr>
          <w:rFonts w:hint="eastAsia" w:ascii="仿宋_GB2312" w:hAnsi="仿宋_GB2312" w:eastAsia="仿宋_GB2312" w:cs="仿宋_GB2312"/>
          <w:color w:val="auto"/>
        </w:rPr>
        <w:t>3.3.6 智能运营（人机协同的智能运营）</w:t>
      </w:r>
      <w:bookmarkEnd w:id="18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业务痛点：</w:t>
      </w:r>
      <w:r>
        <w:rPr>
          <w:rFonts w:hint="eastAsia" w:ascii="仿宋_GB2312" w:hAnsi="仿宋_GB2312" w:eastAsia="仿宋_GB2312" w:cs="仿宋_GB2312"/>
          <w:color w:val="auto"/>
        </w:rPr>
        <w:t xml:space="preserve"> 后台运营依赖大量人工处理文档、核对数据、执行流程；跨系统流程割裂，效率低；运维被动响应，故障影响业务。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AI重构：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文档智能处理</w:t>
      </w:r>
      <w:r>
        <w:rPr>
          <w:rFonts w:hint="eastAsia" w:ascii="仿宋_GB2312" w:hAnsi="仿宋_GB2312" w:eastAsia="仿宋_GB2312" w:cs="仿宋_GB2312"/>
          <w:color w:val="auto"/>
        </w:rPr>
        <w:t xml:space="preserve">：非结构化文档自动理解、提取、分类，替代人工录入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流程自动化编排</w:t>
      </w:r>
      <w:r>
        <w:rPr>
          <w:rFonts w:hint="eastAsia" w:ascii="仿宋_GB2312" w:hAnsi="仿宋_GB2312" w:eastAsia="仿宋_GB2312" w:cs="仿宋_GB2312"/>
          <w:color w:val="auto"/>
        </w:rPr>
        <w:t xml:space="preserve">：跨系统流程自动执行，端到端无人工干预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预测性运维</w:t>
      </w:r>
      <w:r>
        <w:rPr>
          <w:rFonts w:hint="eastAsia" w:ascii="仿宋_GB2312" w:hAnsi="仿宋_GB2312" w:eastAsia="仿宋_GB2312" w:cs="仿宋_GB2312"/>
          <w:color w:val="auto"/>
        </w:rPr>
        <w:t>：系统异常提前预警，主动修复潜在故障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人机协同：</w:t>
      </w:r>
      <w:r>
        <w:rPr>
          <w:rFonts w:hint="eastAsia" w:ascii="仿宋_GB2312" w:hAnsi="仿宋_GB2312" w:eastAsia="仿宋_GB2312" w:cs="仿宋_GB2312"/>
          <w:color w:val="auto"/>
        </w:rPr>
        <w:t xml:space="preserve"> AI自动执行标准化流程，人工仅介入异常处理与关键审批；运维策略由人工定义，AI执行优化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价值实现：</w:t>
      </w:r>
      <w:r>
        <w:rPr>
          <w:rFonts w:hint="eastAsia" w:ascii="仿宋_GB2312" w:hAnsi="仿宋_GB2312" w:eastAsia="仿宋_GB2312" w:cs="仿宋_GB2312"/>
          <w:color w:val="auto"/>
        </w:rPr>
        <w:t xml:space="preserve"> 运维工时减少25%+，成本降低500万元+，流程执行时效从小时级缩短至分钟级（来源：McKinsey银行业运营效率研究）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19" w:name="四应用架构层智能体框架设计"/>
      <w:r>
        <w:rPr>
          <w:rFonts w:hint="eastAsia" w:ascii="仿宋_GB2312" w:hAnsi="仿宋_GB2312" w:eastAsia="仿宋_GB2312" w:cs="仿宋_GB2312"/>
          <w:color w:val="auto"/>
        </w:rPr>
        <w:t>四、应用架构层：智能体框架设计</w:t>
      </w:r>
      <w:bookmarkEnd w:id="19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应用架构层定义智能体的分层架构与协作模式，将战略愿景层的三大核心要素——智能驱动的增长引擎、自主运行的风险体系、人机协同的组织范式——转化为可执行的技术方案。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0" w:name="智能体分层架构"/>
      <w:r>
        <w:rPr>
          <w:rFonts w:hint="eastAsia" w:ascii="仿宋_GB2312" w:hAnsi="仿宋_GB2312" w:eastAsia="仿宋_GB2312" w:cs="仿宋_GB2312"/>
          <w:color w:val="auto"/>
        </w:rPr>
        <w:t>4.1 智能体分层架构</w:t>
      </w:r>
      <w:bookmarkEnd w:id="20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为支撑三大核心要素的实现，智能体架构采用三层设计：基础智能体层提供通用能力，领域智能体层承载业务逻辑，编排层协调多智能体协作。</w:t>
      </w:r>
    </w:p>
    <w:p>
      <w:pPr>
        <w:jc w:val="center"/>
        <w:outlineLvl w:val="9"/>
        <w:rPr>
          <w:rFonts w:hint="eastAsia" w:ascii="仿宋_GB2312" w:hAnsi="仿宋_GB2312" w:eastAsia="仿宋_GB2312" w:cs="仿宋_GB2312"/>
          <w:color w:val="auto"/>
        </w:rPr>
      </w:pPr>
      <w:bookmarkStart w:id="21" w:name="智能体协作模式"/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273550" cy="3176270"/>
            <wp:effectExtent l="0" t="0" r="12700" b="5080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4.2 智能体协作模式</w:t>
      </w:r>
      <w:bookmarkEnd w:id="21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为实现智能增长引擎的全链路自动化与自主风险体系的持续优化，多智能体协同通过编排层协调多个领域智能体，完成复杂业务流程。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2" w:name="协作模式核心机制"/>
      <w:r>
        <w:rPr>
          <w:rFonts w:hint="eastAsia" w:ascii="仿宋_GB2312" w:hAnsi="仿宋_GB2312" w:eastAsia="仿宋_GB2312" w:cs="仿宋_GB2312"/>
          <w:color w:val="auto"/>
        </w:rPr>
        <w:t>4.2.1 协作模式核心机制</w:t>
      </w:r>
      <w:bookmarkEnd w:id="22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任务分解</w:t>
      </w:r>
      <w:r>
        <w:rPr>
          <w:rFonts w:hint="eastAsia" w:ascii="仿宋_GB2312" w:hAnsi="仿宋_GB2312" w:eastAsia="仿宋_GB2312" w:cs="仿宋_GB2312"/>
          <w:color w:val="auto"/>
        </w:rPr>
        <w:t>：编排层将复杂业务流程拆解为多个子任务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智能体调度</w:t>
      </w:r>
      <w:r>
        <w:rPr>
          <w:rFonts w:hint="eastAsia" w:ascii="仿宋_GB2312" w:hAnsi="仿宋_GB2312" w:eastAsia="仿宋_GB2312" w:cs="仿宋_GB2312"/>
          <w:color w:val="auto"/>
        </w:rPr>
        <w:t>：根据任务类型调用对应的领域智能体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并行执行</w:t>
      </w:r>
      <w:r>
        <w:rPr>
          <w:rFonts w:hint="eastAsia" w:ascii="仿宋_GB2312" w:hAnsi="仿宋_GB2312" w:eastAsia="仿宋_GB2312" w:cs="仿宋_GB2312"/>
          <w:color w:val="auto"/>
        </w:rPr>
        <w:t>：独立子任务由多个智能体并行处理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结果整合</w:t>
      </w:r>
      <w:r>
        <w:rPr>
          <w:rFonts w:hint="eastAsia" w:ascii="仿宋_GB2312" w:hAnsi="仿宋_GB2312" w:eastAsia="仿宋_GB2312" w:cs="仿宋_GB2312"/>
          <w:color w:val="auto"/>
        </w:rPr>
        <w:t>：编排层聚合各智能体输出，形成最终解决方案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异常处理</w:t>
      </w:r>
      <w:r>
        <w:rPr>
          <w:rFonts w:hint="eastAsia" w:ascii="仿宋_GB2312" w:hAnsi="仿宋_GB2312" w:eastAsia="仿宋_GB2312" w:cs="仿宋_GB2312"/>
          <w:color w:val="auto"/>
        </w:rPr>
        <w:t>：无法自动处理的异常触发人工介入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3" w:name="实践案例银行理财经理ai-copilot助手"/>
      <w:r>
        <w:rPr>
          <w:rFonts w:hint="eastAsia" w:ascii="仿宋_GB2312" w:hAnsi="仿宋_GB2312" w:eastAsia="仿宋_GB2312" w:cs="仿宋_GB2312"/>
          <w:color w:val="auto"/>
        </w:rPr>
        <w:t>4.2.2 实践案例：银行理财经理AI Copilot助手</w:t>
      </w:r>
      <w:bookmarkEnd w:id="2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触发场景：</w:t>
      </w:r>
      <w:r>
        <w:rPr>
          <w:rFonts w:hint="eastAsia" w:ascii="仿宋_GB2312" w:hAnsi="仿宋_GB2312" w:eastAsia="仿宋_GB2312" w:cs="仿宋_GB2312"/>
          <w:color w:val="auto"/>
        </w:rPr>
        <w:t xml:space="preserve"> 客户经理打开客户档案，或系统检测到客户资产变动（大额入账、产品到期）时自动触发。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智能体协作流程：</w:t>
      </w:r>
    </w:p>
    <w:p>
      <w:pPr>
        <w:pStyle w:val="36"/>
        <w:jc w:val="center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537710" cy="2192020"/>
            <wp:effectExtent l="0" t="0" r="15240" b="1778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各智能体职责：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分析智能体</w:t>
      </w:r>
      <w:r>
        <w:rPr>
          <w:rFonts w:hint="eastAsia" w:ascii="仿宋_GB2312" w:hAnsi="仿宋_GB2312" w:eastAsia="仿宋_GB2312" w:cs="仿宋_GB2312"/>
          <w:color w:val="auto"/>
        </w:rPr>
        <w:t xml:space="preserve">：建模客户交易数据，挖掘隐性需求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策略智能体</w:t>
      </w:r>
      <w:r>
        <w:rPr>
          <w:rFonts w:hint="eastAsia" w:ascii="仿宋_GB2312" w:hAnsi="仿宋_GB2312" w:eastAsia="仿宋_GB2312" w:cs="仿宋_GB2312"/>
          <w:color w:val="auto"/>
        </w:rPr>
        <w:t xml:space="preserve">：动态生成资产配置矩阵，平衡收益与风险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合规智能体</w:t>
      </w:r>
      <w:r>
        <w:rPr>
          <w:rFonts w:hint="eastAsia" w:ascii="仿宋_GB2312" w:hAnsi="仿宋_GB2312" w:eastAsia="仿宋_GB2312" w:cs="仿宋_GB2312"/>
          <w:color w:val="auto"/>
        </w:rPr>
        <w:t>：解构产品条款语义，自动化标注风险点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4" w:name="三大核心能力实现"/>
      <w:r>
        <w:rPr>
          <w:rFonts w:hint="eastAsia" w:ascii="仿宋_GB2312" w:hAnsi="仿宋_GB2312" w:eastAsia="仿宋_GB2312" w:cs="仿宋_GB2312"/>
          <w:color w:val="auto"/>
        </w:rPr>
        <w:t>4.3 三大核心能力实现</w:t>
      </w:r>
      <w:bookmarkEnd w:id="24"/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5" w:name="智能驱动的增长引擎"/>
      <w:r>
        <w:rPr>
          <w:rFonts w:hint="eastAsia" w:ascii="仿宋_GB2312" w:hAnsi="仿宋_GB2312" w:eastAsia="仿宋_GB2312" w:cs="仿宋_GB2312"/>
          <w:color w:val="auto"/>
        </w:rPr>
        <w:t>4.3.1 智能驱动的增长引擎</w:t>
      </w:r>
      <w:bookmarkEnd w:id="25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增长引擎通过客户交互智能体与编排层协同，实现从需求预测到问题预防的全链路智能化。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实现链路：</w:t>
      </w:r>
    </w:p>
    <w:p>
      <w:pPr>
        <w:pStyle w:val="23"/>
        <w:jc w:val="center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905375" cy="2677795"/>
            <wp:effectExtent l="0" t="0" r="9525" b="8255"/>
            <wp:docPr id="2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各环节智能体职责：</w:t>
      </w:r>
    </w:p>
    <w:tbl>
      <w:tblPr>
        <w:tblStyle w:val="2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2021"/>
        <w:gridCol w:w="2021"/>
        <w:gridCol w:w="3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环节</w:t>
            </w:r>
          </w:p>
        </w:tc>
        <w:tc>
          <w:tcPr>
            <w:tcW w:w="114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主导智能体</w:t>
            </w:r>
          </w:p>
        </w:tc>
        <w:tc>
          <w:tcPr>
            <w:tcW w:w="114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协同智能体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需求预测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客户画像智能体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数据理解智能体</w:t>
            </w:r>
          </w:p>
        </w:tc>
        <w:tc>
          <w:tcPr>
            <w:tcW w:w="2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客户需求标签、购买意向评分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方案推荐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推荐引擎智能体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知识检索智能体</w:t>
            </w:r>
          </w:p>
        </w:tc>
        <w:tc>
          <w:tcPr>
            <w:tcW w:w="2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个性化产品组合、推荐理由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自动办理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运营执行智能体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推理决策智能体</w:t>
            </w:r>
          </w:p>
        </w:tc>
        <w:tc>
          <w:tcPr>
            <w:tcW w:w="2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自动填表、无感审批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智能服务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对话助手智能体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知识检索智能体</w:t>
            </w:r>
          </w:p>
        </w:tc>
        <w:tc>
          <w:tcPr>
            <w:tcW w:w="2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7×24小时智能应答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问题预防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预警智能体</w:t>
            </w:r>
          </w:p>
        </w:tc>
        <w:tc>
          <w:tcPr>
            <w:tcW w:w="11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风险决策智能体</w:t>
            </w:r>
          </w:p>
        </w:tc>
        <w:tc>
          <w:tcPr>
            <w:tcW w:w="2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服务异常预警、主动关怀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6" w:name="自主运行的风险体系"/>
      <w:r>
        <w:rPr>
          <w:rFonts w:hint="eastAsia" w:ascii="仿宋_GB2312" w:hAnsi="仿宋_GB2312" w:eastAsia="仿宋_GB2312" w:cs="仿宋_GB2312"/>
          <w:color w:val="auto"/>
        </w:rPr>
        <w:t>4.3.2 自主运行的风险体系</w:t>
      </w:r>
      <w:bookmarkEnd w:id="2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风险体系通过风险决策智能体实现持续学习与自我优化，从事后响应转变为事前预防。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风险智能体能力矩阵：</w:t>
      </w:r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3104"/>
        <w:gridCol w:w="2426"/>
        <w:gridCol w:w="15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智能体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核心能力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学习机制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优化周期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欺诈检测智能体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实时交易监控、异常模式识别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从历史欺诈案例中学习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每日增量学习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信用评估智能体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动态信用评分、违约预测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从还款行为中学习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每周模型更新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合规审查智能体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监管规则匹配、风险提示生成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从监管更新中学习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规则实时同步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市场风险智能体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波动预测、压力测试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从市场数据中学习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实时风险计算</w:t>
            </w: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自我优化机制：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数据反馈闭环</w:t>
      </w:r>
      <w:r>
        <w:rPr>
          <w:rFonts w:hint="eastAsia" w:ascii="仿宋_GB2312" w:hAnsi="仿宋_GB2312" w:eastAsia="仿宋_GB2312" w:cs="仿宋_GB2312"/>
          <w:color w:val="auto"/>
        </w:rPr>
        <w:t>：每次人工干预结果自动回流至训练数据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模型漂移监测</w:t>
      </w:r>
      <w:r>
        <w:rPr>
          <w:rFonts w:hint="eastAsia" w:ascii="仿宋_GB2312" w:hAnsi="仿宋_GB2312" w:eastAsia="仿宋_GB2312" w:cs="仿宋_GB2312"/>
          <w:color w:val="auto"/>
        </w:rPr>
        <w:t>：持续监控模型准确率，触发阈值自动重训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A/B测试框架</w:t>
      </w:r>
      <w:r>
        <w:rPr>
          <w:rFonts w:hint="eastAsia" w:ascii="仿宋_GB2312" w:hAnsi="仿宋_GB2312" w:eastAsia="仿宋_GB2312" w:cs="仿宋_GB2312"/>
          <w:color w:val="auto"/>
        </w:rPr>
        <w:t>：新模型与旧模型并行运行，效果验证后切换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7" w:name="人机协同的组织范式"/>
      <w:r>
        <w:rPr>
          <w:rFonts w:hint="eastAsia" w:ascii="仿宋_GB2312" w:hAnsi="仿宋_GB2312" w:eastAsia="仿宋_GB2312" w:cs="仿宋_GB2312"/>
          <w:color w:val="auto"/>
        </w:rPr>
        <w:t>4.3.3 人机协同的组织范式</w:t>
      </w:r>
      <w:bookmarkEnd w:id="27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人机协同通过决策边界划分与人工介入机制，实现AI自主执行与人类监督治理的平衡。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决策边界划分：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2407"/>
        <w:gridCol w:w="2444"/>
        <w:gridCol w:w="2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决策类型</w:t>
            </w:r>
          </w:p>
        </w:tc>
        <w:tc>
          <w:tcPr>
            <w:tcW w:w="1359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AI自主执行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人工审批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人工介入条件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交易授权</w:t>
            </w:r>
          </w:p>
        </w:tc>
        <w:tc>
          <w:tcPr>
            <w:tcW w:w="135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低风险交易（&lt;5万）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高风险交易（≥5万）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金额超限、异常行为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信用审批</w:t>
            </w:r>
          </w:p>
        </w:tc>
        <w:tc>
          <w:tcPr>
            <w:tcW w:w="135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白名单客户、小额贷款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新客户、大额贷款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信用记录不足、评分临界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投资建议</w:t>
            </w:r>
          </w:p>
        </w:tc>
        <w:tc>
          <w:tcPr>
            <w:tcW w:w="135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标准产品推荐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复杂产品配置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高风险产品、客户异议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欺诈处理</w:t>
            </w:r>
          </w:p>
        </w:tc>
        <w:tc>
          <w:tcPr>
            <w:tcW w:w="135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交易拦截、账户冻结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欺诈调查、客户沟通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需要外部取证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人工介入触发机制：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5048250" cy="3051810"/>
            <wp:effectExtent l="0" t="0" r="0" b="15240"/>
            <wp:docPr id="2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人类监督治理机制：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实时监控仪表盘</w:t>
      </w:r>
      <w:r>
        <w:rPr>
          <w:rFonts w:hint="eastAsia" w:ascii="仿宋_GB2312" w:hAnsi="仿宋_GB2312" w:eastAsia="仿宋_GB2312" w:cs="仿宋_GB2312"/>
          <w:color w:val="auto"/>
        </w:rPr>
        <w:t>：展示AI决策的关键指标与异常预警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抽样审计机制</w:t>
      </w:r>
      <w:r>
        <w:rPr>
          <w:rFonts w:hint="eastAsia" w:ascii="仿宋_GB2312" w:hAnsi="仿宋_GB2312" w:eastAsia="仿宋_GB2312" w:cs="仿宋_GB2312"/>
          <w:color w:val="auto"/>
        </w:rPr>
        <w:t>：定期抽取AI决策样本进行人工复核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熔断机制</w:t>
      </w:r>
      <w:r>
        <w:rPr>
          <w:rFonts w:hint="eastAsia" w:ascii="仿宋_GB2312" w:hAnsi="仿宋_GB2312" w:eastAsia="仿宋_GB2312" w:cs="仿宋_GB2312"/>
          <w:color w:val="auto"/>
        </w:rPr>
        <w:t>：当AI准确率下降或异常率上升时，自动切换至人工模式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8" w:name="典型场景个人贷款端到端实现"/>
      <w:r>
        <w:rPr>
          <w:rFonts w:hint="eastAsia" w:ascii="仿宋_GB2312" w:hAnsi="仿宋_GB2312" w:eastAsia="仿宋_GB2312" w:cs="仿宋_GB2312"/>
          <w:color w:val="auto"/>
        </w:rPr>
        <w:t>4.4 典型场景：个人贷款端到端实现</w:t>
      </w:r>
      <w:bookmarkEnd w:id="28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以个人贷款申请为例，展示智能体协作与人机协同的完整实现。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29" w:name="流程概览"/>
      <w:r>
        <w:rPr>
          <w:rFonts w:hint="eastAsia" w:ascii="仿宋_GB2312" w:hAnsi="仿宋_GB2312" w:eastAsia="仿宋_GB2312" w:cs="仿宋_GB2312"/>
          <w:color w:val="auto"/>
        </w:rPr>
        <w:t>4.4.1 流程概览</w:t>
      </w:r>
      <w:bookmarkEnd w:id="29"/>
    </w:p>
    <w:p>
      <w:pPr>
        <w:jc w:val="center"/>
        <w:outlineLvl w:val="9"/>
        <w:rPr>
          <w:rFonts w:hint="eastAsia" w:ascii="仿宋_GB2312" w:hAnsi="仿宋_GB2312" w:eastAsia="仿宋_GB2312" w:cs="仿宋_GB2312"/>
          <w:color w:val="auto"/>
        </w:rPr>
      </w:pPr>
      <w:bookmarkStart w:id="30" w:name="关键设计要点"/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3988435" cy="1576705"/>
            <wp:effectExtent l="0" t="0" r="12065" b="4445"/>
            <wp:docPr id="2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4.4.2 关键设计要点</w:t>
      </w:r>
      <w:bookmarkEnd w:id="30"/>
    </w:p>
    <w:p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意图识别</w:t>
      </w:r>
      <w:r>
        <w:rPr>
          <w:rFonts w:hint="eastAsia" w:ascii="仿宋_GB2312" w:hAnsi="仿宋_GB2312" w:eastAsia="仿宋_GB2312" w:cs="仿宋_GB2312"/>
          <w:color w:val="auto"/>
        </w:rPr>
        <w:t>：自然语言交互，客户可随时转人工</w:t>
      </w:r>
    </w:p>
    <w:p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自动初审</w:t>
      </w:r>
      <w:r>
        <w:rPr>
          <w:rFonts w:hint="eastAsia" w:ascii="仿宋_GB2312" w:hAnsi="仿宋_GB2312" w:eastAsia="仿宋_GB2312" w:cs="仿宋_GB2312"/>
          <w:color w:val="auto"/>
        </w:rPr>
        <w:t>：80%自动通过，识别失败材料人工标注</w:t>
      </w:r>
    </w:p>
    <w:p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风险分级</w:t>
      </w:r>
      <w:r>
        <w:rPr>
          <w:rFonts w:hint="eastAsia" w:ascii="仿宋_GB2312" w:hAnsi="仿宋_GB2312" w:eastAsia="仿宋_GB2312" w:cs="仿宋_GB2312"/>
          <w:color w:val="auto"/>
        </w:rPr>
        <w:t>：低风险自动审批，中高风险人工确认</w:t>
      </w:r>
    </w:p>
    <w:p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放款执行</w:t>
      </w:r>
      <w:r>
        <w:rPr>
          <w:rFonts w:hint="eastAsia" w:ascii="仿宋_GB2312" w:hAnsi="仿宋_GB2312" w:eastAsia="仿宋_GB2312" w:cs="仿宋_GB2312"/>
          <w:color w:val="auto"/>
        </w:rPr>
        <w:t>：合同生成、资金划转自动化，异常人工介入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1" w:name="价值实现"/>
      <w:r>
        <w:rPr>
          <w:rFonts w:hint="eastAsia" w:ascii="仿宋_GB2312" w:hAnsi="仿宋_GB2312" w:eastAsia="仿宋_GB2312" w:cs="仿宋_GB2312"/>
          <w:color w:val="auto"/>
        </w:rPr>
        <w:t>4.4.3 价值实现</w:t>
      </w:r>
      <w:bookmarkEnd w:id="31"/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1784"/>
        <w:gridCol w:w="2653"/>
        <w:gridCol w:w="22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指标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传统模式</w:t>
            </w:r>
          </w:p>
        </w:tc>
        <w:tc>
          <w:tcPr>
            <w:tcW w:w="149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AI模式</w:t>
            </w:r>
          </w:p>
        </w:tc>
        <w:tc>
          <w:tcPr>
            <w:tcW w:w="128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提升幅度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审批时效</w:t>
            </w:r>
          </w:p>
        </w:tc>
        <w:tc>
          <w:tcPr>
            <w:tcW w:w="1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3-5个工作日</w:t>
            </w:r>
          </w:p>
        </w:tc>
        <w:tc>
          <w:tcPr>
            <w:tcW w:w="149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低风险客户实时审批</w:t>
            </w:r>
          </w:p>
        </w:tc>
        <w:tc>
          <w:tcPr>
            <w:tcW w:w="128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缩短80%+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人工干预率</w:t>
            </w:r>
          </w:p>
        </w:tc>
        <w:tc>
          <w:tcPr>
            <w:tcW w:w="1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100%</w:t>
            </w:r>
          </w:p>
        </w:tc>
        <w:tc>
          <w:tcPr>
            <w:tcW w:w="149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仅20%需人工审批</w:t>
            </w:r>
          </w:p>
        </w:tc>
        <w:tc>
          <w:tcPr>
            <w:tcW w:w="128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减少80%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风险识别准确率</w:t>
            </w:r>
          </w:p>
        </w:tc>
        <w:tc>
          <w:tcPr>
            <w:tcW w:w="1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85%</w:t>
            </w:r>
          </w:p>
        </w:tc>
        <w:tc>
          <w:tcPr>
            <w:tcW w:w="149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95%</w:t>
            </w:r>
          </w:p>
        </w:tc>
        <w:tc>
          <w:tcPr>
            <w:tcW w:w="128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提升10个百分点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客户满意度</w:t>
            </w:r>
          </w:p>
        </w:tc>
        <w:tc>
          <w:tcPr>
            <w:tcW w:w="10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72%</w:t>
            </w:r>
          </w:p>
        </w:tc>
        <w:tc>
          <w:tcPr>
            <w:tcW w:w="149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92%</w:t>
            </w:r>
          </w:p>
        </w:tc>
        <w:tc>
          <w:tcPr>
            <w:tcW w:w="128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提升20个百分点</w:t>
            </w:r>
          </w:p>
        </w:tc>
      </w:tr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2" w:name="五技术架构层支撑ai银行的技术栈"/>
      <w:r>
        <w:rPr>
          <w:rFonts w:hint="eastAsia" w:ascii="仿宋_GB2312" w:hAnsi="仿宋_GB2312" w:eastAsia="仿宋_GB2312" w:cs="仿宋_GB2312"/>
          <w:color w:val="auto"/>
        </w:rPr>
        <w:t>五、技术架构层：支撑AI银行的技术栈</w:t>
      </w:r>
      <w:bookmarkEnd w:id="32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技术架构层构建从应用到基础设施的完整技术体系，为智能体架构提供底层支撑。技术选型与架构设计围绕三大核心要素展开：如何支撑智能驱动的增长引擎、如何实现自主运行的风险体系、如何保障人机协同的安全可靠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3" w:name="整体技术架构"/>
      <w:r>
        <w:rPr>
          <w:rFonts w:hint="eastAsia" w:ascii="仿宋_GB2312" w:hAnsi="仿宋_GB2312" w:eastAsia="仿宋_GB2312" w:cs="仿宋_GB2312"/>
          <w:color w:val="auto"/>
        </w:rPr>
        <w:t>5.1 整体技术架构</w:t>
      </w:r>
      <w:bookmarkEnd w:id="3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技术架构分为六层，自下而上为三大核心要素提供底层支撑。</w:t>
      </w:r>
    </w:p>
    <w:p>
      <w:pPr>
        <w:outlineLvl w:val="9"/>
        <w:rPr>
          <w:rFonts w:hint="default" w:ascii="仿宋_GB2312" w:hAnsi="仿宋_GB2312" w:eastAsia="仿宋_GB2312" w:cs="仿宋_GB2312"/>
          <w:color w:val="auto"/>
          <w:lang w:val="en-US"/>
        </w:rPr>
      </w:pPr>
      <w:bookmarkStart w:id="34" w:name="应用构建层技术方案"/>
      <w:r>
        <w:rPr>
          <w:rFonts w:hint="default" w:ascii="仿宋_GB2312" w:hAnsi="仿宋_GB2312" w:eastAsia="仿宋_GB2312" w:cs="仿宋_GB2312"/>
          <w:color w:val="auto"/>
          <w:lang w:val="en-US"/>
        </w:rPr>
        <w:drawing>
          <wp:inline distT="0" distB="0" distL="114300" distR="114300">
            <wp:extent cx="5481320" cy="2992120"/>
            <wp:effectExtent l="0" t="0" r="5080" b="17780"/>
            <wp:docPr id="1" name="图片 1" descr="cm1675333792_85141_5948479009fe8782f91dafe915e808c4de37a391_6.html_at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m1675333792_85141_5948479009fe8782f91dafe915e808c4de37a391_6.html_att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5.2 应用构建层技术方案</w:t>
      </w:r>
      <w:bookmarkEnd w:id="34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应用构建层位于应用层与智能体框架层之间，提供两种互补的应用构建方式：智能体编排平台（低代码）与智能体开发框架（代码级开发），满足不同场景、不同用户群体的需求。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5" w:name="双轨构建策略"/>
      <w:r>
        <w:rPr>
          <w:rFonts w:hint="eastAsia" w:ascii="仿宋_GB2312" w:hAnsi="仿宋_GB2312" w:eastAsia="仿宋_GB2312" w:cs="仿宋_GB2312"/>
          <w:color w:val="auto"/>
        </w:rPr>
        <w:t>5.2.1 双轨构建策略</w:t>
      </w:r>
      <w:bookmarkEnd w:id="35"/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314"/>
        <w:gridCol w:w="2779"/>
        <w:gridCol w:w="830"/>
        <w:gridCol w:w="2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构建方式</w:t>
            </w:r>
          </w:p>
        </w:tc>
        <w:tc>
          <w:tcPr>
            <w:tcW w:w="742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目标用户</w:t>
            </w:r>
          </w:p>
        </w:tc>
        <w:tc>
          <w:tcPr>
            <w:tcW w:w="1569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核心价值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算力资源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典型场景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智能体编排平台</w:t>
            </w:r>
          </w:p>
        </w:tc>
        <w:tc>
          <w:tcPr>
            <w:tcW w:w="74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业务人员、IT通才</w:t>
            </w:r>
          </w:p>
        </w:tc>
        <w:tc>
          <w:tcPr>
            <w:tcW w:w="156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低代码可视化、快速原型验证、标准化场景交付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总行私有云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制度问答、FAQ客服、报告生成、合同质检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智能体开发框架</w:t>
            </w:r>
          </w:p>
        </w:tc>
        <w:tc>
          <w:tcPr>
            <w:tcW w:w="74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技术团队（开发人员）</w:t>
            </w:r>
          </w:p>
        </w:tc>
        <w:tc>
          <w:tcPr>
            <w:tcW w:w="156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代码级深度定制、复杂业务逻辑、企业系统深度集成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本地算力卡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智能支付路由、动态定价、多Agent协同、核心系统集成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算力资源约束：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由于监管要求，我行无法使用公有云，算力资源分为两种：</w:t>
      </w:r>
    </w:p>
    <w:tbl>
      <w:tblPr>
        <w:tblStyle w:val="2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2205"/>
        <w:gridCol w:w="4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算力来源</w:t>
            </w:r>
          </w:p>
        </w:tc>
        <w:tc>
          <w:tcPr>
            <w:tcW w:w="124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适用构建方式</w:t>
            </w:r>
          </w:p>
        </w:tc>
        <w:tc>
          <w:tcPr>
            <w:tcW w:w="282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总行私有云</w:t>
            </w:r>
          </w:p>
        </w:tc>
        <w:tc>
          <w:tcPr>
            <w:tcW w:w="124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智能体编排平台</w:t>
            </w:r>
          </w:p>
        </w:tc>
        <w:tc>
          <w:tcPr>
            <w:tcW w:w="282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统一算力池、按需申请、无需自行运维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本地算力卡</w:t>
            </w:r>
          </w:p>
        </w:tc>
        <w:tc>
          <w:tcPr>
            <w:tcW w:w="124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智能体开发框架</w:t>
            </w:r>
          </w:p>
        </w:tc>
        <w:tc>
          <w:tcPr>
            <w:tcW w:w="282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需自行采购部署、独立运维、完全可控</w:t>
            </w: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选择决策原则：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>- 标准化场景优先使用编排平台 + 总行私有云，快速交付、零运维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>- 涉及核心系统集成与资产负债表核心业务，需采用开发框架 + 本地算力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6" w:name="智能体编排平台"/>
      <w:r>
        <w:rPr>
          <w:rFonts w:hint="eastAsia" w:ascii="仿宋_GB2312" w:hAnsi="仿宋_GB2312" w:eastAsia="仿宋_GB2312" w:cs="仿宋_GB2312"/>
          <w:color w:val="auto"/>
        </w:rPr>
        <w:t>5.2.2 智能体编排平台</w:t>
      </w:r>
      <w:bookmarkEnd w:id="3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智能体编排平台提供低代码可视化构建能力，适合业务人员快速构建标准化AI应用。</w:t>
      </w:r>
      <w:r>
        <w:rPr>
          <w:rFonts w:hint="eastAsia" w:ascii="仿宋_GB2312" w:hAnsi="仿宋_GB2312" w:eastAsia="仿宋_GB2312" w:cs="仿宋_GB2312"/>
          <w:b/>
          <w:color w:val="auto"/>
        </w:rPr>
        <w:t>算力资源使用总行私有云，无需自行采购运维。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核心能力：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2947"/>
        <w:gridCol w:w="4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能力</w:t>
            </w:r>
          </w:p>
        </w:tc>
        <w:tc>
          <w:tcPr>
            <w:tcW w:w="166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说明</w:t>
            </w:r>
          </w:p>
        </w:tc>
        <w:tc>
          <w:tcPr>
            <w:tcW w:w="227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可视化编排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拖拽式工作流设计</w:t>
            </w:r>
          </w:p>
        </w:tc>
        <w:tc>
          <w:tcPr>
            <w:tcW w:w="227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画布编辑器 + 节点组件库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RAG Pipeline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开箱即用的知识检索</w:t>
            </w:r>
          </w:p>
        </w:tc>
        <w:tc>
          <w:tcPr>
            <w:tcW w:w="227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文档解析→分块→向量化→检索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工作流API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一键发布REST API</w:t>
            </w:r>
          </w:p>
        </w:tc>
        <w:tc>
          <w:tcPr>
            <w:tcW w:w="227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自动生成API端点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多模型支持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对接多种LLM推理引擎</w:t>
            </w:r>
          </w:p>
        </w:tc>
        <w:tc>
          <w:tcPr>
            <w:tcW w:w="227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OpenAI兼容接口</w:t>
            </w: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与智能体框架层的关系：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>- 编排平台不自行实现编排引擎，而是调用智能体框架层的能力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color w:val="auto"/>
          <w:lang w:val="en-US"/>
        </w:rPr>
      </w:pPr>
      <w:r>
        <w:rPr>
          <w:rFonts w:hint="eastAsia" w:ascii="仿宋_GB2312" w:hAnsi="仿宋_GB2312" w:eastAsia="仿宋_GB2312" w:cs="仿宋_GB2312"/>
          <w:color w:val="auto"/>
        </w:rPr>
        <w:t>- 编排平台构建的工作流可通过API暴露，供业务系统调用</w:t>
      </w:r>
      <w:r>
        <w:rPr>
          <w:rFonts w:hint="default" w:ascii="仿宋_GB2312" w:hAnsi="仿宋_GB2312" w:eastAsia="仿宋_GB2312" w:cs="仿宋_GB2312"/>
          <w:color w:val="auto"/>
          <w:lang w:val="en-US"/>
        </w:rPr>
        <w:t>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7" w:name="智能体开发框架"/>
      <w:r>
        <w:rPr>
          <w:rFonts w:hint="eastAsia" w:ascii="仿宋_GB2312" w:hAnsi="仿宋_GB2312" w:eastAsia="仿宋_GB2312" w:cs="仿宋_GB2312"/>
          <w:color w:val="auto"/>
        </w:rPr>
        <w:t>5.2.3 智能体开发框架</w:t>
      </w:r>
      <w:bookmarkEnd w:id="37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智能体开发框架提供代码级开发能力，适合技术团队构建复杂AI应用。</w:t>
      </w:r>
      <w:r>
        <w:rPr>
          <w:rFonts w:hint="eastAsia" w:ascii="仿宋_GB2312" w:hAnsi="仿宋_GB2312" w:eastAsia="仿宋_GB2312" w:cs="仿宋_GB2312"/>
          <w:b/>
          <w:color w:val="auto"/>
        </w:rPr>
        <w:t>算力资源使用本地算力卡，需自行采购部署GPU集群。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核心能力：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3315"/>
        <w:gridCol w:w="35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  <w:t>能力</w:t>
            </w:r>
          </w:p>
        </w:tc>
        <w:tc>
          <w:tcPr>
            <w:tcW w:w="1872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说明</w:t>
            </w:r>
          </w:p>
        </w:tc>
        <w:tc>
          <w:tcPr>
            <w:tcW w:w="199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  <w:t>技能驱动架构</w:t>
            </w:r>
          </w:p>
        </w:tc>
        <w:tc>
          <w:tcPr>
            <w:tcW w:w="187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统一运行时 + 技能注入</w:t>
            </w:r>
          </w:p>
        </w:tc>
        <w:tc>
          <w:tcPr>
            <w:tcW w:w="19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YAML配置 + 热加载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  <w:t>多Agent协同</w:t>
            </w:r>
          </w:p>
        </w:tc>
        <w:tc>
          <w:tcPr>
            <w:tcW w:w="187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原生支持复杂协同模式</w:t>
            </w:r>
          </w:p>
        </w:tc>
        <w:tc>
          <w:tcPr>
            <w:tcW w:w="19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Supervisor-Worker编排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</w:rPr>
              <w:t>企业系统集成</w:t>
            </w:r>
          </w:p>
        </w:tc>
        <w:tc>
          <w:tcPr>
            <w:tcW w:w="187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深度对接核心系统</w:t>
            </w:r>
          </w:p>
        </w:tc>
        <w:tc>
          <w:tcPr>
            <w:tcW w:w="19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Spring Cloud微服务集成</w:t>
            </w: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适用场景判定：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需要集成核心银行系统（存贷汇核心）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涉及资产负债表核心业务逻辑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需要复杂多Agent协同编排 - 对性能、可靠性有极高要求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8" w:name="双轨协同架构"/>
      <w:r>
        <w:rPr>
          <w:rFonts w:hint="eastAsia" w:ascii="仿宋_GB2312" w:hAnsi="仿宋_GB2312" w:eastAsia="仿宋_GB2312" w:cs="仿宋_GB2312"/>
          <w:color w:val="auto"/>
        </w:rPr>
        <w:t>5.2.4 双轨协同架构</w:t>
      </w:r>
      <w:bookmarkEnd w:id="38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两种构建方式可以协同使用，形成“编排平台前端 + 开发框架后端”的混合模式：</w:t>
      </w:r>
    </w:p>
    <w:p>
      <w:pPr>
        <w:pStyle w:val="23"/>
        <w:jc w:val="center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3884295" cy="2199640"/>
            <wp:effectExtent l="0" t="0" r="1905" b="10160"/>
            <wp:docPr id="2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协同场景示例：</w:t>
      </w:r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3407"/>
        <w:gridCol w:w="38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场景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编排平台负责（总行私有云）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开发框架负责（本地算力卡）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信贷尽调报告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对话交互、知识检索、报告生成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征信查询、风险评分、核心系统对接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智能客服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前端对话、FAQ问答、意图识别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复杂业务查询、工单创建、系统调用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投研分析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报告模板、数据可视化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数据分析模型、投资组合计算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39" w:name="智能体框架层技术方案"/>
      <w:r>
        <w:rPr>
          <w:rFonts w:hint="eastAsia" w:ascii="仿宋_GB2312" w:hAnsi="仿宋_GB2312" w:eastAsia="仿宋_GB2312" w:cs="仿宋_GB2312"/>
          <w:color w:val="auto"/>
        </w:rPr>
        <w:t>5.3 智能体框架层技术方案</w:t>
      </w:r>
      <w:bookmarkEnd w:id="39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智能体框架层是支撑多智能体协同的核心技术层，采用“统一运行时 + 技能注入”的架构设计，并支持“确定性编排”到“智能编排”的两阶段演进。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0" w:name="两阶段编排架构"/>
      <w:r>
        <w:rPr>
          <w:rFonts w:hint="eastAsia" w:ascii="仿宋_GB2312" w:hAnsi="仿宋_GB2312" w:eastAsia="仿宋_GB2312" w:cs="仿宋_GB2312"/>
          <w:color w:val="auto"/>
        </w:rPr>
        <w:t>5.3.1 两阶段编排架构</w:t>
      </w:r>
      <w:bookmarkEnd w:id="40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业界最佳实践将编排分为两层：</w:t>
      </w:r>
      <w:r>
        <w:rPr>
          <w:rFonts w:hint="eastAsia" w:ascii="仿宋_GB2312" w:hAnsi="仿宋_GB2312" w:eastAsia="仿宋_GB2312" w:cs="仿宋_GB2312"/>
          <w:b/>
          <w:color w:val="auto"/>
        </w:rPr>
        <w:t>确定性流程编排</w:t>
      </w:r>
      <w:r>
        <w:rPr>
          <w:rFonts w:hint="eastAsia" w:ascii="仿宋_GB2312" w:hAnsi="仿宋_GB2312" w:eastAsia="仿宋_GB2312" w:cs="仿宋_GB2312"/>
          <w:color w:val="auto"/>
        </w:rPr>
        <w:t>处理固定流程，</w:t>
      </w:r>
      <w:r>
        <w:rPr>
          <w:rFonts w:hint="eastAsia" w:ascii="仿宋_GB2312" w:hAnsi="仿宋_GB2312" w:eastAsia="仿宋_GB2312" w:cs="仿宋_GB2312"/>
          <w:b/>
          <w:color w:val="auto"/>
        </w:rPr>
        <w:t>智能体协调层</w:t>
      </w:r>
      <w:r>
        <w:rPr>
          <w:rFonts w:hint="eastAsia" w:ascii="仿宋_GB2312" w:hAnsi="仿宋_GB2312" w:eastAsia="仿宋_GB2312" w:cs="仿宋_GB2312"/>
          <w:color w:val="auto"/>
        </w:rPr>
        <w:t>处理动态决策。银行场景建议两阶段演进：</w:t>
      </w:r>
    </w:p>
    <w:p>
      <w:pPr>
        <w:pStyle w:val="23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5481320" cy="2992120"/>
            <wp:effectExtent l="0" t="0" r="5080" b="17780"/>
            <wp:docPr id="2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两阶段演进路径：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853"/>
        <w:gridCol w:w="2272"/>
        <w:gridCol w:w="3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阶段</w:t>
            </w:r>
          </w:p>
        </w:tc>
        <w:tc>
          <w:tcPr>
            <w:tcW w:w="104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编排方式</w:t>
            </w:r>
          </w:p>
        </w:tc>
        <w:tc>
          <w:tcPr>
            <w:tcW w:w="128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适用场景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第一阶段</w:t>
            </w:r>
          </w:p>
        </w:tc>
        <w:tc>
          <w:tcPr>
            <w:tcW w:w="104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确定性流程编排</w:t>
            </w:r>
          </w:p>
        </w:tc>
        <w:tc>
          <w:tcPr>
            <w:tcW w:w="128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流程固定、合规要求高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可审计、可追溯、传统应用易接入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第二阶段</w:t>
            </w:r>
          </w:p>
        </w:tc>
        <w:tc>
          <w:tcPr>
            <w:tcW w:w="104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智能体协调层</w:t>
            </w:r>
          </w:p>
        </w:tc>
        <w:tc>
          <w:tcPr>
            <w:tcW w:w="128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任务不确定、需动态决策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灵活、自适应、智能路由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银行场景示例：贷款审批流程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2"/>
        <w:gridCol w:w="2621"/>
        <w:gridCol w:w="31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步骤</w:t>
            </w:r>
          </w:p>
        </w:tc>
        <w:tc>
          <w:tcPr>
            <w:tcW w:w="148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编排方式</w:t>
            </w:r>
          </w:p>
        </w:tc>
        <w:tc>
          <w:tcPr>
            <w:tcW w:w="179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申请接收 → 材料解析</w:t>
            </w:r>
          </w:p>
        </w:tc>
        <w:tc>
          <w:tcPr>
            <w:tcW w:w="148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确定性</w:t>
            </w:r>
          </w:p>
        </w:tc>
        <w:tc>
          <w:tcPr>
            <w:tcW w:w="17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固定流程，无需推理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信用评分</w:t>
            </w:r>
          </w:p>
        </w:tc>
        <w:tc>
          <w:tcPr>
            <w:tcW w:w="148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确定性 + 模型调用</w:t>
            </w:r>
          </w:p>
        </w:tc>
        <w:tc>
          <w:tcPr>
            <w:tcW w:w="17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规则+模型，结果可审计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风险判断</w:t>
            </w:r>
          </w:p>
        </w:tc>
        <w:tc>
          <w:tcPr>
            <w:tcW w:w="148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智能决策点</w:t>
            </w:r>
          </w:p>
        </w:tc>
        <w:tc>
          <w:tcPr>
            <w:tcW w:w="17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需要综合推理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审批决策</w:t>
            </w:r>
          </w:p>
        </w:tc>
        <w:tc>
          <w:tcPr>
            <w:tcW w:w="148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确定性 + 人工关卡</w:t>
            </w:r>
          </w:p>
        </w:tc>
        <w:tc>
          <w:tcPr>
            <w:tcW w:w="17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合规要求，流程固定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放款执行</w:t>
            </w:r>
          </w:p>
        </w:tc>
        <w:tc>
          <w:tcPr>
            <w:tcW w:w="148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确定性</w:t>
            </w:r>
          </w:p>
        </w:tc>
        <w:tc>
          <w:tcPr>
            <w:tcW w:w="179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固定流程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1" w:name="统一运行时架构"/>
      <w:r>
        <w:rPr>
          <w:rFonts w:hint="eastAsia" w:ascii="仿宋_GB2312" w:hAnsi="仿宋_GB2312" w:eastAsia="仿宋_GB2312" w:cs="仿宋_GB2312"/>
          <w:color w:val="auto"/>
        </w:rPr>
        <w:t>5.3.2 统一运行时架构</w:t>
      </w:r>
      <w:bookmarkEnd w:id="41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领域智能体共享统一的技术底座，差异仅在于注入的技能配置。</w:t>
      </w:r>
    </w:p>
    <w:p>
      <w:pPr>
        <w:pStyle w:val="23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5481320" cy="2992120"/>
            <wp:effectExtent l="0" t="0" r="5080" b="17780"/>
            <wp:docPr id="2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技能配置示例：</w:t>
      </w:r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391"/>
        <w:gridCol w:w="2940"/>
        <w:gridCol w:w="29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领域智能体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角色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目标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可用工具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客户交互智能体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客户服务专员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解答客户咨询、提供个性化建议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知识检索、产品查询、工单创建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风险决策智能体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风险审核员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评估风险、生成决策建议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征信查询、风险模型、合规规则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运营执行智能体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运营专员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自动化执行运营任务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文档处理、流程触发、系统调用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2" w:name="编排引擎orchestrator"/>
      <w:r>
        <w:rPr>
          <w:rFonts w:hint="eastAsia" w:ascii="仿宋_GB2312" w:hAnsi="仿宋_GB2312" w:eastAsia="仿宋_GB2312" w:cs="仿宋_GB2312"/>
          <w:color w:val="auto"/>
        </w:rPr>
        <w:t>5.3.3 编排引擎（Orchestrator）</w:t>
      </w:r>
      <w:bookmarkEnd w:id="42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编排引擎分两层实现，支持从确定性编排演进到智能编排。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第一层：确定性流程编排（第一阶段）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固定流程的硬编码调用链，基于Spring Cloud实现。</w:t>
      </w:r>
    </w:p>
    <w:p>
      <w:pPr>
        <w:pStyle w:val="23"/>
        <w:jc w:val="center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467225" cy="2439035"/>
            <wp:effectExtent l="0" t="0" r="9525" b="18415"/>
            <wp:docPr id="2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技术实现：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3596"/>
        <w:gridCol w:w="35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组件</w:t>
            </w:r>
          </w:p>
        </w:tc>
        <w:tc>
          <w:tcPr>
            <w:tcW w:w="203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功能</w:t>
            </w:r>
          </w:p>
        </w:tc>
        <w:tc>
          <w:tcPr>
            <w:tcW w:w="203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技术选型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服务发现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Agent服务注册与发现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Spring Cloud Eureka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配置中心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技能配置统一管理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Spring Cloud Config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状态共享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跨Agent会话状态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Redis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流程编排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硬编码调用链</w:t>
            </w:r>
          </w:p>
        </w:tc>
        <w:tc>
          <w:tcPr>
            <w:tcW w:w="2031" w:type="pct"/>
            <w:tcBorders>
              <w:tl2br w:val="nil"/>
              <w:tr2bl w:val="nil"/>
            </w:tcBorders>
          </w:tcPr>
          <w:p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Spring @Service编排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代码示例：</w:t>
      </w:r>
    </w:p>
    <w:p>
      <w:pPr>
        <w:pStyle w:val="36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Style w:val="62"/>
          <w:rFonts w:hint="eastAsia" w:ascii="仿宋_GB2312" w:hAnsi="仿宋_GB2312" w:eastAsia="仿宋_GB2312" w:cs="仿宋_GB2312"/>
          <w:color w:val="auto"/>
        </w:rPr>
        <w:t>@Service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38"/>
          <w:rFonts w:hint="eastAsia" w:ascii="仿宋_GB2312" w:hAnsi="仿宋_GB2312" w:eastAsia="仿宋_GB2312" w:cs="仿宋_GB2312"/>
          <w:color w:val="auto"/>
        </w:rPr>
        <w:t>public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</w:t>
      </w:r>
      <w:r>
        <w:rPr>
          <w:rStyle w:val="38"/>
          <w:rFonts w:hint="eastAsia" w:ascii="仿宋_GB2312" w:hAnsi="仿宋_GB2312" w:eastAsia="仿宋_GB2312" w:cs="仿宋_GB2312"/>
          <w:color w:val="auto"/>
        </w:rPr>
        <w:t>class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LoanOrchestrator {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</w:t>
      </w:r>
      <w:r>
        <w:rPr>
          <w:rStyle w:val="62"/>
          <w:rFonts w:hint="eastAsia" w:ascii="仿宋_GB2312" w:hAnsi="仿宋_GB2312" w:eastAsia="仿宋_GB2312" w:cs="仿宋_GB2312"/>
          <w:color w:val="auto"/>
        </w:rPr>
        <w:t>@Autowired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</w:t>
      </w:r>
      <w:r>
        <w:rPr>
          <w:rStyle w:val="38"/>
          <w:rFonts w:hint="eastAsia" w:ascii="仿宋_GB2312" w:hAnsi="仿宋_GB2312" w:eastAsia="仿宋_GB2312" w:cs="仿宋_GB2312"/>
          <w:color w:val="auto"/>
        </w:rPr>
        <w:t>private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AgentService documentAgent;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</w:t>
      </w:r>
      <w:r>
        <w:rPr>
          <w:rStyle w:val="62"/>
          <w:rFonts w:hint="eastAsia" w:ascii="仿宋_GB2312" w:hAnsi="仿宋_GB2312" w:eastAsia="仿宋_GB2312" w:cs="仿宋_GB2312"/>
          <w:color w:val="auto"/>
        </w:rPr>
        <w:t>@Autowired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</w:t>
      </w:r>
      <w:r>
        <w:rPr>
          <w:rStyle w:val="38"/>
          <w:rFonts w:hint="eastAsia" w:ascii="仿宋_GB2312" w:hAnsi="仿宋_GB2312" w:eastAsia="仿宋_GB2312" w:cs="仿宋_GB2312"/>
          <w:color w:val="auto"/>
        </w:rPr>
        <w:t>private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AgentService riskAgent;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</w:t>
      </w:r>
      <w:r>
        <w:rPr>
          <w:rStyle w:val="62"/>
          <w:rFonts w:hint="eastAsia" w:ascii="仿宋_GB2312" w:hAnsi="仿宋_GB2312" w:eastAsia="仿宋_GB2312" w:cs="仿宋_GB2312"/>
          <w:color w:val="auto"/>
        </w:rPr>
        <w:t>@Autowired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</w:t>
      </w:r>
      <w:r>
        <w:rPr>
          <w:rStyle w:val="38"/>
          <w:rFonts w:hint="eastAsia" w:ascii="仿宋_GB2312" w:hAnsi="仿宋_GB2312" w:eastAsia="仿宋_GB2312" w:cs="仿宋_GB2312"/>
          <w:color w:val="auto"/>
        </w:rPr>
        <w:t>private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AgentService approvalAgent;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</w:t>
      </w:r>
      <w:r>
        <w:rPr>
          <w:rStyle w:val="38"/>
          <w:rFonts w:hint="eastAsia" w:ascii="仿宋_GB2312" w:hAnsi="仿宋_GB2312" w:eastAsia="仿宋_GB2312" w:cs="仿宋_GB2312"/>
          <w:color w:val="auto"/>
        </w:rPr>
        <w:t>public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WorkflowResult 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processLoan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(Application app) {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    </w:t>
      </w:r>
      <w:r>
        <w:rPr>
          <w:rStyle w:val="50"/>
          <w:rFonts w:hint="eastAsia" w:ascii="仿宋_GB2312" w:hAnsi="仿宋_GB2312" w:eastAsia="仿宋_GB2312" w:cs="仿宋_GB2312"/>
          <w:color w:val="auto"/>
        </w:rPr>
        <w:t>// 确定性调用链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    LoopResult docs = documentAgent.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run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</w:t>
      </w:r>
      <w:r>
        <w:rPr>
          <w:rStyle w:val="46"/>
          <w:rFonts w:hint="eastAsia" w:ascii="仿宋_GB2312" w:hAnsi="仿宋_GB2312" w:eastAsia="仿宋_GB2312" w:cs="仿宋_GB2312"/>
          <w:color w:val="auto"/>
        </w:rPr>
        <w:t>"解析材料："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+ app.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getDocuments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());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    LoopResult risk = riskAgent.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run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</w:t>
      </w:r>
      <w:r>
        <w:rPr>
          <w:rStyle w:val="46"/>
          <w:rFonts w:hint="eastAsia" w:ascii="仿宋_GB2312" w:hAnsi="仿宋_GB2312" w:eastAsia="仿宋_GB2312" w:cs="仿宋_GB2312"/>
          <w:color w:val="auto"/>
        </w:rPr>
        <w:t>"风险评估："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+ docs.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content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());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    LoopResult decision = approvalAgent.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run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</w:t>
      </w:r>
      <w:r>
        <w:rPr>
          <w:rStyle w:val="46"/>
          <w:rFonts w:hint="eastAsia" w:ascii="仿宋_GB2312" w:hAnsi="仿宋_GB2312" w:eastAsia="仿宋_GB2312" w:cs="仿宋_GB2312"/>
          <w:color w:val="auto"/>
        </w:rPr>
        <w:t>"审批决策："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+ risk.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content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());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    </w:t>
      </w:r>
      <w:r>
        <w:rPr>
          <w:rStyle w:val="38"/>
          <w:rFonts w:hint="eastAsia" w:ascii="仿宋_GB2312" w:hAnsi="仿宋_GB2312" w:eastAsia="仿宋_GB2312" w:cs="仿宋_GB2312"/>
          <w:color w:val="auto"/>
        </w:rPr>
        <w:t>return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WorkflowResult.</w:t>
      </w:r>
      <w:r>
        <w:rPr>
          <w:rStyle w:val="55"/>
          <w:rFonts w:hint="eastAsia" w:ascii="仿宋_GB2312" w:hAnsi="仿宋_GB2312" w:eastAsia="仿宋_GB2312" w:cs="仿宋_GB2312"/>
          <w:color w:val="auto"/>
        </w:rPr>
        <w:t>completed</w:t>
      </w:r>
      <w:r>
        <w:rPr>
          <w:rStyle w:val="68"/>
          <w:rFonts w:hint="eastAsia" w:ascii="仿宋_GB2312" w:hAnsi="仿宋_GB2312" w:eastAsia="仿宋_GB2312" w:cs="仿宋_GB2312"/>
          <w:color w:val="auto"/>
        </w:rPr>
        <w:t>(decision);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 xml:space="preserve">    }</w:t>
      </w:r>
      <w:r>
        <w:rPr>
          <w:rFonts w:hint="eastAsia" w:ascii="仿宋_GB2312" w:hAnsi="仿宋_GB2312" w:eastAsia="仿宋_GB2312" w:cs="仿宋_GB2312"/>
          <w:color w:val="auto"/>
        </w:rPr>
        <w:br w:type="textWrapping"/>
      </w:r>
      <w:r>
        <w:rPr>
          <w:rStyle w:val="68"/>
          <w:rFonts w:hint="eastAsia" w:ascii="仿宋_GB2312" w:hAnsi="仿宋_GB2312" w:eastAsia="仿宋_GB2312" w:cs="仿宋_GB2312"/>
          <w:color w:val="auto"/>
        </w:rPr>
        <w:t>}</w:t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第二层：智能体协调层（第二阶段）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Supervisor-Worker分层模式，实现动态任务分解与智能体路由。</w:t>
      </w:r>
    </w:p>
    <w:p>
      <w:pPr>
        <w:pStyle w:val="23"/>
        <w:jc w:val="center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311015" cy="2353310"/>
            <wp:effectExtent l="0" t="0" r="13335" b="8890"/>
            <wp:docPr id="3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技术实现：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3429"/>
        <w:gridCol w:w="3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核心组件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功能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意图识别</w:t>
            </w:r>
          </w:p>
        </w:tc>
        <w:tc>
          <w:tcPr>
            <w:tcW w:w="193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理解用户任务目标</w:t>
            </w:r>
          </w:p>
        </w:tc>
        <w:tc>
          <w:tcPr>
            <w:tcW w:w="209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LLM分类 + 意图槽位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任务分解</w:t>
            </w:r>
          </w:p>
        </w:tc>
        <w:tc>
          <w:tcPr>
            <w:tcW w:w="193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将复杂任务拆解为子任务</w:t>
            </w:r>
          </w:p>
        </w:tc>
        <w:tc>
          <w:tcPr>
            <w:tcW w:w="209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LLM任务规划 + DAG依赖图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智能体路由</w:t>
            </w:r>
          </w:p>
        </w:tc>
        <w:tc>
          <w:tcPr>
            <w:tcW w:w="193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根据任务类型选择智能体</w:t>
            </w:r>
          </w:p>
        </w:tc>
        <w:tc>
          <w:tcPr>
            <w:tcW w:w="209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意图分类 + 智能体注册表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并行执行</w:t>
            </w:r>
          </w:p>
        </w:tc>
        <w:tc>
          <w:tcPr>
            <w:tcW w:w="193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多智能体并行处理</w:t>
            </w:r>
          </w:p>
        </w:tc>
        <w:tc>
          <w:tcPr>
            <w:tcW w:w="209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异步消息队列 + 执行池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结果聚合</w:t>
            </w:r>
          </w:p>
        </w:tc>
        <w:tc>
          <w:tcPr>
            <w:tcW w:w="193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整合多智能体输出</w:t>
            </w:r>
          </w:p>
        </w:tc>
        <w:tc>
          <w:tcPr>
            <w:tcW w:w="209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结果融合算法 + 冲突检测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编排模式选择：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3105"/>
        <w:gridCol w:w="2195"/>
        <w:gridCol w:w="1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模式</w:t>
            </w:r>
          </w:p>
        </w:tc>
        <w:tc>
          <w:tcPr>
            <w:tcW w:w="175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适用场景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特点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演进阶段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确定性流程编排</w:t>
            </w:r>
          </w:p>
        </w:tc>
        <w:tc>
          <w:tcPr>
            <w:tcW w:w="175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结构化流程、合规要求高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可审计、可追溯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第一阶段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Supervisor-Worker</w:t>
            </w:r>
          </w:p>
        </w:tc>
        <w:tc>
          <w:tcPr>
            <w:tcW w:w="175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任务可分解、需专业化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分层治理、智能路由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第二阶段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Graph编排</w:t>
            </w:r>
          </w:p>
        </w:tc>
        <w:tc>
          <w:tcPr>
            <w:tcW w:w="175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条件分支、状态机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可观测性强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第一/二阶段均可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3" w:name="智能体运行时agent-runtime"/>
      <w:r>
        <w:rPr>
          <w:rFonts w:hint="eastAsia" w:ascii="仿宋_GB2312" w:hAnsi="仿宋_GB2312" w:eastAsia="仿宋_GB2312" w:cs="仿宋_GB2312"/>
          <w:color w:val="auto"/>
        </w:rPr>
        <w:t>5.3.4 智能体运行时（Agent Runtime）</w:t>
      </w:r>
      <w:bookmarkEnd w:id="4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智能体运行时提供单个智能体的执行环境，支持ReAct循环。</w:t>
      </w:r>
    </w:p>
    <w:tbl>
      <w:tblPr>
        <w:tblStyle w:val="2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3546"/>
        <w:gridCol w:w="3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能力</w:t>
            </w:r>
          </w:p>
        </w:tc>
        <w:tc>
          <w:tcPr>
            <w:tcW w:w="2002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说明</w:t>
            </w:r>
          </w:p>
        </w:tc>
        <w:tc>
          <w:tcPr>
            <w:tcW w:w="191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智能体加载</w:t>
            </w:r>
          </w:p>
        </w:tc>
        <w:tc>
          <w:tcPr>
            <w:tcW w:w="200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动态加载智能体定义</w:t>
            </w:r>
          </w:p>
        </w:tc>
        <w:tc>
          <w:tcPr>
            <w:tcW w:w="19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YAML配置 + 热加载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ReAct循环</w:t>
            </w:r>
          </w:p>
        </w:tc>
        <w:tc>
          <w:tcPr>
            <w:tcW w:w="200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思考→行动→观察循环</w:t>
            </w:r>
          </w:p>
        </w:tc>
        <w:tc>
          <w:tcPr>
            <w:tcW w:w="19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状态机 + 循环控制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状态管理</w:t>
            </w:r>
          </w:p>
        </w:tc>
        <w:tc>
          <w:tcPr>
            <w:tcW w:w="200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管理执行状态</w:t>
            </w:r>
          </w:p>
        </w:tc>
        <w:tc>
          <w:tcPr>
            <w:tcW w:w="19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Redis状态存储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智能体通信</w:t>
            </w:r>
          </w:p>
        </w:tc>
        <w:tc>
          <w:tcPr>
            <w:tcW w:w="200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智能体间消息传递</w:t>
            </w:r>
          </w:p>
        </w:tc>
        <w:tc>
          <w:tcPr>
            <w:tcW w:w="19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消息总线 + 事件驱动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4" w:name="记忆系统memory-system"/>
      <w:r>
        <w:rPr>
          <w:rFonts w:hint="eastAsia" w:ascii="仿宋_GB2312" w:hAnsi="仿宋_GB2312" w:eastAsia="仿宋_GB2312" w:cs="仿宋_GB2312"/>
          <w:color w:val="auto"/>
        </w:rPr>
        <w:t>5.3.5 记忆系统（Memory System）</w:t>
      </w:r>
      <w:bookmarkEnd w:id="44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记忆系统支持智能体的上下文感知与知识积累，采用分层记忆架构。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3343"/>
        <w:gridCol w:w="3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记忆类型</w:t>
            </w:r>
          </w:p>
        </w:tc>
        <w:tc>
          <w:tcPr>
            <w:tcW w:w="188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用途</w:t>
            </w:r>
          </w:p>
        </w:tc>
        <w:tc>
          <w:tcPr>
            <w:tcW w:w="217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工作记忆</w:t>
            </w:r>
          </w:p>
        </w:tc>
        <w:tc>
          <w:tcPr>
            <w:tcW w:w="188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当前会话上下文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Redis + 滑动窗口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情景记忆</w:t>
            </w:r>
          </w:p>
        </w:tc>
        <w:tc>
          <w:tcPr>
            <w:tcW w:w="188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用户历史交互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向量数据库 + 时间索引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语义记忆</w:t>
            </w:r>
          </w:p>
        </w:tc>
        <w:tc>
          <w:tcPr>
            <w:tcW w:w="188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领域知识、技能定义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知识图谱 + 向量检索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程序记忆</w:t>
            </w:r>
          </w:p>
        </w:tc>
        <w:tc>
          <w:tcPr>
            <w:tcW w:w="188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智能体行为模式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规则库 + 反馈学习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5" w:name="工具调用框架tool-calling"/>
      <w:r>
        <w:rPr>
          <w:rFonts w:hint="eastAsia" w:ascii="仿宋_GB2312" w:hAnsi="仿宋_GB2312" w:eastAsia="仿宋_GB2312" w:cs="仿宋_GB2312"/>
          <w:color w:val="auto"/>
        </w:rPr>
        <w:t>5.3.6 工具调用框架（Tool Calling）</w:t>
      </w:r>
      <w:bookmarkEnd w:id="45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工具调用框架让智能体能够调用外部系统，采用MCP（Model Context Protocol）协议。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3083"/>
        <w:gridCol w:w="4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能力</w:t>
            </w:r>
          </w:p>
        </w:tc>
        <w:tc>
          <w:tcPr>
            <w:tcW w:w="174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说明</w:t>
            </w:r>
          </w:p>
        </w:tc>
        <w:tc>
          <w:tcPr>
            <w:tcW w:w="2372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工具注册</w:t>
            </w:r>
          </w:p>
        </w:tc>
        <w:tc>
          <w:tcPr>
            <w:tcW w:w="17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定义可调用工具</w:t>
            </w:r>
          </w:p>
        </w:tc>
        <w:tc>
          <w:tcPr>
            <w:tcW w:w="237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OpenAPI规范 + 工具注册表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参数映射</w:t>
            </w:r>
          </w:p>
        </w:tc>
        <w:tc>
          <w:tcPr>
            <w:tcW w:w="17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自然语言→API参数</w:t>
            </w:r>
          </w:p>
        </w:tc>
        <w:tc>
          <w:tcPr>
            <w:tcW w:w="237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LLM函数调用 + 参数验证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执行监控</w:t>
            </w:r>
          </w:p>
        </w:tc>
        <w:tc>
          <w:tcPr>
            <w:tcW w:w="17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调用链追踪与审计</w:t>
            </w:r>
          </w:p>
        </w:tc>
        <w:tc>
          <w:tcPr>
            <w:tcW w:w="237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分布式追踪 + 日志采集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权限控制</w:t>
            </w:r>
          </w:p>
        </w:tc>
        <w:tc>
          <w:tcPr>
            <w:tcW w:w="174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工具调用权限管理</w:t>
            </w:r>
          </w:p>
        </w:tc>
        <w:tc>
          <w:tcPr>
            <w:tcW w:w="237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RBAC + 敏感操作审批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6" w:name="人机协同关卡human-in-the-loop-gates"/>
      <w:r>
        <w:rPr>
          <w:rFonts w:hint="eastAsia" w:ascii="仿宋_GB2312" w:hAnsi="仿宋_GB2312" w:eastAsia="仿宋_GB2312" w:cs="仿宋_GB2312"/>
          <w:color w:val="auto"/>
        </w:rPr>
        <w:t>5.3.7 人机协同关卡（Human-in-the-Loop Gates）</w:t>
      </w:r>
      <w:bookmarkEnd w:id="4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人机协同关卡在关键节点插入人工审批，采用业界成熟的审批关卡模式。</w:t>
      </w:r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4056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关卡类型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触发条件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实现方式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风险关卡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高风险操作（大额交易、敏感数据）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规则引擎 + 审批流程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置信度关卡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AI置信度低于阈值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模型置信度输出 + 人工确认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抽样关卡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随机抽样质检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抽样算法 + 复核流程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合规关卡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监管要求场景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合规规则库 + 强制审批</w:t>
            </w:r>
          </w:p>
        </w:tc>
      </w:tr>
    </w:tbl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7" w:name="可观测性与审计平面observability-audit-plane"/>
      <w:r>
        <w:rPr>
          <w:rFonts w:hint="eastAsia" w:ascii="仿宋_GB2312" w:hAnsi="仿宋_GB2312" w:eastAsia="仿宋_GB2312" w:cs="仿宋_GB2312"/>
          <w:color w:val="auto"/>
        </w:rPr>
        <w:t>5.3.8 可观测性与审计平面（Observability &amp; Audit Plane）</w:t>
      </w:r>
      <w:bookmarkEnd w:id="47"/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可观测性平面记录智能体执行的完整轨迹，支持调试、审计与合规。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899"/>
        <w:gridCol w:w="3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记录内容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用途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存储方式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提示词与上下文</w:t>
            </w:r>
          </w:p>
        </w:tc>
        <w:tc>
          <w:tcPr>
            <w:tcW w:w="16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调试与审计</w:t>
            </w:r>
          </w:p>
        </w:tc>
        <w:tc>
          <w:tcPr>
            <w:tcW w:w="205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审计日志 + 不可篡改存储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模型调用记录</w:t>
            </w:r>
          </w:p>
        </w:tc>
        <w:tc>
          <w:tcPr>
            <w:tcW w:w="16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成本核算、性能分析</w:t>
            </w:r>
          </w:p>
        </w:tc>
        <w:tc>
          <w:tcPr>
            <w:tcW w:w="205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调用链追踪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工具调用详情</w:t>
            </w:r>
          </w:p>
        </w:tc>
        <w:tc>
          <w:tcPr>
            <w:tcW w:w="16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操作审计</w:t>
            </w:r>
          </w:p>
        </w:tc>
        <w:tc>
          <w:tcPr>
            <w:tcW w:w="205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结构化日志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决策路径</w:t>
            </w:r>
          </w:p>
        </w:tc>
        <w:tc>
          <w:tcPr>
            <w:tcW w:w="16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合规审查</w:t>
            </w:r>
          </w:p>
        </w:tc>
        <w:tc>
          <w:tcPr>
            <w:tcW w:w="205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决策树可视化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人工审批记录</w:t>
            </w:r>
          </w:p>
        </w:tc>
        <w:tc>
          <w:tcPr>
            <w:tcW w:w="16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责任追溯</w:t>
            </w:r>
          </w:p>
        </w:tc>
        <w:tc>
          <w:tcPr>
            <w:tcW w:w="205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审批日志 + 数字签名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8" w:name="ai平台层技术方案"/>
      <w:r>
        <w:rPr>
          <w:rFonts w:hint="eastAsia" w:ascii="仿宋_GB2312" w:hAnsi="仿宋_GB2312" w:eastAsia="仿宋_GB2312" w:cs="仿宋_GB2312"/>
          <w:color w:val="auto"/>
        </w:rPr>
        <w:t>5.4 AI平台层技术方案</w:t>
      </w:r>
      <w:bookmarkEnd w:id="48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AI平台层为智能体提供模型训练、部署、管理的全生命周期能力，支撑三大核心要素中的“自主运行的风险体系”所需的持续学习与自我优化，计划使用总行机器学习平台的MLOps流水线。</w:t>
      </w:r>
    </w:p>
    <w:p>
      <w:pPr>
        <w:pStyle w:val="3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655820" cy="2541270"/>
            <wp:effectExtent l="0" t="0" r="11430" b="11430"/>
            <wp:docPr id="4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3802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阶段</w:t>
            </w:r>
          </w:p>
        </w:tc>
        <w:tc>
          <w:tcPr>
            <w:tcW w:w="214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核心能力</w:t>
            </w:r>
          </w:p>
        </w:tc>
        <w:tc>
          <w:tcPr>
            <w:tcW w:w="196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支撑场景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数据准备</w:t>
            </w:r>
          </w:p>
        </w:tc>
        <w:tc>
          <w:tcPr>
            <w:tcW w:w="214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特征提取、数据版本管理</w:t>
            </w:r>
          </w:p>
        </w:tc>
        <w:tc>
          <w:tcPr>
            <w:tcW w:w="196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所有AI场景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模型训练</w:t>
            </w:r>
          </w:p>
        </w:tc>
        <w:tc>
          <w:tcPr>
            <w:tcW w:w="214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分布式训练、超参优化</w:t>
            </w:r>
          </w:p>
        </w:tc>
        <w:tc>
          <w:tcPr>
            <w:tcW w:w="196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风险模型、推荐模型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模型验证</w:t>
            </w:r>
          </w:p>
        </w:tc>
        <w:tc>
          <w:tcPr>
            <w:tcW w:w="214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准确性测试、公平性检测</w:t>
            </w:r>
          </w:p>
        </w:tc>
        <w:tc>
          <w:tcPr>
            <w:tcW w:w="196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高风险模型上线前验证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模型部署</w:t>
            </w:r>
          </w:p>
        </w:tc>
        <w:tc>
          <w:tcPr>
            <w:tcW w:w="214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灰度发布、A/B测试</w:t>
            </w:r>
          </w:p>
        </w:tc>
        <w:tc>
          <w:tcPr>
            <w:tcW w:w="196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模型迭代更新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模型监控</w:t>
            </w:r>
          </w:p>
        </w:tc>
        <w:tc>
          <w:tcPr>
            <w:tcW w:w="214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漂移检测、性能告警</w:t>
            </w:r>
          </w:p>
        </w:tc>
        <w:tc>
          <w:tcPr>
            <w:tcW w:w="196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持续学习触发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49" w:name="数据层技术方案"/>
      <w:r>
        <w:rPr>
          <w:rFonts w:hint="eastAsia" w:ascii="仿宋_GB2312" w:hAnsi="仿宋_GB2312" w:eastAsia="仿宋_GB2312" w:cs="仿宋_GB2312"/>
          <w:color w:val="auto"/>
        </w:rPr>
        <w:t>5.5 数据层技术方案</w:t>
      </w:r>
      <w:bookmarkEnd w:id="49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数据层为智能体提供实时与历史数据支撑，是增长引擎“实时感知”与风险体系“持续学习”的数据基础，计划使用总行数据湖。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0" w:name="基础设施层技术方案"/>
      <w:r>
        <w:rPr>
          <w:rFonts w:hint="eastAsia" w:ascii="仿宋_GB2312" w:hAnsi="仿宋_GB2312" w:eastAsia="仿宋_GB2312" w:cs="仿宋_GB2312"/>
          <w:color w:val="auto"/>
        </w:rPr>
        <w:t>5.6 基础设施层技术方案</w:t>
      </w:r>
      <w:bookmarkEnd w:id="50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基础设施层为智能体系统提供算力、存储、网络支撑，是实现三大核心要素的物理基础。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1" w:name="算力资源双轨架构"/>
      <w:r>
        <w:rPr>
          <w:rFonts w:hint="eastAsia" w:ascii="仿宋_GB2312" w:hAnsi="仿宋_GB2312" w:eastAsia="仿宋_GB2312" w:cs="仿宋_GB2312"/>
          <w:color w:val="auto"/>
        </w:rPr>
        <w:t>5.6.1 算力资源双轨架构</w:t>
      </w:r>
      <w:bookmarkEnd w:id="51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算力资源约束：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我行在算力资源方面面临以下约束：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监管约束</w:t>
      </w:r>
      <w:r>
        <w:rPr>
          <w:rFonts w:hint="eastAsia" w:ascii="仿宋_GB2312" w:hAnsi="仿宋_GB2312" w:eastAsia="仿宋_GB2312" w:cs="仿宋_GB2312"/>
          <w:color w:val="auto"/>
        </w:rPr>
        <w:t xml:space="preserve">：无法使用公有云，数据必须留在本地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总行资源约束</w:t>
      </w:r>
      <w:r>
        <w:rPr>
          <w:rFonts w:hint="eastAsia" w:ascii="仿宋_GB2312" w:hAnsi="仿宋_GB2312" w:eastAsia="仿宋_GB2312" w:cs="仿宋_GB2312"/>
          <w:color w:val="auto"/>
        </w:rPr>
        <w:t xml:space="preserve">：总行未规划固定资源给境外机构使用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接口约束</w:t>
      </w:r>
      <w:r>
        <w:rPr>
          <w:rFonts w:hint="eastAsia" w:ascii="仿宋_GB2312" w:hAnsi="仿宋_GB2312" w:eastAsia="仿宋_GB2312" w:cs="仿宋_GB2312"/>
          <w:color w:val="auto"/>
        </w:rPr>
        <w:t>：总行不支持分行通过OpenAI兼容接口直接对接大模型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基于以上约束，智能体开发框架需要独立的本地算力支撑，而智能体编排平台可使用总行私有云。因此形成“总行私有云 + 本地算力卡”的双轨架构：</w:t>
      </w:r>
    </w:p>
    <w:p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928235" cy="2690495"/>
            <wp:effectExtent l="0" t="0" r="5715" b="14605"/>
            <wp:docPr id="3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算力资源对比：</w:t>
      </w:r>
    </w:p>
    <w:tbl>
      <w:tblPr>
        <w:tblStyle w:val="2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3480"/>
        <w:gridCol w:w="3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维度</w:t>
            </w:r>
          </w:p>
        </w:tc>
        <w:tc>
          <w:tcPr>
            <w:tcW w:w="196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总行私有云</w:t>
            </w:r>
          </w:p>
        </w:tc>
        <w:tc>
          <w:tcPr>
            <w:tcW w:w="178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本地算力卡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适用构建方式</w:t>
            </w:r>
          </w:p>
        </w:tc>
        <w:tc>
          <w:tcPr>
            <w:tcW w:w="196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智能体编排平台</w:t>
            </w:r>
          </w:p>
        </w:tc>
        <w:tc>
          <w:tcPr>
            <w:tcW w:w="178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智能体开发框架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申请方式</w:t>
            </w:r>
          </w:p>
        </w:tc>
        <w:tc>
          <w:tcPr>
            <w:tcW w:w="196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按需申请、审批后使用</w:t>
            </w:r>
          </w:p>
        </w:tc>
        <w:tc>
          <w:tcPr>
            <w:tcW w:w="178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自行采购、自主部署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运维责任</w:t>
            </w:r>
          </w:p>
        </w:tc>
        <w:tc>
          <w:tcPr>
            <w:tcW w:w="196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总行统一运维</w:t>
            </w:r>
          </w:p>
        </w:tc>
        <w:tc>
          <w:tcPr>
            <w:tcW w:w="178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本地团队运维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资源独占性</w:t>
            </w:r>
          </w:p>
        </w:tc>
        <w:tc>
          <w:tcPr>
            <w:tcW w:w="196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共享资源池</w:t>
            </w:r>
          </w:p>
        </w:tc>
        <w:tc>
          <w:tcPr>
            <w:tcW w:w="178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专属资源池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响应延迟</w:t>
            </w:r>
          </w:p>
        </w:tc>
        <w:tc>
          <w:tcPr>
            <w:tcW w:w="196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依赖专线带宽</w:t>
            </w:r>
          </w:p>
        </w:tc>
        <w:tc>
          <w:tcPr>
            <w:tcW w:w="178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本地网络、延迟最低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数据位置</w:t>
            </w:r>
          </w:p>
        </w:tc>
        <w:tc>
          <w:tcPr>
            <w:tcW w:w="196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总行数据中心</w:t>
            </w:r>
          </w:p>
        </w:tc>
        <w:tc>
          <w:tcPr>
            <w:tcW w:w="178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本地机房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9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适用场景</w:t>
            </w:r>
          </w:p>
        </w:tc>
        <w:tc>
          <w:tcPr>
            <w:tcW w:w="196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标准化AI应用</w:t>
            </w:r>
          </w:p>
        </w:tc>
        <w:tc>
          <w:tcPr>
            <w:tcW w:w="178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核心业务系统集成</w:t>
            </w:r>
          </w:p>
        </w:tc>
      </w:tr>
    </w:tbl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2" w:name="总行私有云资源"/>
      <w:r>
        <w:rPr>
          <w:rFonts w:hint="eastAsia" w:ascii="仿宋_GB2312" w:hAnsi="仿宋_GB2312" w:eastAsia="仿宋_GB2312" w:cs="仿宋_GB2312"/>
          <w:color w:val="auto"/>
        </w:rPr>
        <w:t>5.6.2 总行私有云资源</w:t>
      </w:r>
      <w:bookmarkEnd w:id="52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总行私有云为智能体编排平台提供算力支撑，适合标准化AI应用。</w:t>
      </w:r>
    </w:p>
    <w:tbl>
      <w:tblPr>
        <w:tblStyle w:val="2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3498"/>
        <w:gridCol w:w="31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资源类型</w:t>
            </w:r>
          </w:p>
        </w:tc>
        <w:tc>
          <w:tcPr>
            <w:tcW w:w="197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说明</w:t>
            </w:r>
          </w:p>
        </w:tc>
        <w:tc>
          <w:tcPr>
            <w:tcW w:w="177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使用方式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GPU推理资源</w:t>
            </w:r>
          </w:p>
        </w:tc>
        <w:tc>
          <w:tcPr>
            <w:tcW w:w="197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LLM推理、向量化计算</w:t>
            </w:r>
          </w:p>
        </w:tc>
        <w:tc>
          <w:tcPr>
            <w:tcW w:w="177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按需申请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存储资源</w:t>
            </w:r>
          </w:p>
        </w:tc>
        <w:tc>
          <w:tcPr>
            <w:tcW w:w="197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模型文件、知识库</w:t>
            </w:r>
          </w:p>
        </w:tc>
        <w:tc>
          <w:tcPr>
            <w:tcW w:w="177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按容量申请</w:t>
            </w: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接入方式：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通过专线连接总行私有云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编排平台配置总行API端点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无需自建算力基础设施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3" w:name="本地算力卡资源"/>
      <w:r>
        <w:rPr>
          <w:rFonts w:hint="eastAsia" w:ascii="仿宋_GB2312" w:hAnsi="仿宋_GB2312" w:eastAsia="仿宋_GB2312" w:cs="仿宋_GB2312"/>
          <w:color w:val="auto"/>
        </w:rPr>
        <w:t>5.6.3 本地算力卡资源</w:t>
      </w:r>
      <w:bookmarkEnd w:id="5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本地算力卡为智能体开发框架提供专属算力支撑，适合核心业务系统集成。</w:t>
      </w:r>
    </w:p>
    <w:tbl>
      <w:tblPr>
        <w:tblStyle w:val="2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3221"/>
        <w:gridCol w:w="41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资源类型</w:t>
            </w:r>
          </w:p>
        </w:tc>
        <w:tc>
          <w:tcPr>
            <w:tcW w:w="181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说明</w:t>
            </w:r>
          </w:p>
        </w:tc>
        <w:tc>
          <w:tcPr>
            <w:tcW w:w="236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GPU集群</w:t>
            </w:r>
          </w:p>
        </w:tc>
        <w:tc>
          <w:tcPr>
            <w:tcW w:w="181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LLM推理、模型训练</w:t>
            </w:r>
          </w:p>
        </w:tc>
        <w:tc>
          <w:tcPr>
            <w:tcW w:w="236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如NVIDIA H200/H20 + Docker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本地存储</w:t>
            </w:r>
          </w:p>
        </w:tc>
        <w:tc>
          <w:tcPr>
            <w:tcW w:w="181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模型文件、向量数据库</w:t>
            </w:r>
          </w:p>
        </w:tc>
        <w:tc>
          <w:tcPr>
            <w:tcW w:w="236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如MinIO + Milvus</w:t>
            </w:r>
          </w:p>
        </w:tc>
      </w:tr>
    </w:tbl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4" w:name="存储资源"/>
      <w:r>
        <w:rPr>
          <w:rFonts w:hint="eastAsia" w:ascii="仿宋_GB2312" w:hAnsi="仿宋_GB2312" w:eastAsia="仿宋_GB2312" w:cs="仿宋_GB2312"/>
          <w:color w:val="auto"/>
        </w:rPr>
        <w:t>5.6.4 存储资源</w:t>
      </w:r>
      <w:bookmarkEnd w:id="54"/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2937"/>
        <w:gridCol w:w="1925"/>
        <w:gridCol w:w="23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存储类型</w:t>
            </w:r>
          </w:p>
        </w:tc>
        <w:tc>
          <w:tcPr>
            <w:tcW w:w="165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用途</w:t>
            </w:r>
          </w:p>
        </w:tc>
        <w:tc>
          <w:tcPr>
            <w:tcW w:w="108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部署位置</w:t>
            </w:r>
          </w:p>
        </w:tc>
        <w:tc>
          <w:tcPr>
            <w:tcW w:w="135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对象存储</w:t>
            </w:r>
          </w:p>
        </w:tc>
        <w:tc>
          <w:tcPr>
            <w:tcW w:w="165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模型文件、文档、日志</w:t>
            </w:r>
          </w:p>
        </w:tc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如MinIO</w:t>
            </w:r>
          </w:p>
        </w:tc>
        <w:tc>
          <w:tcPr>
            <w:tcW w:w="135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低成本、高可靠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向量数据库</w:t>
            </w:r>
          </w:p>
        </w:tc>
        <w:tc>
          <w:tcPr>
            <w:tcW w:w="165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语义检索、RAG</w:t>
            </w:r>
          </w:p>
        </w:tc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如Milvus</w:t>
            </w:r>
          </w:p>
        </w:tc>
        <w:tc>
          <w:tcPr>
            <w:tcW w:w="135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高性能向量检索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图数据库</w:t>
            </w:r>
          </w:p>
        </w:tc>
        <w:tc>
          <w:tcPr>
            <w:tcW w:w="165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关系分析、知识图谱</w:t>
            </w:r>
          </w:p>
        </w:tc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如Neo4j</w:t>
            </w:r>
          </w:p>
        </w:tc>
        <w:tc>
          <w:tcPr>
            <w:tcW w:w="135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图遍历、路径查询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关系数据库</w:t>
            </w:r>
          </w:p>
        </w:tc>
        <w:tc>
          <w:tcPr>
            <w:tcW w:w="165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业务数据、配置信息</w:t>
            </w:r>
          </w:p>
        </w:tc>
        <w:tc>
          <w:tcPr>
            <w:tcW w:w="108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如PostgreSQL</w:t>
            </w:r>
          </w:p>
        </w:tc>
        <w:tc>
          <w:tcPr>
            <w:tcW w:w="135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ACID事务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5" w:name="关键技术决策"/>
      <w:r>
        <w:rPr>
          <w:rFonts w:hint="eastAsia" w:ascii="仿宋_GB2312" w:hAnsi="仿宋_GB2312" w:eastAsia="仿宋_GB2312" w:cs="仿宋_GB2312"/>
          <w:color w:val="auto"/>
        </w:rPr>
        <w:t>5.7 关键技术决策</w:t>
      </w:r>
      <w:bookmarkEnd w:id="55"/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6" w:name="大模型选型"/>
      <w:r>
        <w:rPr>
          <w:rFonts w:hint="eastAsia" w:ascii="仿宋_GB2312" w:hAnsi="仿宋_GB2312" w:eastAsia="仿宋_GB2312" w:cs="仿宋_GB2312"/>
          <w:color w:val="auto"/>
        </w:rPr>
        <w:t>5.7.1 大模型选型</w:t>
      </w:r>
      <w:bookmarkEnd w:id="5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由于监管要求，我行无法使用公有云模型服务，必须采用本地部署方案。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4084"/>
        <w:gridCol w:w="3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选型维度</w:t>
            </w:r>
          </w:p>
        </w:tc>
        <w:tc>
          <w:tcPr>
            <w:tcW w:w="230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本地部署要求</w:t>
            </w:r>
          </w:p>
        </w:tc>
        <w:tc>
          <w:tcPr>
            <w:tcW w:w="181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推荐方案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数据安全</w:t>
            </w:r>
          </w:p>
        </w:tc>
        <w:tc>
          <w:tcPr>
            <w:tcW w:w="230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数据不出域，满足金融合规</w:t>
            </w:r>
          </w:p>
        </w:tc>
        <w:tc>
          <w:tcPr>
            <w:tcW w:w="181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本地机房部署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响应延迟</w:t>
            </w:r>
          </w:p>
        </w:tc>
        <w:tc>
          <w:tcPr>
            <w:tcW w:w="230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内网推理，延迟可控</w:t>
            </w:r>
          </w:p>
        </w:tc>
        <w:tc>
          <w:tcPr>
            <w:tcW w:w="181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本地算力卡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成本模式</w:t>
            </w:r>
          </w:p>
        </w:tc>
        <w:tc>
          <w:tcPr>
            <w:tcW w:w="230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前期投入大，长期成本可控</w:t>
            </w:r>
          </w:p>
        </w:tc>
        <w:tc>
          <w:tcPr>
            <w:tcW w:w="181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按场景规划算力规模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模型能力</w:t>
            </w:r>
          </w:p>
        </w:tc>
        <w:tc>
          <w:tcPr>
            <w:tcW w:w="230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开源模型，能力持续提升</w:t>
            </w:r>
          </w:p>
        </w:tc>
        <w:tc>
          <w:tcPr>
            <w:tcW w:w="181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DeepSeek等国产模型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推荐方案：国产大模型本地部署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推荐模型</w:t>
      </w:r>
      <w:r>
        <w:rPr>
          <w:rFonts w:hint="eastAsia" w:ascii="仿宋_GB2312" w:hAnsi="仿宋_GB2312" w:eastAsia="仿宋_GB2312" w:cs="仿宋_GB2312"/>
          <w:color w:val="auto"/>
        </w:rPr>
        <w:t xml:space="preserve">：DeepSeek系列（开源免费、性能顶尖、金融行业案例丰富）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</w:t>
      </w:r>
      <w:r>
        <w:rPr>
          <w:rFonts w:hint="eastAsia" w:ascii="仿宋_GB2312" w:hAnsi="仿宋_GB2312" w:eastAsia="仿宋_GB2312" w:cs="仿宋_GB2312"/>
          <w:b/>
          <w:color w:val="auto"/>
        </w:rPr>
        <w:t>备选模型</w:t>
      </w:r>
      <w:r>
        <w:rPr>
          <w:rFonts w:hint="eastAsia" w:ascii="仿宋_GB2312" w:hAnsi="仿宋_GB2312" w:eastAsia="仿宋_GB2312" w:cs="仿宋_GB2312"/>
          <w:color w:val="auto"/>
        </w:rPr>
        <w:t>：Qwen系列（尺寸齐全、中文能力强）</w:t>
      </w:r>
    </w:p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7" w:name="智能体开发框架选型"/>
      <w:r>
        <w:rPr>
          <w:rFonts w:hint="eastAsia" w:ascii="仿宋_GB2312" w:hAnsi="仿宋_GB2312" w:eastAsia="仿宋_GB2312" w:cs="仿宋_GB2312"/>
          <w:color w:val="auto"/>
        </w:rPr>
        <w:t>5.7.2 智能体开发框架选型</w:t>
      </w:r>
      <w:bookmarkEnd w:id="57"/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3576"/>
        <w:gridCol w:w="2616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构建方式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核心优势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适用场景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算力资源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智能体编排平台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低代码、RAG成熟、API开放、可视化编排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标准化场景、快速交付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总行私有云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智能体开发框架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企业级、技能驱动、Java支持、深度集成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复杂业务逻辑、核心系统集成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本地算力卡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双轨构建策略：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4811"/>
        <w:gridCol w:w="1449"/>
        <w:gridCol w:w="12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构建轨道</w:t>
            </w:r>
          </w:p>
        </w:tc>
        <w:tc>
          <w:tcPr>
            <w:tcW w:w="2716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适用场景</w:t>
            </w:r>
          </w:p>
        </w:tc>
        <w:tc>
          <w:tcPr>
            <w:tcW w:w="81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算力资源</w:t>
            </w:r>
          </w:p>
        </w:tc>
        <w:tc>
          <w:tcPr>
            <w:tcW w:w="72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技术门槛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低代码编排</w:t>
            </w:r>
          </w:p>
        </w:tc>
        <w:tc>
          <w:tcPr>
            <w:tcW w:w="271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标准化知识问答、快速原型验证、业务人员自主构建</w:t>
            </w:r>
          </w:p>
        </w:tc>
        <w:tc>
          <w:tcPr>
            <w:tcW w:w="81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总行私有云</w:t>
            </w:r>
          </w:p>
        </w:tc>
        <w:tc>
          <w:tcPr>
            <w:tcW w:w="72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代码开发</w:t>
            </w:r>
          </w:p>
        </w:tc>
        <w:tc>
          <w:tcPr>
            <w:tcW w:w="2716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复杂业务逻辑、深度系统集成、多智能体协同</w:t>
            </w:r>
          </w:p>
        </w:tc>
        <w:tc>
          <w:tcPr>
            <w:tcW w:w="81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本地算力卡</w:t>
            </w:r>
          </w:p>
        </w:tc>
        <w:tc>
          <w:tcPr>
            <w:tcW w:w="72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中高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8" w:name="落地挑战与应对策略"/>
      <w:r>
        <w:rPr>
          <w:rFonts w:hint="eastAsia" w:ascii="仿宋_GB2312" w:hAnsi="仿宋_GB2312" w:eastAsia="仿宋_GB2312" w:cs="仿宋_GB2312"/>
          <w:color w:val="auto"/>
        </w:rPr>
        <w:t>5.8 落地挑战与应对策略</w:t>
      </w:r>
      <w:bookmarkEnd w:id="58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技术方案的设计完整性不等于落地执行的顺利性。以下是银行AI落地过程中可能遇到的实际挑战与应对策略。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59" w:name="本地算力采购与运维成本"/>
      <w:r>
        <w:rPr>
          <w:rFonts w:hint="eastAsia" w:ascii="仿宋_GB2312" w:hAnsi="仿宋_GB2312" w:eastAsia="仿宋_GB2312" w:cs="仿宋_GB2312"/>
          <w:color w:val="auto"/>
        </w:rPr>
        <w:t>5.8.1 本地算力采购与运维成本</w:t>
      </w:r>
      <w:bookmarkEnd w:id="59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挑战：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智能体开发框架需依托本地算力卡部署GPU集群（如NVIDIA H200/H20），而境外机构没有总行固定资源规划，需自行采购运维。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应对策略：</w:t>
      </w:r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104"/>
        <w:gridCol w:w="6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阶段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策略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试点期（1-6个月）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小规模验证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采购少量高性价比算力卡（如H200/H20节点），优先验证DeepSeek等国产模型在量化后的推理性能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扩展期（6-12个月）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ROI驱动扩容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基于试点场景的ROI数据，向管理层申请追加预算；优先追加已验证价值的场景所需算力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稳定期（12个月后）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成本优化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探索模型蒸馏、动态批处理、推理加速等技术，提升算力利用率</w:t>
            </w: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成本控制要点：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优先选用对算力优化友好的国产模型（如DeepSeek），降低硬件门槛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建立算力使用监控机制，避免资源闲置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考虑分时调度策略，提升GPU利用率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0" w:name="确定性流程与智能编排的边界"/>
      <w:r>
        <w:rPr>
          <w:rFonts w:hint="eastAsia" w:ascii="仿宋_GB2312" w:hAnsi="仿宋_GB2312" w:eastAsia="仿宋_GB2312" w:cs="仿宋_GB2312"/>
          <w:color w:val="auto"/>
        </w:rPr>
        <w:t>5.8.2 确定性流程与智能编排的边界</w:t>
      </w:r>
      <w:bookmarkEnd w:id="60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挑战：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银行本质上是排斥非确定性的。如果Supervisor Agent在动态分解任务时发生微小偏差，可能导致交易或审批链路走错，造成合规风险。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应对策略：</w:t>
      </w:r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544"/>
        <w:gridCol w:w="56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阶段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编排策略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大模型角色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第一阶段（1-2年）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严格确定性流程编排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大模型仅作为“节点内的文本处理工具”或“初审意见生成器”，不参与流程路由决策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第二阶段（2年后）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逐步引入智能决策点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在已充分验证的场景中，允许大模型参与特定决策点，但需人工确认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边界划分原则：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流程路由：由Spring Cloud硬编码调用链控制，确保可审计、可追溯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节点处理：大模型可参与文本理解、信息提取、意见生成等非决策性任务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关键决策：必须由规则引擎或人工审批，大模型仅提供参考意见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1" w:name="六治理架构层确保ai安全可靠"/>
      <w:r>
        <w:rPr>
          <w:rFonts w:hint="eastAsia" w:ascii="仿宋_GB2312" w:hAnsi="仿宋_GB2312" w:eastAsia="仿宋_GB2312" w:cs="仿宋_GB2312"/>
          <w:color w:val="auto"/>
        </w:rPr>
        <w:t>六、治理架构层：确保AI安全可靠</w:t>
      </w:r>
      <w:bookmarkEnd w:id="61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治理架构层建立覆盖战略、执行、运营三个层次的治理体系，确保AI系统安全、合规、可控。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2" w:name="三层治理体系"/>
      <w:r>
        <w:rPr>
          <w:rFonts w:hint="eastAsia" w:ascii="仿宋_GB2312" w:hAnsi="仿宋_GB2312" w:eastAsia="仿宋_GB2312" w:cs="仿宋_GB2312"/>
          <w:color w:val="auto"/>
        </w:rPr>
        <w:t>6.1 三层治理体系</w:t>
      </w:r>
      <w:bookmarkEnd w:id="62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治理体系分为战略治理层、执行治理层、运营治理层，层层递进、权责清晰。</w:t>
      </w:r>
    </w:p>
    <w:p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bookmarkStart w:id="63" w:name="战略治理层"/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5045710" cy="2754630"/>
            <wp:effectExtent l="0" t="0" r="2540" b="7620"/>
            <wp:docPr id="4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6.1.1 战略治理层</w:t>
      </w:r>
      <w:bookmarkEnd w:id="6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战略治理层由AI治理委员会主导，CEO担任主席，负责顶层设计与重大决策。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核心职责：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审批AI战略规划与年度计划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批准高风险AI应用的上线决策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制定AI伦理原则与风险偏好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协调跨部门资源与利益冲突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4" w:name="执行治理层"/>
      <w:r>
        <w:rPr>
          <w:rFonts w:hint="eastAsia" w:ascii="仿宋_GB2312" w:hAnsi="仿宋_GB2312" w:eastAsia="仿宋_GB2312" w:cs="仿宋_GB2312"/>
          <w:color w:val="auto"/>
        </w:rPr>
        <w:t>6.1.2 执行治理层</w:t>
      </w:r>
      <w:bookmarkEnd w:id="64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执行治理层由IT部门与风险管理部协同承担，分工明确、各司其职。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IT部门职责：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制定AI开发、测试、部署技术标准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建设与维护AI基础设施与工具链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培养AI技术人才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风险管理部职责：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实施模型风险管理（MRM）框架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评审高风险模型的上线申请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制定AI合规政策与伦理准则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5" w:name="运营治理层"/>
      <w:r>
        <w:rPr>
          <w:rFonts w:hint="eastAsia" w:ascii="仿宋_GB2312" w:hAnsi="仿宋_GB2312" w:eastAsia="仿宋_GB2312" w:cs="仿宋_GB2312"/>
          <w:color w:val="auto"/>
        </w:rPr>
        <w:t>6.1.3 运营治理层</w:t>
      </w:r>
      <w:bookmarkEnd w:id="65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运营治理层由嵌入式治理团队执行，负责日常监控、合规检查与应急响应。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核心职责：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持续监控模型性能与风险指标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执行合规检查与自动化审计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处理AI系统异常与应急响应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收集反馈并推动持续改进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6" w:name="模型风险管理框架"/>
      <w:r>
        <w:rPr>
          <w:rFonts w:hint="eastAsia" w:ascii="仿宋_GB2312" w:hAnsi="仿宋_GB2312" w:eastAsia="仿宋_GB2312" w:cs="仿宋_GB2312"/>
          <w:color w:val="auto"/>
        </w:rPr>
        <w:t>6.2 模型风险管理框架</w:t>
      </w:r>
      <w:bookmarkEnd w:id="6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依据香港金融管理局(HKMA)《生成式人工智能客户保障指引》(2024年8月)及监管政策手册，建立覆盖模型全生命周期的风险管理框架。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7" w:name="模型生命周期管理"/>
      <w:r>
        <w:rPr>
          <w:rFonts w:hint="eastAsia" w:ascii="仿宋_GB2312" w:hAnsi="仿宋_GB2312" w:eastAsia="仿宋_GB2312" w:cs="仿宋_GB2312"/>
          <w:color w:val="auto"/>
        </w:rPr>
        <w:t>6.2.1 模型生命周期管理</w:t>
      </w:r>
      <w:bookmarkEnd w:id="67"/>
    </w:p>
    <w:p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bookmarkStart w:id="68" w:name="hkma监管核心要求"/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577080" cy="2498725"/>
            <wp:effectExtent l="0" t="0" r="13970" b="15875"/>
            <wp:docPr id="4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6.2.2 HKMA监管核心要求</w:t>
      </w:r>
      <w:bookmarkEnd w:id="68"/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3851"/>
        <w:gridCol w:w="3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监管要求</w:t>
            </w:r>
          </w:p>
        </w:tc>
        <w:tc>
          <w:tcPr>
            <w:tcW w:w="217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具体内容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实施要点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董事会问责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AI治理框架需董事会审批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定期向董事会汇报AI风险状况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预部署风险评估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评估幻觉、数据投毒、提示注入等风险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建立风险评估清单与测试流程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人工监督机制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客户面向应用需人工覆核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设立人机协同决策流程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模型透明度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关键决策需可解释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采用可解释AI技术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数据治理</w:t>
            </w:r>
          </w:p>
        </w:tc>
        <w:tc>
          <w:tcPr>
            <w:tcW w:w="217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数据质量、隐私保护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建立数据血缘与访问控制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69" w:name="合规与伦理框架"/>
      <w:r>
        <w:rPr>
          <w:rFonts w:hint="eastAsia" w:ascii="仿宋_GB2312" w:hAnsi="仿宋_GB2312" w:eastAsia="仿宋_GB2312" w:cs="仿宋_GB2312"/>
          <w:color w:val="auto"/>
        </w:rPr>
        <w:t>6.3 合规与伦理框架</w:t>
      </w:r>
      <w:bookmarkEnd w:id="69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合规与伦理框架确保AI系统符合监管要求与伦理原则，建立公平、透明、负责任的AI应用。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0" w:name="合规原则"/>
      <w:r>
        <w:rPr>
          <w:rFonts w:hint="eastAsia" w:ascii="仿宋_GB2312" w:hAnsi="仿宋_GB2312" w:eastAsia="仿宋_GB2312" w:cs="仿宋_GB2312"/>
          <w:color w:val="auto"/>
        </w:rPr>
        <w:t>6.3.1 合规原则</w:t>
      </w:r>
      <w:bookmarkEnd w:id="70"/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1784"/>
        <w:gridCol w:w="4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原则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含义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实践要求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公平性(Fairness)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避免歧视与偏见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定期审计模型决策，确保不构成不当歧视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问责制(Accountability)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明确的责任归属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董事会承担最终责任，建立责任追溯机制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透明度(Transparency)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决策过程可解释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向客户和监管机构解释AI决策依据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稳健性(Robustness)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系统稳定可靠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压力测试、安全测试、持续监控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隐私保护(Privacy)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数据安全与隐私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遵守PDPO，建立数据治理框架</w:t>
            </w:r>
          </w:p>
        </w:tc>
      </w:tr>
    </w:tbl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1" w:name="伦理审查机制"/>
      <w:r>
        <w:rPr>
          <w:rFonts w:hint="eastAsia" w:ascii="仿宋_GB2312" w:hAnsi="仿宋_GB2312" w:eastAsia="仿宋_GB2312" w:cs="仿宋_GB2312"/>
          <w:color w:val="auto"/>
        </w:rPr>
        <w:t>6.3.2 伦理审查机制</w:t>
      </w:r>
      <w:bookmarkEnd w:id="71"/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4831"/>
        <w:gridCol w:w="20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审查环节</w:t>
            </w:r>
          </w:p>
        </w:tc>
        <w:tc>
          <w:tcPr>
            <w:tcW w:w="272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审查内容</w:t>
            </w:r>
          </w:p>
        </w:tc>
        <w:tc>
          <w:tcPr>
            <w:tcW w:w="115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审查主体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用例准入审查</w:t>
            </w:r>
          </w:p>
        </w:tc>
        <w:tc>
          <w:tcPr>
            <w:tcW w:w="272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业务合理性、社会影响、伦理风险</w:t>
            </w:r>
          </w:p>
        </w:tc>
        <w:tc>
          <w:tcPr>
            <w:tcW w:w="115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AI治理委员会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模型开发审查</w:t>
            </w:r>
          </w:p>
        </w:tc>
        <w:tc>
          <w:tcPr>
            <w:tcW w:w="272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数据来源、偏见检测、公平性测试</w:t>
            </w:r>
          </w:p>
        </w:tc>
        <w:tc>
          <w:tcPr>
            <w:tcW w:w="115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IT部门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上线前审查</w:t>
            </w:r>
          </w:p>
        </w:tc>
        <w:tc>
          <w:tcPr>
            <w:tcW w:w="272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风险评估、人工监督机制、应急预案</w:t>
            </w:r>
          </w:p>
        </w:tc>
        <w:tc>
          <w:tcPr>
            <w:tcW w:w="115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风险管理部门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持续监控审查</w:t>
            </w:r>
          </w:p>
        </w:tc>
        <w:tc>
          <w:tcPr>
            <w:tcW w:w="272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性能漂移、公平性监测、用户反馈</w:t>
            </w:r>
          </w:p>
        </w:tc>
        <w:tc>
          <w:tcPr>
            <w:tcW w:w="115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运营治理团队</w:t>
            </w:r>
          </w:p>
        </w:tc>
      </w:tr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2" w:name="七组织与人才架构"/>
      <w:r>
        <w:rPr>
          <w:rFonts w:hint="eastAsia" w:ascii="仿宋_GB2312" w:hAnsi="仿宋_GB2312" w:eastAsia="仿宋_GB2312" w:cs="仿宋_GB2312"/>
          <w:color w:val="auto"/>
        </w:rPr>
        <w:t>七、组织与人才架构</w:t>
      </w:r>
      <w:bookmarkEnd w:id="72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组织与人才架构明确AI转型所需的组织模式、角色配置与文化变革，确保战略落地有“人”可依。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3" w:name="关键成功因素"/>
      <w:r>
        <w:rPr>
          <w:rFonts w:hint="eastAsia" w:ascii="仿宋_GB2312" w:hAnsi="仿宋_GB2312" w:eastAsia="仿宋_GB2312" w:cs="仿宋_GB2312"/>
          <w:color w:val="auto"/>
        </w:rPr>
        <w:t>7.1 关键成功因素</w:t>
      </w:r>
      <w:bookmarkEnd w:id="73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AI转型成功需要组织、价值、治理、人才四个维度的协同保障：</w:t>
      </w:r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2046"/>
        <w:gridCol w:w="54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成功因素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核心要求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具体实践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CEO亲自驱动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高层承诺，消除跨部门壁垒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成立AI治理委员会，CEO担任主席；建立跨部门协作机制；统一资源调配权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价值导向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每个用例有明确的P&amp;L目标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用例优先级以ROI衡量；建立价值追踪仪表盘；定期评估投入产出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治理先行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从Day 1设计风险控制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安全网关同步建设；合规审查嵌入流程；建立熔断与回滚机制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复合型人才培养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业务人员深度参与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业务+技术融合团队；业务人员参与模型训练；建立AI大使网络（各部门AI推广者）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4" w:name="目标组织模式"/>
      <w:r>
        <w:rPr>
          <w:rFonts w:hint="eastAsia" w:ascii="仿宋_GB2312" w:hAnsi="仿宋_GB2312" w:eastAsia="仿宋_GB2312" w:cs="仿宋_GB2312"/>
          <w:color w:val="auto"/>
        </w:rPr>
        <w:t>7.2 目标组织模式</w:t>
      </w:r>
      <w:bookmarkEnd w:id="74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AI转型推动组织从传统IT部门模式向AI赋能组织模式演进，形成“业务部门+IT部门”协同的两层结构。</w:t>
      </w:r>
    </w:p>
    <w:p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ascii="仿宋_GB2312" w:hAnsi="仿宋_GB2312" w:eastAsia="仿宋_GB2312" w:cs="仿宋_GB2312"/>
          <w:color w:val="auto"/>
        </w:rPr>
      </w:pPr>
      <w:bookmarkStart w:id="75" w:name="业务部门"/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262755" cy="2326640"/>
            <wp:effectExtent l="0" t="0" r="4445" b="16510"/>
            <wp:docPr id="4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7.2.1 业务部门</w:t>
      </w:r>
      <w:bookmarkEnd w:id="75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业务部门是AI价值的最终实现者，需要配置AI产品负责人、领域专家与嵌入式AI团队，主导AI用例的需求定义、价值验证与场景落地。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关键能力要求：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AI产品负责人：理解AI能力边界，能够定义可落地的用例需求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领域专家：深度业务知识，能够验证AI输出的业务合理性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嵌入式AI团队：将通用模型适配到具体业务场景，设计端到端解决方案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嵌入式AI团队的矩阵式管理建议：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嵌入式AI团队在传统银行组织中易遭遇“业务部门觉得太技术、IT部门觉得不规范”的边缘化困境。建议采用矩阵式管理明确权责：</w:t>
      </w:r>
    </w:p>
    <w:p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IT部门（纵向）</w:t>
      </w:r>
      <w:r>
        <w:rPr>
          <w:rFonts w:hint="eastAsia" w:ascii="仿宋_GB2312" w:hAnsi="仿宋_GB2312" w:eastAsia="仿宋_GB2312" w:cs="仿宋_GB2312"/>
          <w:color w:val="auto"/>
        </w:rPr>
        <w:t>：主导AI基础设施、MLOps安全网关、技术标准制定，考核权重50%</w:t>
      </w:r>
    </w:p>
    <w:p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业务部门（横向）</w:t>
      </w:r>
      <w:r>
        <w:rPr>
          <w:rFonts w:hint="eastAsia" w:ascii="仿宋_GB2312" w:hAnsi="仿宋_GB2312" w:eastAsia="仿宋_GB2312" w:cs="仿宋_GB2312"/>
          <w:color w:val="auto"/>
        </w:rPr>
        <w:t>：主导用例需求、业务场景适配、P&amp;L目标达成，考核权重50%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通过“业务P&amp;L挂钩考核”驱动技术真正服务于业务价值，避免嵌入式团队边缘化。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6" w:name="it部门"/>
      <w:r>
        <w:rPr>
          <w:rFonts w:hint="eastAsia" w:ascii="仿宋_GB2312" w:hAnsi="仿宋_GB2312" w:eastAsia="仿宋_GB2312" w:cs="仿宋_GB2312"/>
          <w:color w:val="auto"/>
        </w:rPr>
        <w:t>7.2.2 IT部门</w:t>
      </w:r>
      <w:bookmarkEnd w:id="76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IT部门是AI能力的技术底座，负责平台建设、标准制定、技术支持与运维保障。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关键能力要求：</w:t>
      </w:r>
      <w:r>
        <w:rPr>
          <w:rFonts w:hint="eastAsia" w:ascii="仿宋_GB2312" w:hAnsi="仿宋_GB2312" w:eastAsia="仿宋_GB2312" w:cs="仿宋_GB2312"/>
          <w:color w:val="auto"/>
        </w:rPr>
        <w:t xml:space="preserve">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平台工程：构建与维护AI基础设施与工具链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 xml:space="preserve">- 数据科学：模型研发、特征工程、算法优化 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- MLOps专家：模型部署、监控、运维自动化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7" w:name="关键角色与能力"/>
      <w:r>
        <w:rPr>
          <w:rFonts w:hint="eastAsia" w:ascii="仿宋_GB2312" w:hAnsi="仿宋_GB2312" w:eastAsia="仿宋_GB2312" w:cs="仿宋_GB2312"/>
          <w:color w:val="auto"/>
        </w:rPr>
        <w:t>7.3 关键角色与能力</w:t>
      </w:r>
      <w:bookmarkEnd w:id="77"/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8" w:name="核心角色配置"/>
      <w:r>
        <w:rPr>
          <w:rFonts w:hint="eastAsia" w:ascii="仿宋_GB2312" w:hAnsi="仿宋_GB2312" w:eastAsia="仿宋_GB2312" w:cs="仿宋_GB2312"/>
          <w:color w:val="auto"/>
        </w:rPr>
        <w:t>7.3.1 核心角色配置</w:t>
      </w:r>
      <w:bookmarkEnd w:id="78"/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826"/>
        <w:gridCol w:w="3368"/>
        <w:gridCol w:w="2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角色类型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占比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核心职责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关键能力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AI产品负责人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40-50%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定义用例需求、验证业务价值、推动落地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业务理解、AI认知、项目管理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数据科学家/ML工程师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30-40%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模型开发、特征工程、性能优化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机器学习、编程能力、数据处理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AI治理与合规专家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10-15%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风险评估、合规审查、伦理监督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监管知识、风险管理、审计能力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平台工程与运维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10-15%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基础设施、模型部署、系统运维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云原生、容器化、自动化运维</w:t>
            </w:r>
          </w:p>
        </w:tc>
      </w:tr>
    </w:tbl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79" w:name="能力发展路径"/>
      <w:r>
        <w:rPr>
          <w:rFonts w:hint="eastAsia" w:ascii="仿宋_GB2312" w:hAnsi="仿宋_GB2312" w:eastAsia="仿宋_GB2312" w:cs="仿宋_GB2312"/>
          <w:color w:val="auto"/>
        </w:rPr>
        <w:t>7.3.2 能力发展路径</w:t>
      </w:r>
      <w:bookmarkEnd w:id="79"/>
    </w:p>
    <w:p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inline distT="0" distB="0" distL="114300" distR="114300">
            <wp:extent cx="4467225" cy="2438400"/>
            <wp:effectExtent l="0" t="0" r="9525" b="0"/>
            <wp:docPr id="3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各阶段培养重点：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1582"/>
        <w:gridCol w:w="5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阶段</w:t>
            </w:r>
          </w:p>
        </w:tc>
        <w:tc>
          <w:tcPr>
            <w:tcW w:w="893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目标人群</w:t>
            </w:r>
          </w:p>
        </w:tc>
        <w:tc>
          <w:tcPr>
            <w:tcW w:w="293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培养内容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全员AI素养</w:t>
            </w:r>
          </w:p>
        </w:tc>
        <w:tc>
          <w:tcPr>
            <w:tcW w:w="89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全体员工</w:t>
            </w:r>
          </w:p>
        </w:tc>
        <w:tc>
          <w:tcPr>
            <w:tcW w:w="29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AI基础知识、风险意识、工具使用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专业AI技能</w:t>
            </w:r>
          </w:p>
        </w:tc>
        <w:tc>
          <w:tcPr>
            <w:tcW w:w="89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技术团队</w:t>
            </w:r>
          </w:p>
        </w:tc>
        <w:tc>
          <w:tcPr>
            <w:tcW w:w="29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模型开发、特征工程、MLOps实践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领导AI转型</w:t>
            </w:r>
          </w:p>
        </w:tc>
        <w:tc>
          <w:tcPr>
            <w:tcW w:w="893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管理层</w:t>
            </w:r>
          </w:p>
        </w:tc>
        <w:tc>
          <w:tcPr>
            <w:tcW w:w="293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战略规划、变革管理、生态构建</w:t>
            </w:r>
          </w:p>
        </w:tc>
      </w:tr>
    </w:tbl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0" w:name="文化变革"/>
      <w:r>
        <w:rPr>
          <w:rFonts w:hint="eastAsia" w:ascii="仿宋_GB2312" w:hAnsi="仿宋_GB2312" w:eastAsia="仿宋_GB2312" w:cs="仿宋_GB2312"/>
          <w:color w:val="auto"/>
        </w:rPr>
        <w:t>7.4 文化变革</w:t>
      </w:r>
      <w:bookmarkEnd w:id="80"/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AI转型不仅是技术变革，更是组织文化的深刻转型。需要从“恐惧与忽视”走向“创新与责任”。</w:t>
      </w:r>
    </w:p>
    <w:p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1" w:name="文化变革方向"/>
      <w:r>
        <w:rPr>
          <w:rFonts w:hint="eastAsia" w:ascii="仿宋_GB2312" w:hAnsi="仿宋_GB2312" w:eastAsia="仿宋_GB2312" w:cs="仿宋_GB2312"/>
          <w:color w:val="auto"/>
        </w:rPr>
        <w:t>7.4.1 文化变革方向</w:t>
      </w:r>
      <w:bookmarkEnd w:id="81"/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2143"/>
        <w:gridCol w:w="53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传统文化</w:t>
            </w:r>
          </w:p>
        </w:tc>
        <w:tc>
          <w:tcPr>
            <w:tcW w:w="121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目标文化</w:t>
            </w:r>
          </w:p>
        </w:tc>
        <w:tc>
          <w:tcPr>
            <w:tcW w:w="3038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变革措施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恐惧AI</w:t>
            </w:r>
          </w:p>
        </w:tc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拥抱AI</w:t>
            </w:r>
          </w:p>
        </w:tc>
        <w:tc>
          <w:tcPr>
            <w:tcW w:w="303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开展AI知识普及，消除对AI的误解与恐惧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技术炫技</w:t>
            </w:r>
          </w:p>
        </w:tc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价值导向</w:t>
            </w:r>
          </w:p>
        </w:tc>
        <w:tc>
          <w:tcPr>
            <w:tcW w:w="303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建立价值追踪机制，聚焦业务成果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部门墙</w:t>
            </w:r>
          </w:p>
        </w:tc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跨职能协作</w:t>
            </w:r>
          </w:p>
        </w:tc>
        <w:tc>
          <w:tcPr>
            <w:tcW w:w="303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组建融合团队，打破部门边界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规避风险</w:t>
            </w:r>
          </w:p>
        </w:tc>
        <w:tc>
          <w:tcPr>
            <w:tcW w:w="121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创新与责任并重</w:t>
            </w:r>
          </w:p>
        </w:tc>
        <w:tc>
          <w:tcPr>
            <w:tcW w:w="3038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建立容错机制，鼓励有边界创新</w:t>
            </w:r>
          </w:p>
        </w:tc>
      </w:tr>
    </w:tbl>
    <w:p>
      <w:pPr>
        <w:pStyle w:val="6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2" w:name="文化变革关键要素"/>
      <w:r>
        <w:rPr>
          <w:rFonts w:hint="eastAsia" w:ascii="仿宋_GB2312" w:hAnsi="仿宋_GB2312" w:eastAsia="仿宋_GB2312" w:cs="仿宋_GB2312"/>
          <w:color w:val="auto"/>
        </w:rPr>
        <w:t>7.4.2 文化变革关键要素</w:t>
      </w:r>
      <w:bookmarkEnd w:id="82"/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3901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要素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具体措施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预期效果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心理安全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鼓励实验，容忍失败，不追责试错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员工敢于尝试新想法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持续学习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建立AI学习型组织，提供培训资源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员工能力持续提升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跨职能协作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组建业务+技术融合团队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打破部门墙，加速交付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价值导向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用例优先级以ROI衡量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聚焦高价值场景，避免技术炫技</w:t>
            </w:r>
          </w:p>
        </w:tc>
      </w:tr>
    </w:tbl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b/>
          <w:color w:val="auto"/>
        </w:rPr>
        <w:t>最终愿景：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仿宋_GB2312" w:hAnsi="仿宋_GB2312" w:eastAsia="仿宋_GB2312" w:cs="仿宋_GB2312"/>
          <w:color w:val="auto"/>
        </w:rPr>
        <w:t>AI不仅是效率工具，更是银行深化客户服务、优化风险管理、提升经营韧性的核心竞争力来源。银行若能抓住这一机遇，将有望在数字化浪潮中实现弯道超车，打造更具竞争力的金融服务新模式。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3" w:name="附录术语解释"/>
      <w:r>
        <w:rPr>
          <w:rFonts w:hint="eastAsia" w:ascii="仿宋_GB2312" w:hAnsi="仿宋_GB2312" w:eastAsia="仿宋_GB2312" w:cs="仿宋_GB2312"/>
          <w:color w:val="auto"/>
        </w:rPr>
        <w:t>附录：术语解释</w:t>
      </w:r>
      <w:bookmarkEnd w:id="83"/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4" w:name="业务与财务术语"/>
      <w:r>
        <w:rPr>
          <w:rFonts w:hint="eastAsia" w:ascii="仿宋_GB2312" w:hAnsi="仿宋_GB2312" w:eastAsia="仿宋_GB2312" w:cs="仿宋_GB2312"/>
          <w:color w:val="auto"/>
        </w:rPr>
        <w:t>业务与财务术语</w:t>
      </w:r>
      <w:bookmarkEnd w:id="84"/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2138"/>
        <w:gridCol w:w="5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术语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英文全称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AUM</w:t>
            </w:r>
          </w:p>
        </w:tc>
        <w:tc>
          <w:tcPr>
            <w:tcW w:w="12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Assets Under Management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资产管理规模，指银行或金融机构管理的客户资产总额，是衡量财富管理业务规模的核心指标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NPS</w:t>
            </w:r>
          </w:p>
        </w:tc>
        <w:tc>
          <w:tcPr>
            <w:tcW w:w="12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Net Promoter Score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净推荐值，衡量客户忠诚度的指标，通过“您有多大可能向他人推荐本产品/服务”问卷计算得出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ROI</w:t>
            </w:r>
          </w:p>
        </w:tc>
        <w:tc>
          <w:tcPr>
            <w:tcW w:w="12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Return on Investment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投资回报率，衡量投资效益的指标，计算公式为（收益-成本）/成本×100%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P&amp;L</w:t>
            </w:r>
          </w:p>
        </w:tc>
        <w:tc>
          <w:tcPr>
            <w:tcW w:w="1207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Profit and Loss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损益，指收入与支出的差额，常用于衡量业务单元或项目的盈利状况</w:t>
            </w:r>
          </w:p>
        </w:tc>
      </w:tr>
    </w:tbl>
    <w:p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5" w:name="技术与架构术语"/>
      <w:r>
        <w:rPr>
          <w:rFonts w:hint="eastAsia" w:ascii="仿宋_GB2312" w:hAnsi="仿宋_GB2312" w:eastAsia="仿宋_GB2312" w:cs="仿宋_GB2312"/>
          <w:color w:val="auto"/>
        </w:rPr>
        <w:t>技术与架构术语</w:t>
      </w:r>
      <w:bookmarkEnd w:id="85"/>
    </w:p>
    <w:tbl>
      <w:tblPr>
        <w:tblStyle w:val="2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2822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术语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英文全称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LLM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Large Language Model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大语言模型，基于海量文本数据训练的深度学习模型，具备理解和生成自然语言的能力，如GPT、DeepSeek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DeepSeek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-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国产开源大语言模型，性能优异、对算力优化友好，适合金融行业本地化部署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RAG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Retrieval-Augmented Generation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检索增强生成，结合知识库检索与语言模型生成的技术，使模型能够基于特定领域知识回答问题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MCP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Model Context Protocol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模型上下文协议，标准化智能体与外部工具/系统的交互接口，支持跨平台工具调用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ReAct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Reasoning + Acting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推理与行动循环，智能体核心执行模式：思考→行动→观察→调整的迭代过程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Supervisor-Worker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-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多智能体协同模式，Supervisor负责任务分解与调度，Worker负责具体执行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Copilot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-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副驾驶/智能助手，AI辅助人类完成任务的交互模式，人类主导、AI提供建议与执行支持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MLOps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Machine Learning Operations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机器学习运维，将DevOps理念应用于机器学习系统，实现模型的自动化训练、部署、监控与迭代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NLP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Natural Language Processing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自然语言处理，使计算机能够理解、解释和生成人类语言的人工智能分支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OCR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Optical Character Recognition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光学字符识别，将图像中的文字转换为可编辑文本的技术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RPA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Robotic Process Automation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机器人流程自动化，通过软件机器人模拟人类操作，自动执行规则化的业务流程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API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Application Programming Interface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应用程序接口，定义软件组件之间交互规范的接口，使不同系统能够互相调用功能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SDK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Software Development Kit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软件开发工具包，为开发者提供构建应用程序所需的工具、库、文档和示例代码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Spring Cloud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-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Java微服务框架，提供服务发现、配置管理、负载均衡等企业级能力，用于构建智能体编排基础设施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GPU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Graphics Processing Unit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图形处理器，因其并行计算能力，成为训练和运行AI模型的核心硬件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CI/CD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Continuous Integration / Continuous Deployment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持续集成与持续部署，自动化软件交付流程，实现代码提交后自动测试、构建、部署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Embedding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Word Embedding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词嵌入/向量嵌入，将文本转换为数值向量的技术，使计算机能够理解语义相似性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ASR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Automatic Speech Recognition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自动语音识别，将人类语音转换为文本的技术，是语音交互系统的基础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AIOps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Artificial Intelligence for IT Operations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智能运维，利用AI技术实现IT系统的自动化监控、故障检测、根因分析和自我修复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ETL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Extract, Transform, Load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数据抽取、转换、加载，将数据从源系统提取、转换为统一格式、加载到目标系统的过程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RBAC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Role-Based Access Control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基于角色的访问控制，根据用户角色分配权限，简化权限管理的企业级安全模型</w:t>
            </w:r>
          </w:p>
        </w:tc>
      </w:tr>
    </w:tbl>
    <w:p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6" w:name="数据与存储术语"/>
      <w:r>
        <w:rPr>
          <w:rFonts w:hint="eastAsia" w:ascii="仿宋_GB2312" w:hAnsi="仿宋_GB2312" w:eastAsia="仿宋_GB2312" w:cs="仿宋_GB2312"/>
          <w:color w:val="auto"/>
        </w:rPr>
        <w:t>数据与存储术语</w:t>
      </w:r>
      <w:bookmarkEnd w:id="86"/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3003"/>
        <w:gridCol w:w="4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术语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英文全称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PII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Personally Identifiable Information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个人身份信息，可用于识别特定个人身份的数据，如姓名、身份证号、地址等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CDC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Change Data Capture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变更数据捕获，实时捕获数据库变更并同步到下游系统的技术，支持实时数据处理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MinIO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-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开源对象存储系统，高性能、低成本，适合存储模型文件、文档、日志等非结构化数据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Milvus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-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开源向量数据库，专为AI应用设计，支持高性能向量检索，是RAG系统的核心组件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Neo4j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-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图数据库，支持图遍历与路径查询，用于构建知识图谱、分析交易关联网络</w:t>
            </w:r>
          </w:p>
        </w:tc>
      </w:tr>
    </w:tbl>
    <w:p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7" w:name="数据与安全术语"/>
      <w:r>
        <w:rPr>
          <w:rFonts w:hint="eastAsia" w:ascii="仿宋_GB2312" w:hAnsi="仿宋_GB2312" w:eastAsia="仿宋_GB2312" w:cs="仿宋_GB2312"/>
          <w:color w:val="auto"/>
        </w:rPr>
        <w:t>数据与安全术语</w:t>
      </w:r>
      <w:bookmarkEnd w:id="87"/>
    </w:p>
    <w:tbl>
      <w:tblPr>
        <w:tblStyle w:val="28"/>
        <w:tblW w:w="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2168"/>
        <w:gridCol w:w="58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术语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英文全称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OAuth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Open Authorization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开放授权协议，允许第三方应用在用户授权下访问其资源，而无需暴露用户密码</w:t>
            </w:r>
          </w:p>
        </w:tc>
      </w:tr>
    </w:tbl>
    <w:p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8" w:name="组织与治理术语"/>
      <w:r>
        <w:rPr>
          <w:rFonts w:hint="eastAsia" w:ascii="仿宋_GB2312" w:hAnsi="仿宋_GB2312" w:eastAsia="仿宋_GB2312" w:cs="仿宋_GB2312"/>
          <w:color w:val="auto"/>
        </w:rPr>
        <w:t>组织与治理术语</w:t>
      </w:r>
      <w:bookmarkEnd w:id="88"/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2258"/>
        <w:gridCol w:w="5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术语</w:t>
            </w:r>
          </w:p>
        </w:tc>
        <w:tc>
          <w:tcPr>
            <w:tcW w:w="1275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英文全称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MRM</w:t>
            </w:r>
          </w:p>
        </w:tc>
        <w:tc>
          <w:tcPr>
            <w:tcW w:w="1275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Model Risk Management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模型风险管理，识别、评估、监控和缓解模型相关风险的系统性框架</w:t>
            </w:r>
          </w:p>
        </w:tc>
      </w:tr>
    </w:tbl>
    <w:p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_GB2312" w:hAnsi="仿宋_GB2312" w:eastAsia="仿宋_GB2312" w:cs="仿宋_GB2312"/>
          <w:color w:val="auto"/>
        </w:rPr>
      </w:pPr>
      <w:bookmarkStart w:id="89" w:name="监管与合规术语"/>
      <w:r>
        <w:rPr>
          <w:rFonts w:hint="eastAsia" w:ascii="仿宋_GB2312" w:hAnsi="仿宋_GB2312" w:eastAsia="仿宋_GB2312" w:cs="仿宋_GB2312"/>
          <w:color w:val="auto"/>
        </w:rPr>
        <w:t>监管与合规术语</w:t>
      </w:r>
      <w:bookmarkEnd w:id="89"/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3033"/>
        <w:gridCol w:w="49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术语</w:t>
            </w:r>
          </w:p>
        </w:tc>
        <w:tc>
          <w:tcPr>
            <w:tcW w:w="1712" w:type="pct"/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英文全称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HKMA</w:t>
            </w:r>
          </w:p>
        </w:tc>
        <w:tc>
          <w:tcPr>
            <w:tcW w:w="171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Hong Kong Monetary Authority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香港金融管理局，香港银行业的监管机构，负责维护银行体系稳定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</w:rPr>
              <w:t>PDPO</w:t>
            </w:r>
          </w:p>
        </w:tc>
        <w:tc>
          <w:tcPr>
            <w:tcW w:w="1712" w:type="pct"/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Personal Data (Privacy) Ordinance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</w:rPr>
              <w:t>《个人资料（私隐）条例》，香港保护个人数据隐私的核心法规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color w:val="auto"/>
        </w:rPr>
      </w:pPr>
    </w:p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3A19BCE8"/>
    <w:multiLevelType w:val="singleLevel"/>
    <w:tmpl w:val="3A19BC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4F1218"/>
    <w:rsid w:val="00590D07"/>
    <w:rsid w:val="00784D58"/>
    <w:rsid w:val="008D6863"/>
    <w:rsid w:val="00B86B75"/>
    <w:rsid w:val="00BC48D5"/>
    <w:rsid w:val="00C36279"/>
    <w:rsid w:val="00E315A3"/>
    <w:rsid w:val="01E627AC"/>
    <w:rsid w:val="041751E6"/>
    <w:rsid w:val="078A0196"/>
    <w:rsid w:val="083E4D1A"/>
    <w:rsid w:val="0CF0073E"/>
    <w:rsid w:val="11307E09"/>
    <w:rsid w:val="128E6E65"/>
    <w:rsid w:val="12915117"/>
    <w:rsid w:val="12C34F1B"/>
    <w:rsid w:val="13434059"/>
    <w:rsid w:val="135E6160"/>
    <w:rsid w:val="139B341D"/>
    <w:rsid w:val="13E45AFF"/>
    <w:rsid w:val="1738632E"/>
    <w:rsid w:val="19147FE2"/>
    <w:rsid w:val="1BB918AD"/>
    <w:rsid w:val="1C0A31FF"/>
    <w:rsid w:val="1E5F2DC5"/>
    <w:rsid w:val="1F6607BE"/>
    <w:rsid w:val="1FB41730"/>
    <w:rsid w:val="238230BB"/>
    <w:rsid w:val="24F13B17"/>
    <w:rsid w:val="2514149C"/>
    <w:rsid w:val="261B0194"/>
    <w:rsid w:val="2AF7131D"/>
    <w:rsid w:val="2BAC3737"/>
    <w:rsid w:val="2C5A6992"/>
    <w:rsid w:val="2DCA68F9"/>
    <w:rsid w:val="2F515933"/>
    <w:rsid w:val="30CE282F"/>
    <w:rsid w:val="315D5F2D"/>
    <w:rsid w:val="31EC5A67"/>
    <w:rsid w:val="323210CA"/>
    <w:rsid w:val="327652E9"/>
    <w:rsid w:val="35F06330"/>
    <w:rsid w:val="37B7401D"/>
    <w:rsid w:val="38396864"/>
    <w:rsid w:val="38F77867"/>
    <w:rsid w:val="39821158"/>
    <w:rsid w:val="39D96C65"/>
    <w:rsid w:val="3A46125D"/>
    <w:rsid w:val="3C551C01"/>
    <w:rsid w:val="3CD402C6"/>
    <w:rsid w:val="3CF06942"/>
    <w:rsid w:val="3E862EED"/>
    <w:rsid w:val="40637226"/>
    <w:rsid w:val="42A3313A"/>
    <w:rsid w:val="42EE5221"/>
    <w:rsid w:val="436E1CF1"/>
    <w:rsid w:val="46827B10"/>
    <w:rsid w:val="48AC405E"/>
    <w:rsid w:val="48E6223F"/>
    <w:rsid w:val="4CF21951"/>
    <w:rsid w:val="4D745676"/>
    <w:rsid w:val="4EB02C53"/>
    <w:rsid w:val="4FA42FE4"/>
    <w:rsid w:val="4FAB291E"/>
    <w:rsid w:val="4FD3745D"/>
    <w:rsid w:val="517433B9"/>
    <w:rsid w:val="519D5BDA"/>
    <w:rsid w:val="53887C35"/>
    <w:rsid w:val="539069E5"/>
    <w:rsid w:val="54100863"/>
    <w:rsid w:val="54A07B2F"/>
    <w:rsid w:val="5557549B"/>
    <w:rsid w:val="55DD3884"/>
    <w:rsid w:val="562B0053"/>
    <w:rsid w:val="577E698F"/>
    <w:rsid w:val="57F02406"/>
    <w:rsid w:val="588747BB"/>
    <w:rsid w:val="589535E4"/>
    <w:rsid w:val="596D1D74"/>
    <w:rsid w:val="5D2A3F14"/>
    <w:rsid w:val="5E0C4813"/>
    <w:rsid w:val="602970B6"/>
    <w:rsid w:val="61D40031"/>
    <w:rsid w:val="62BE38DF"/>
    <w:rsid w:val="62DF6F13"/>
    <w:rsid w:val="64352D4D"/>
    <w:rsid w:val="6490541B"/>
    <w:rsid w:val="66D81595"/>
    <w:rsid w:val="6A0A0C94"/>
    <w:rsid w:val="6AB04E0C"/>
    <w:rsid w:val="704859CA"/>
    <w:rsid w:val="707421DE"/>
    <w:rsid w:val="71561CF1"/>
    <w:rsid w:val="717C2845"/>
    <w:rsid w:val="719F3B54"/>
    <w:rsid w:val="7241045C"/>
    <w:rsid w:val="732C2596"/>
    <w:rsid w:val="763E2DA1"/>
    <w:rsid w:val="76813F27"/>
    <w:rsid w:val="78214AE3"/>
    <w:rsid w:val="79E4285C"/>
    <w:rsid w:val="7B416501"/>
    <w:rsid w:val="7F4350DA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795</Words>
  <Characters>1321</Characters>
  <Lines>12</Lines>
  <Paragraphs>8</Paragraphs>
  <TotalTime>4</TotalTime>
  <ScaleCrop>false</ScaleCrop>
  <LinksUpToDate>false</LinksUpToDate>
  <CharactersWithSpaces>1756</CharactersWithSpaces>
  <Application>WPS Office_11.8.2.11089_F1E327BC-269C-435d-A152-05C5408002CA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2026-07-13T03:03:00Z</dcterms:created>
  <dc:creator>Marco Wong</dc:creator>
  <cp:lastModifiedBy>gyyz-laitungwong</cp:lastModifiedBy>
  <dcterms:modified xsi:type="dcterms:W3CDTF">2026-07-13T07:31:29Z</dcterms:modified>
  <dc:title>银行AI发展整体架构框架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eyJoZGlkIjoiZTFkZDk5NzU0NTIyNjUyODA1NjRmYThhY2Q3MTJkOGQiLCJ1c2VySWQiOiIxMzU2NzMyNzIxIn0=</vt:lpwstr>
  </property>
  <property fmtid="{D5CDD505-2E9C-101B-9397-08002B2CF9AE}" pid="3" name="KSOProductBuildVer">
    <vt:lpwstr>2052-11.8.2.11089</vt:lpwstr>
  </property>
  <property fmtid="{D5CDD505-2E9C-101B-9397-08002B2CF9AE}" pid="4" name="ICV">
    <vt:lpwstr>5CBD6D8D26E34C5C8573C2212C15674A_12</vt:lpwstr>
  </property>
</Properties>
</file>