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Os Design Patterns  fora desenvolvido na década de 90 pelos cientistas da computação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Erich Gamma, John Vlissides, Ralph Johnson e Richard Helm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com o objetivo  de tornar os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tornar componentes reutilizáveis que facilitam a padronização, que permita agilidade para as soluções de problemas recorrentes no desenvolvimento do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600" w:lineRule="auto"/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Existem dois padrões de projetos conhecidos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pela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253a44"/>
            <w:sz w:val="21"/>
            <w:szCs w:val="21"/>
            <w:u w:val="single"/>
            <w:rtl w:val="0"/>
          </w:rPr>
          <w:t xml:space="preserve">engenharia de software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que são: padrões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GoF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(Gang of Four) e os padrões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GRASP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(General Responsibility Assignment Software Patterns).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460" w:before="460" w:line="378.9473684210526" w:lineRule="auto"/>
        <w:rPr>
          <w:rFonts w:ascii="Montserrat" w:cs="Montserrat" w:eastAsia="Montserrat" w:hAnsi="Montserrat"/>
          <w:b w:val="1"/>
          <w:color w:val="253a44"/>
          <w:sz w:val="38"/>
          <w:szCs w:val="38"/>
        </w:rPr>
      </w:pPr>
      <w:bookmarkStart w:colFirst="0" w:colLast="0" w:name="_eeeqynwqaex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rtl w:val="0"/>
        </w:rPr>
        <w:t xml:space="preserve">Padrões GRASP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Ajudam a especificar, em que momento é atribuída a responsabilidade de decisão, quando se é um comportamento ou elemento ao objeto. A formação reúne nos seguintes padrões: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Especialista na informação;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Criador;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Controlador;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Acoplamento Fraco;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Coesão Alta;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Polimorfismo;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Invenção Pura;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Indireção;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Variações Protegidas;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460" w:before="460" w:line="378.9473684210526" w:lineRule="auto"/>
        <w:rPr>
          <w:rFonts w:ascii="Montserrat" w:cs="Montserrat" w:eastAsia="Montserrat" w:hAnsi="Montserrat"/>
          <w:b w:val="1"/>
          <w:color w:val="253a44"/>
          <w:sz w:val="38"/>
          <w:szCs w:val="38"/>
        </w:rPr>
      </w:pPr>
      <w:bookmarkStart w:colFirst="0" w:colLast="0" w:name="_a9m8jkmiq67v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rtl w:val="0"/>
        </w:rPr>
        <w:t xml:space="preserve">Padrões GoF</w:t>
      </w:r>
    </w:p>
    <w:p w:rsidR="00000000" w:rsidDel="00000000" w:rsidP="00000000" w:rsidRDefault="00000000" w:rsidRPr="00000000" w14:paraId="00000010">
      <w:pPr>
        <w:spacing w:line="600" w:lineRule="auto"/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Esses padrões tem como objetivo, solucionar problemas comuns de softwares que tenham algum envolvimento a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253a44"/>
            <w:sz w:val="21"/>
            <w:szCs w:val="21"/>
            <w:u w:val="single"/>
            <w:rtl w:val="0"/>
          </w:rPr>
          <w:t xml:space="preserve">orientação a objetos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. São formados por três grupos exibidos abaixo: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Padrões de criação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: Factory Method, Abstract Factory, Singleton, Builder, Prototype.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Padrões estruturais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: Adapter, Bridge, Composite, Decorator, Facade, Flyweight, Proxy;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Padrões comportamentais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: Chain of Responsibility, Command, Interpreter, Iterator, Mediator, Memento, Observer, State, Strategy, Template, Method, Visitor.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460" w:before="460" w:line="378.9473684210526" w:lineRule="auto"/>
        <w:rPr>
          <w:rFonts w:ascii="Montserrat" w:cs="Montserrat" w:eastAsia="Montserrat" w:hAnsi="Montserrat"/>
          <w:b w:val="1"/>
          <w:color w:val="253a44"/>
          <w:sz w:val="38"/>
          <w:szCs w:val="38"/>
        </w:rPr>
      </w:pPr>
      <w:bookmarkStart w:colFirst="0" w:colLast="0" w:name="_q6t4j1v9if5g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rtl w:val="0"/>
        </w:rPr>
        <w:t xml:space="preserve">Padrões GoF de criação</w:t>
      </w:r>
    </w:p>
    <w:p w:rsidR="00000000" w:rsidDel="00000000" w:rsidP="00000000" w:rsidRDefault="00000000" w:rsidRPr="00000000" w14:paraId="00000015">
      <w:pPr>
        <w:spacing w:line="600" w:lineRule="auto"/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Os padrões desse tipo, exigem um tratamento de como os objetos (classes) são criados, para atenderem as diversas necessidades. No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253a44"/>
            <w:sz w:val="21"/>
            <w:szCs w:val="21"/>
            <w:u w:val="single"/>
            <w:rtl w:val="0"/>
          </w:rPr>
          <w:t xml:space="preserve">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, os objetos são instanciados através de seus construtores, porém a utilização deles fica limitada quando: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O código que referencia a criação de um objeto precisa conhecer os construtores dele, isso aumenta o acoplamento das classes.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O objeto não pode ser criado parcialmente.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O construtor não consegue controlar o número de instâncias presentes na aplicação.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</w:rPr>
        <w:drawing>
          <wp:inline distB="114300" distT="114300" distL="114300" distR="114300">
            <wp:extent cx="1552575" cy="1752600"/>
            <wp:effectExtent b="0" l="0" r="0" t="0"/>
            <wp:docPr descr="Ilustração figurativa do Padrão GoF de criação" id="2" name="image2.png"/>
            <a:graphic>
              <a:graphicData uri="http://schemas.openxmlformats.org/drawingml/2006/picture">
                <pic:pic>
                  <pic:nvPicPr>
                    <pic:cNvPr descr="Ilustração figurativa do Padrão GoF de criação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253a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24"/>
          <w:szCs w:val="24"/>
          <w:rtl w:val="0"/>
        </w:rPr>
        <w:t xml:space="preserve">Figura 2</w:t>
      </w:r>
      <w:r w:rsidDel="00000000" w:rsidR="00000000" w:rsidRPr="00000000">
        <w:rPr>
          <w:rFonts w:ascii="Montserrat" w:cs="Montserrat" w:eastAsia="Montserrat" w:hAnsi="Montserrat"/>
          <w:color w:val="253a44"/>
          <w:sz w:val="24"/>
          <w:szCs w:val="24"/>
          <w:rtl w:val="0"/>
        </w:rPr>
        <w:t xml:space="preserve">: Ilustração figurativa do Padrão GoF de criação.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Factory Method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Esse padrão define uma interface para a criação de um objeto, deixando que as subclasses fiquem responsáveis por decidir qual classe instanciar.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Abstract Factory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Permite elaborar uma interface para criação de famílias de objetos relacionados ou interdependentes, que não especifica suas classes concretas. A partir desse padrão consegue-se criar fábricas concretas, que são responsáveis pela criação de novos objetos para atender as necessidades do cliente. Portanto, essa prática ajuda a excluir a dependência entre o cliente e a classe dos objetos usados por ele.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Singleton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Usado quando desejado, que uma classe tenha apenas uma instância na aplicação. Abaixo, mostra alguns aspectos que devem serem cuidados ao criar esse padrão.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80" w:line="6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O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253a44"/>
            <w:sz w:val="21"/>
            <w:szCs w:val="21"/>
            <w:u w:val="single"/>
            <w:rtl w:val="0"/>
          </w:rPr>
          <w:t xml:space="preserve">construtor da classe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fica como privado (private), sendo que não pode ser instanciada para fora da própria classe.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6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A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253a44"/>
            <w:sz w:val="21"/>
            <w:szCs w:val="21"/>
            <w:u w:val="single"/>
            <w:rtl w:val="0"/>
          </w:rPr>
          <w:t xml:space="preserve">classe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é final, pois não permite a criação de subclasses da própria classe.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80" w:before="0" w:beforeAutospacing="0" w:line="6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O acesso é permitido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253a44"/>
            <w:sz w:val="21"/>
            <w:szCs w:val="21"/>
            <w:u w:val="single"/>
            <w:rtl w:val="0"/>
          </w:rPr>
          <w:t xml:space="preserve">através do método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que retorna a instância única da classe, ou faz a criação de uma, caso não tenha sido criada.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Fornece uma interface genérica para a construção incremental de agregações. Esse padrão esconde os detalhes de como os componentes são criados, representados e compostos.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Prototype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Define os tipos de objetos a serem criados a partir de uma instância que funciona como um protótipo, fazendo com que novos objetos sejam criados com base nesse protótipo.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460" w:before="460" w:line="378.9473684210526" w:lineRule="auto"/>
        <w:rPr>
          <w:rFonts w:ascii="Montserrat" w:cs="Montserrat" w:eastAsia="Montserrat" w:hAnsi="Montserrat"/>
          <w:b w:val="1"/>
          <w:color w:val="253a44"/>
          <w:sz w:val="38"/>
          <w:szCs w:val="38"/>
        </w:rPr>
      </w:pPr>
      <w:bookmarkStart w:colFirst="0" w:colLast="0" w:name="_p8cs8vbll24x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rtl w:val="0"/>
        </w:rPr>
        <w:t xml:space="preserve">Padrões GoF Estruturais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Esse padrões descrevem os seguintes aspectos: elaboração, associação e a organização entre objetos e classes/interfaces. Permitem combinar objetos em estruturas mais complexas, ou descrever como as classes são herdadas ou compostas a partir de outras.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</w:rPr>
        <w:drawing>
          <wp:inline distB="114300" distT="114300" distL="114300" distR="114300">
            <wp:extent cx="1704975" cy="2476500"/>
            <wp:effectExtent b="0" l="0" r="0" t="0"/>
            <wp:docPr descr="Ilustração figurativa do Padrão GoF Estruturais" id="1" name="image1.jpg"/>
            <a:graphic>
              <a:graphicData uri="http://schemas.openxmlformats.org/drawingml/2006/picture">
                <pic:pic>
                  <pic:nvPicPr>
                    <pic:cNvPr descr="Ilustração figurativa do Padrão GoF Estruturais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253a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24"/>
          <w:szCs w:val="24"/>
          <w:rtl w:val="0"/>
        </w:rPr>
        <w:t xml:space="preserve">Figura 3</w:t>
      </w:r>
      <w:r w:rsidDel="00000000" w:rsidR="00000000" w:rsidRPr="00000000">
        <w:rPr>
          <w:rFonts w:ascii="Montserrat" w:cs="Montserrat" w:eastAsia="Montserrat" w:hAnsi="Montserrat"/>
          <w:color w:val="253a44"/>
          <w:sz w:val="24"/>
          <w:szCs w:val="24"/>
          <w:rtl w:val="0"/>
        </w:rPr>
        <w:t xml:space="preserve">: Ilustração figurativa do Padrão GoF Estruturais.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A ação desse padrão converte a interface de uma classe em outra, esperada pelo objeto cliente. Através dessa conversão, permite que classes com incompatibilidade de interfaces, consigam serem adaptadas para que outros objetos possam trabalhar juntos.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Bridge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Esse padrão separa uma abstração de sua implementação, permitindo que ambas possam variar independente, sendo estabelecida uma ponte (tradução de “bridge”) entre elas.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Composite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Compostos por objetos em árvores de agregação, fazendo que objetos agregados sejam tratados como um único objeto.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Decorator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Esse padrão busca em oferecer uma alternativa flexível para extensão de novas funcionalidades de objeto dinâmicos, sem o uso da herança. Um exemplo é o uso da Barra de Rolagem que pode ser incorporada de maneira dinâmica a uma janela, caixa de texto ou página web.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Facade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Oferece uma interface unificada para um conjunto de objetos que consistem um subsistema, definindo uma interface de alto nível que facilita no uso.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Flyweight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Utiliza o compartilhamento para dar suporte eficiente a um grande número de objetos com alto nível de granularidade. Esse padrão, cria modelos de referência para cada objeto, que concentra todas as características em comum em um objeto.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Proxy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Permite que o acesso seja controlado por meio de outro objeto, que atua como substituto. Geralmente, usado na programação orientada a aspectos, tendo como objetivo ajudar a separar, encapsular, modularizar métodos e organizar o código de acordo com a importância.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460" w:before="460" w:line="378.9473684210526" w:lineRule="auto"/>
        <w:rPr>
          <w:rFonts w:ascii="Montserrat" w:cs="Montserrat" w:eastAsia="Montserrat" w:hAnsi="Montserrat"/>
          <w:b w:val="1"/>
          <w:color w:val="253a44"/>
          <w:sz w:val="38"/>
          <w:szCs w:val="38"/>
        </w:rPr>
      </w:pPr>
      <w:bookmarkStart w:colFirst="0" w:colLast="0" w:name="_glbomxqiz8pe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rtl w:val="0"/>
        </w:rPr>
        <w:t xml:space="preserve">Padrões GoF Comportamentais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Esses padrões, mostram o processo de como os objetos ou classes se comunicam. Em geral, buscam um baixo acoplamento entre os objetos, apesar da comunicação que existe entre eles.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</w:rPr>
        <w:drawing>
          <wp:inline distB="114300" distT="114300" distL="114300" distR="114300">
            <wp:extent cx="2762250" cy="1314450"/>
            <wp:effectExtent b="0" l="0" r="0" t="0"/>
            <wp:docPr descr="Ilustração figurativa do Padrão GoF Comportamentais" id="3" name="image3.jpg"/>
            <a:graphic>
              <a:graphicData uri="http://schemas.openxmlformats.org/drawingml/2006/picture">
                <pic:pic>
                  <pic:nvPicPr>
                    <pic:cNvPr descr="Ilustração figurativa do Padrão GoF Comportamentais"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253a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24"/>
          <w:szCs w:val="24"/>
          <w:rtl w:val="0"/>
        </w:rPr>
        <w:t xml:space="preserve">Figura 4</w:t>
      </w:r>
      <w:r w:rsidDel="00000000" w:rsidR="00000000" w:rsidRPr="00000000">
        <w:rPr>
          <w:rFonts w:ascii="Montserrat" w:cs="Montserrat" w:eastAsia="Montserrat" w:hAnsi="Montserrat"/>
          <w:color w:val="253a44"/>
          <w:sz w:val="24"/>
          <w:szCs w:val="24"/>
          <w:rtl w:val="0"/>
        </w:rPr>
        <w:t xml:space="preserve">: Ilustração figurativa do Padrão GoF Comportamentais.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Chain of Responsibility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O padrão “Cadeia de Responsabilidades” encadeia vários objetos receptores que transporta uma solicitação, sendo aguardada até que um dos objetos responda. Com isso, evita-se o acoplamento entre o remetente de uma solicitação e seu destinatário, dando oportunidade para mais de um objeto tratar a solicitação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Encapsula uma mensagem ou solicitação como um objeto, de modo que, se possa parametrizar clientes com diferente mensagens.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460" w:before="460" w:line="378.9473684210526" w:lineRule="auto"/>
        <w:rPr>
          <w:rFonts w:ascii="Montserrat" w:cs="Montserrat" w:eastAsia="Montserrat" w:hAnsi="Montserrat"/>
          <w:b w:val="1"/>
          <w:color w:val="253a44"/>
          <w:sz w:val="38"/>
          <w:szCs w:val="38"/>
        </w:rPr>
      </w:pPr>
      <w:bookmarkStart w:colFirst="0" w:colLast="0" w:name="_tur66b9d7gv0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rtl w:val="0"/>
        </w:rPr>
        <w:t xml:space="preserve">Interpreter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São representações para gramáticas e abstrações para análise sintática, sendo usado mais para definição de linguagem.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460" w:before="460" w:line="378.9473684210526" w:lineRule="auto"/>
        <w:rPr>
          <w:rFonts w:ascii="Montserrat" w:cs="Montserrat" w:eastAsia="Montserrat" w:hAnsi="Montserrat"/>
          <w:b w:val="1"/>
          <w:color w:val="253a44"/>
          <w:sz w:val="38"/>
          <w:szCs w:val="38"/>
        </w:rPr>
      </w:pPr>
      <w:bookmarkStart w:colFirst="0" w:colLast="0" w:name="_s331gbl5ng03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rtl w:val="0"/>
        </w:rPr>
        <w:t xml:space="preserve">Iterator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Usado para prover um modo de acessar elementos de uma coleção de objetos de forma sequencial, sem exposição das suas estruturas internas.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460" w:before="460" w:line="378.9473684210526" w:lineRule="auto"/>
        <w:rPr>
          <w:rFonts w:ascii="Montserrat" w:cs="Montserrat" w:eastAsia="Montserrat" w:hAnsi="Montserrat"/>
          <w:b w:val="1"/>
          <w:color w:val="253a44"/>
          <w:sz w:val="38"/>
          <w:szCs w:val="38"/>
        </w:rPr>
      </w:pPr>
      <w:bookmarkStart w:colFirst="0" w:colLast="0" w:name="_8kku964wl6qd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rtl w:val="0"/>
        </w:rPr>
        <w:t xml:space="preserve">Mediator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Tem como objetivo, desacoplar e gerenciar as colaborações entre um grupo de objetos. Esse processo acontece no momento, quando é definido um objeto que encapsula a forma de como ocorrem as interações. Portanto, tem um baixo acoplamento entre os objetos, evitando que eles se refiram uns aos outros explicitamente.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Memento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Funciona como um “snapshot”, pois captura e externaliza o estado interno de um objeto, sem violar o encapsulamento, permitindo que o objeto consiga ser restaurado a esse estado futuramente. Um exemplo disso, são em operações que precisam ser anuladas, para que o estado anterior do objeto seja depois restaurado.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Usado para sincronizar, coordenar ou manter a consistência entre objetos relacionados. Sendo que tem a dependência um para muitos entre objetos, ou seja, quando o estado de um objeto muda, todos os que dependem são notificados e atualizados automaticamente.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Permite que um objeto mude seu comportamento quando seu estado interno é alterado, sendo mudado a classe do objeto.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Permite definir novas conjunto de algoritmos sem alterar as classes dos elementos sobre os quais opera.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Template Method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Adequada o esqueleto de um algoritmo em uma operação, permitindo que subclasses componham o algoritmo e tenham a possibilidade de redefinir certos passos a serem tomados no processo, sem mudá-lo.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Visitor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rtl w:val="0"/>
        </w:rPr>
        <w:t xml:space="preserve"> - Representa uma operação a ser realizada sobre elementos da estrutura de um objeto, sendo permitida a criação de uma nova operação sem que mude a classe dos elementos sobre as quais é operado.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Fontes:</w:t>
      </w:r>
    </w:p>
    <w:p w:rsidR="00000000" w:rsidDel="00000000" w:rsidP="00000000" w:rsidRDefault="00000000" w:rsidRPr="00000000" w14:paraId="0000004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4343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7"/>
          <w:szCs w:val="27"/>
          <w:rtl w:val="0"/>
        </w:rPr>
        <w:t xml:space="preserve">FREEMAN, ERIC &amp; FREEMAN, ELISABETH – Use a Cabeça! Padrões de Projetos (Design Patterns), 2ª Edição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434343"/>
          <w:sz w:val="27"/>
          <w:szCs w:val="27"/>
        </w:rPr>
      </w:pPr>
      <w:r w:rsidDel="00000000" w:rsidR="00000000" w:rsidRPr="00000000">
        <w:rPr>
          <w:color w:val="434343"/>
          <w:sz w:val="27"/>
          <w:szCs w:val="27"/>
          <w:highlight w:val="white"/>
          <w:rtl w:val="0"/>
        </w:rPr>
        <w:t xml:space="preserve"> Erich Gamma, John Vlissides, Ralph Johnson e Richard Helm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4343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7"/>
          <w:szCs w:val="27"/>
          <w:highlight w:val="white"/>
          <w:rtl w:val="0"/>
        </w:rPr>
        <w:t xml:space="preserve">Padrões de Projeto - Soluções Reutilizáveis de Software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vmedia.com.br/java-declaracao-e-utilizacao-de-classes/38374" TargetMode="External"/><Relationship Id="rId10" Type="http://schemas.openxmlformats.org/officeDocument/2006/relationships/hyperlink" Target="https://www.devmedia.com.br/construtores-em-java/28618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s://www.devmedia.com.br/metodos/73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www.devmedia.com.br/engenharia-de-software/" TargetMode="External"/><Relationship Id="rId7" Type="http://schemas.openxmlformats.org/officeDocument/2006/relationships/hyperlink" Target="https://www.devmedia.com.br/os-4-pilares-da-programacao-orientada-a-objetos/9264" TargetMode="External"/><Relationship Id="rId8" Type="http://schemas.openxmlformats.org/officeDocument/2006/relationships/hyperlink" Target="https://www.devmedia.com.br/jav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