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BB-001 食蟹猴 28 天 DRF/毒理试验方案</w:t>
      </w:r>
    </w:p>
    <w:p>
      <w:r>
        <w:t>方案编号：BB-001-TOX-28D · 版本 v2.0 · 2026-09-15 · 委托方：XX药业 · 保密</w:t>
      </w:r>
    </w:p>
    <w:p>
      <w:pPr>
        <w:pStyle w:val="Heading1"/>
      </w:pPr>
      <w:r>
        <w:t>1. 实验设计</w:t>
      </w:r>
    </w:p>
    <w:p>
      <w:r>
        <w:t>受试物 BB-001 为双载荷抗体偶联药物（IMQ + MMAF），生物制品初免。食蟹猴，7 个队列共 11 只：4 个核心组每组 2 只（雌雄各半），3 个卫星组每组 1 只用于单次给药 PK。给药途径 IV infusion 约 60 分钟，核心组每周一次共 3 次，卫星组单次给药。观察期 28 天。</w:t>
      </w:r>
    </w:p>
    <w:p>
      <w:pPr>
        <w:pStyle w:val="Heading1"/>
      </w:pPr>
      <w:r>
        <w:t>2. 分组与给药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组别</w:t>
            </w:r>
          </w:p>
        </w:tc>
        <w:tc>
          <w:tcPr>
            <w:tcW w:type="dxa" w:w="1440"/>
          </w:tcPr>
          <w:p>
            <w:r>
              <w:t>剂量组</w:t>
            </w:r>
          </w:p>
        </w:tc>
        <w:tc>
          <w:tcPr>
            <w:tcW w:type="dxa" w:w="1440"/>
          </w:tcPr>
          <w:p>
            <w:r>
              <w:t>剂量 (mg/kg)</w:t>
            </w:r>
          </w:p>
        </w:tc>
        <w:tc>
          <w:tcPr>
            <w:tcW w:type="dxa" w:w="1440"/>
          </w:tcPr>
          <w:p>
            <w:r>
              <w:t>动物数</w:t>
            </w:r>
          </w:p>
        </w:tc>
        <w:tc>
          <w:tcPr>
            <w:tcW w:type="dxa" w:w="1440"/>
          </w:tcPr>
          <w:p>
            <w:r>
              <w:t>给药</w:t>
            </w:r>
          </w:p>
        </w:tc>
        <w:tc>
          <w:tcPr>
            <w:tcW w:type="dxa" w:w="1440"/>
          </w:tcPr>
          <w:p>
            <w:r>
              <w:t>类型</w:t>
            </w:r>
          </w:p>
        </w:tc>
      </w:tr>
      <w:tr>
        <w:tc>
          <w:tcPr>
            <w:tcW w:type="dxa" w:w="1440"/>
          </w:tcPr>
          <w:p>
            <w:r>
              <w:t>G1</w:t>
            </w:r>
          </w:p>
        </w:tc>
        <w:tc>
          <w:tcPr>
            <w:tcW w:type="dxa" w:w="1440"/>
          </w:tcPr>
          <w:p>
            <w:r>
              <w:t>对照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IV infusion · Q1W × 3</w:t>
            </w:r>
          </w:p>
        </w:tc>
        <w:tc>
          <w:tcPr>
            <w:tcW w:type="dxa" w:w="1440"/>
          </w:tcPr>
          <w:p>
            <w:r>
              <w:t>核心</w:t>
            </w:r>
          </w:p>
        </w:tc>
      </w:tr>
      <w:tr>
        <w:tc>
          <w:tcPr>
            <w:tcW w:type="dxa" w:w="1440"/>
          </w:tcPr>
          <w:p>
            <w:r>
              <w:t>G2</w:t>
            </w:r>
          </w:p>
        </w:tc>
        <w:tc>
          <w:tcPr>
            <w:tcW w:type="dxa" w:w="1440"/>
          </w:tcPr>
          <w:p>
            <w:r>
              <w:t>低剂量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IV infusion · Q1W × 3</w:t>
            </w:r>
          </w:p>
        </w:tc>
        <w:tc>
          <w:tcPr>
            <w:tcW w:type="dxa" w:w="1440"/>
          </w:tcPr>
          <w:p>
            <w:r>
              <w:t>核心</w:t>
            </w:r>
          </w:p>
        </w:tc>
      </w:tr>
      <w:tr>
        <w:tc>
          <w:tcPr>
            <w:tcW w:type="dxa" w:w="1440"/>
          </w:tcPr>
          <w:p>
            <w:r>
              <w:t>G3</w:t>
            </w:r>
          </w:p>
        </w:tc>
        <w:tc>
          <w:tcPr>
            <w:tcW w:type="dxa" w:w="1440"/>
          </w:tcPr>
          <w:p>
            <w:r>
              <w:t>中剂量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IV infusion · Q1W × 3</w:t>
            </w:r>
          </w:p>
        </w:tc>
        <w:tc>
          <w:tcPr>
            <w:tcW w:type="dxa" w:w="1440"/>
          </w:tcPr>
          <w:p>
            <w:r>
              <w:t>核心</w:t>
            </w:r>
          </w:p>
        </w:tc>
      </w:tr>
      <w:tr>
        <w:tc>
          <w:tcPr>
            <w:tcW w:type="dxa" w:w="1440"/>
          </w:tcPr>
          <w:p>
            <w:r>
              <w:t>G4</w:t>
            </w:r>
          </w:p>
        </w:tc>
        <w:tc>
          <w:tcPr>
            <w:tcW w:type="dxa" w:w="1440"/>
          </w:tcPr>
          <w:p>
            <w:r>
              <w:t>高剂量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IV infusion · Q1W × 3</w:t>
            </w:r>
          </w:p>
        </w:tc>
        <w:tc>
          <w:tcPr>
            <w:tcW w:type="dxa" w:w="1440"/>
          </w:tcPr>
          <w:p>
            <w:r>
              <w:t>核心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低剂量 · 卫星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IV infusion · 单次</w:t>
            </w:r>
          </w:p>
        </w:tc>
        <w:tc>
          <w:tcPr>
            <w:tcW w:type="dxa" w:w="1440"/>
          </w:tcPr>
          <w:p>
            <w:r>
              <w:t>卫星 PK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中剂量 · 卫星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IV infusion · 单次</w:t>
            </w:r>
          </w:p>
        </w:tc>
        <w:tc>
          <w:tcPr>
            <w:tcW w:type="dxa" w:w="1440"/>
          </w:tcPr>
          <w:p>
            <w:r>
              <w:t>卫星 PK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高剂量 · 卫星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IV infusion · 单次</w:t>
            </w:r>
          </w:p>
        </w:tc>
        <w:tc>
          <w:tcPr>
            <w:tcW w:type="dxa" w:w="1440"/>
          </w:tcPr>
          <w:p>
            <w:r>
              <w:t>卫星 PK</w:t>
            </w:r>
          </w:p>
        </w:tc>
      </w:tr>
    </w:tbl>
    <w:p>
      <w:pPr>
        <w:pStyle w:val="Heading1"/>
      </w:pPr>
      <w:r>
        <w:t>3. 采样计划</w:t>
      </w:r>
    </w:p>
    <w:p>
      <w:r>
        <w:t>TK：核心组每只 16 个时点（第 1 次与第 3 次给药后各 8 点）；卫星组 PK 每只 11 个时点。血清，每点 0.5 mL。</w:t>
      </w:r>
    </w:p>
    <w:p>
      <w:r>
        <w:t>临床病理：核心组 6 个时点（血液学、血清生化、凝血、尿液）。细胞因子：核心组 21 点、卫星组 7 点。</w:t>
      </w:r>
    </w:p>
    <w:p>
      <w:r>
        <w:t>ADA：核心组 5 点、卫星组 4 点，血清留样。免疫分型：核心组 4 点，全血。</w:t>
      </w:r>
    </w:p>
    <w:p>
      <w:pPr>
        <w:pStyle w:val="Heading1"/>
      </w:pPr>
      <w:r>
        <w:t>4. 生物分析</w:t>
      </w:r>
    </w:p>
    <w:p>
      <w:r>
        <w:t>游离 IMQ、游离 MMAF：LC-MS/MS，方法开发与资格确认。</w:t>
      </w:r>
    </w:p>
    <w:p>
      <w:r>
        <w:t>dpADC、spADC-IMQ、spADC-MMAF、Total mAb：可由 ELISA 或 LC-MS/MS 检测，需选定平台。</w:t>
      </w:r>
    </w:p>
    <w:p>
      <w:r>
        <w:t>细胞因子 10-plex：多重免疫分析，平台待定。免疫分型 Panel A / B：流式细胞术。</w:t>
      </w:r>
    </w:p>
    <w:p>
      <w:pPr>
        <w:pStyle w:val="Heading1"/>
      </w:pPr>
      <w:r>
        <w:t>5. 交付</w:t>
      </w:r>
    </w:p>
    <w:p>
      <w:r>
        <w:t>28 天 DRF/毒理综合报告（中文），Word 报价单 + Excel 报价明细。报价区域与币种以商务确认为准。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