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CGMR v1.1 相对 v1.0 的关键核心更新</w:t>
      </w:r>
    </w:p>
    <w:p>
      <w:pPr>
        <w:pStyle w:val="Subtitle"/>
      </w:pPr>
      <w:r>
        <w:t>相对 margin、全序列风险 top-K 与 accepted repair 预算机制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000000"/>
          <w:sz w:val="22"/>
        </w:rPr>
        <w:t>文档类型：</w:t>
      </w:r>
      <w:r>
        <w:rPr>
          <w:rFonts w:ascii="Calibri" w:hAnsi="Calibri" w:eastAsia="Microsoft YaHei"/>
          <w:color w:val="000000"/>
          <w:sz w:val="22"/>
        </w:rPr>
        <w:t>CGMR 方法版本更新说明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000000"/>
          <w:sz w:val="22"/>
        </w:rPr>
        <w:t>基线版本：</w:t>
      </w:r>
      <w:r>
        <w:rPr>
          <w:rFonts w:ascii="Calibri" w:hAnsi="Calibri" w:eastAsia="Microsoft YaHei"/>
          <w:color w:val="000000"/>
          <w:sz w:val="22"/>
        </w:rPr>
        <w:t>CGMR v1.0（完整保留，可由 selector 回退）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000000"/>
          <w:sz w:val="22"/>
        </w:rPr>
        <w:t>新版本：</w:t>
      </w:r>
      <w:r>
        <w:rPr>
          <w:rFonts w:ascii="Calibri" w:hAnsi="Calibri" w:eastAsia="Microsoft YaHei"/>
          <w:color w:val="000000"/>
          <w:sz w:val="22"/>
        </w:rPr>
        <w:t>CGMR v1.1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000000"/>
          <w:sz w:val="22"/>
        </w:rPr>
        <w:t>代码确认日期：</w:t>
      </w:r>
      <w:r>
        <w:rPr>
          <w:rFonts w:ascii="Calibri" w:hAnsi="Calibri" w:eastAsia="Microsoft YaHei"/>
          <w:color w:val="000000"/>
          <w:sz w:val="22"/>
        </w:rPr>
        <w:t>2026-07-14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000000"/>
          <w:sz w:val="22"/>
        </w:rPr>
        <w:t>验证状态：</w:t>
      </w:r>
      <w:r>
        <w:rPr>
          <w:rFonts w:ascii="Calibri" w:hAnsi="Calibri" w:eastAsia="Microsoft YaHei"/>
          <w:color w:val="000000"/>
          <w:sz w:val="22"/>
        </w:rPr>
        <w:t>已完成静态、导入、selector 与最小单元测试；未运行五条数据或完整实验</w:t>
      </w:r>
    </w:p>
    <w:p>
      <w:pPr>
        <w:spacing w:before="80" w:after="200" w:line="300" w:lineRule="auto"/>
        <w:ind w:left="173" w:right="173"/>
        <w:shd w:fill="F4F6F9"/>
      </w:pPr>
      <w:r>
        <w:rPr>
          <w:rFonts w:ascii="Calibri" w:hAnsi="Calibri" w:eastAsia="Microsoft YaHei"/>
          <w:b/>
          <w:color w:val="1F4D78"/>
          <w:sz w:val="22"/>
        </w:rPr>
        <w:t>资料口径：</w:t>
      </w:r>
      <w:r>
        <w:rPr>
          <w:rFonts w:ascii="Calibri" w:hAnsi="Calibri" w:eastAsia="Microsoft YaHei"/>
          <w:color w:val="000000"/>
          <w:sz w:val="22"/>
        </w:rPr>
        <w:t>参考分析用于提出风险筛选改进方向；实现、默认参数、selector、日志与结果字段均以当前代码和 config 为准。本次未产生新的实验 artifact，因此实验效果只能写为“尚需完整实验验证”，不输出 accuracy 或性能结论。</w:t>
      </w:r>
    </w:p>
    <w:p>
      <w:pPr>
        <w:pStyle w:val="Heading1"/>
      </w:pPr>
      <w:r>
        <w:t>1. 发现了什么问题</w:t>
      </w:r>
    </w:p>
    <w:p>
      <w:r>
        <w:rPr>
          <w:rFonts w:ascii="Calibri" w:hAnsi="Calibri" w:eastAsia="Microsoft YaHei"/>
          <w:b/>
          <w:color w:val="000000"/>
          <w:sz w:val="22"/>
        </w:rPr>
        <w:t>经代码确认，</w:t>
      </w:r>
      <w:r>
        <w:rPr>
          <w:rFonts w:ascii="Calibri" w:hAnsi="Calibri" w:eastAsia="Microsoft YaHei"/>
          <w:color w:val="000000"/>
          <w:sz w:val="22"/>
        </w:rPr>
        <w:t>CGMR v1.0 使用层 L 的 top-1/top-2 绝对 margin 作为主要触发条件，并在从左到右扫描时立即处理最先触发的位置。同时，v1.0 的 max_repair_steps 在多层检查被触发时就消耗一次，而不是只在 token 替换真正被接受时消耗。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绝对 margin 不能充分区分“两个候选都接近 1 的高分近似并列”和“两个候选分数都不高的低质量近似并列”。前者不应仅因绝对差小就自动成为最高风险。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顺序触发会优先占用序列前部位置；当早期位置多次触发但均被拒绝时，后部位置可能没有机会进入多层检查。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触发次数与真实接受次数混用，导致预算语义不清：拒绝事件也会消耗原 max_repair_steps。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参考分析指出，v1.0 的早期 experiment.log 会展开候选逐层 raw/normalized 分数，诊断信息完整但不够简洁，不利于快速查看方法级结果。当前 live 文件中的旧日志段已发生并行变化；本次仅实现 v1.1 的简洁日志，不恢复或改写非本次范围的 v1.0 日志路径。</w:t>
      </w:r>
    </w:p>
    <w:p>
      <w:r>
        <w:rPr>
          <w:rFonts w:ascii="Calibri" w:hAnsi="Calibri" w:eastAsia="Microsoft YaHei"/>
          <w:b/>
          <w:color w:val="1F4D78"/>
          <w:sz w:val="22"/>
        </w:rPr>
        <w:t>边界说明：</w:t>
      </w:r>
      <w:r>
        <w:rPr>
          <w:rFonts w:ascii="Calibri" w:hAnsi="Calibri" w:eastAsia="Microsoft YaHei"/>
          <w:color w:val="000000"/>
          <w:sz w:val="22"/>
        </w:rPr>
        <w:t>以上前三项由 v1.0 代码路径直接确认；它们为何影响最终 accuracy 的程度属于待实验问题。本次没有把参考分析中的五样本现象重新当作已验证结论。</w:t>
      </w:r>
    </w:p>
    <w:p>
      <w:pPr>
        <w:pStyle w:val="Heading1"/>
      </w:pPr>
      <w:r>
        <w:t>2. 做了哪些改动</w:t>
      </w:r>
    </w:p>
    <w:p>
      <w:pPr>
        <w:pStyle w:val="Heading2"/>
      </w:pPr>
      <w:r>
        <w:t>2.1 独立版本边界与 selector</w:t>
      </w:r>
    </w:p>
    <w:p>
      <w:r>
        <w:rPr>
          <w:rFonts w:ascii="Calibri" w:hAnsi="Calibri" w:eastAsia="Microsoft YaHei"/>
          <w:color w:val="000000"/>
          <w:sz w:val="22"/>
        </w:rPr>
        <w:t>新增独立 sidecar CGMR/method_versions/CGMR_v1_1.py 和独立配置 CGMR/configs/CGMR_v1_1.json。CGMR v1.0 文件与参数保留；candidate_reranking_methods.json 通过 cgmr_version 显式选择 v1.1，仍可切回 v1.0 或 none。</w:t>
      </w:r>
    </w:p>
    <w:p>
      <w:pPr>
        <w:pStyle w:val="Heading2"/>
      </w:pPr>
      <w:r>
        <w:t>2.2 相对 margin 与连续风险分数</w:t>
      </w:r>
    </w:p>
    <w:p>
      <w:r>
        <w:rPr>
          <w:rFonts w:ascii="Calibri" w:hAnsi="Calibri" w:eastAsia="Microsoft YaHei"/>
          <w:color w:val="000000"/>
          <w:sz w:val="22"/>
        </w:rPr>
        <w:t>对于层 L 的 top-1 分数 s1 和 top-2 分数 s2，v1.1 同时记录绝对 margin，并新增相对 margin：</w:t>
      </w:r>
    </w:p>
    <w:p>
      <w:pPr>
        <w:spacing w:before="0" w:after="40" w:line="252" w:lineRule="auto"/>
        <w:ind w:left="317" w:right="173"/>
        <w:shd w:fill="F2F4F7"/>
      </w:pPr>
      <w:r>
        <w:rPr>
          <w:rFonts w:ascii="Consolas" w:hAnsi="Consolas" w:eastAsia="Microsoft YaHei"/>
          <w:color w:val="000000"/>
          <w:sz w:val="19"/>
        </w:rPr>
        <w:t>m_abs = s1 - s2</w:t>
      </w:r>
    </w:p>
    <w:p>
      <w:pPr>
        <w:spacing w:before="0" w:after="40" w:line="252" w:lineRule="auto"/>
        <w:ind w:left="317" w:right="173"/>
        <w:shd w:fill="F2F4F7"/>
      </w:pPr>
      <w:r>
        <w:rPr>
          <w:rFonts w:ascii="Consolas" w:hAnsi="Consolas" w:eastAsia="Microsoft YaHei"/>
          <w:color w:val="000000"/>
          <w:sz w:val="19"/>
        </w:rPr>
        <w:t>m_rel = (s1 - s2) / max(1 - s2, epsilon)</w:t>
      </w:r>
    </w:p>
    <w:p>
      <w:pPr>
        <w:spacing w:before="0" w:after="40" w:line="252" w:lineRule="auto"/>
        <w:ind w:left="317" w:right="173"/>
        <w:shd w:fill="F2F4F7"/>
      </w:pPr>
      <w:r>
        <w:rPr>
          <w:rFonts w:ascii="Consolas" w:hAnsi="Consolas" w:eastAsia="Microsoft YaHei"/>
          <w:color w:val="000000"/>
          <w:sz w:val="19"/>
        </w:rPr>
        <w:t>r_rel = 1 - clip(m_rel, 0, 1)</w:t>
      </w:r>
    </w:p>
    <w:p>
      <w:pPr>
        <w:spacing w:before="0" w:after="40" w:line="252" w:lineRule="auto"/>
        <w:ind w:left="317" w:right="173"/>
        <w:shd w:fill="F2F4F7"/>
      </w:pPr>
      <w:r>
        <w:rPr>
          <w:rFonts w:ascii="Consolas" w:hAnsi="Consolas" w:eastAsia="Microsoft YaHei"/>
          <w:color w:val="000000"/>
          <w:sz w:val="19"/>
        </w:rPr>
        <w:t>r_low = clip((tau - s1) / max(abs(tau), epsilon), 0, 1)</w:t>
      </w:r>
    </w:p>
    <w:p>
      <w:pPr>
        <w:spacing w:before="0" w:after="40" w:line="252" w:lineRule="auto"/>
        <w:ind w:left="317" w:right="173"/>
        <w:shd w:fill="F2F4F7"/>
      </w:pPr>
      <w:r>
        <w:rPr>
          <w:rFonts w:ascii="Consolas" w:hAnsi="Consolas" w:eastAsia="Microsoft YaHei"/>
          <w:color w:val="000000"/>
          <w:sz w:val="19"/>
        </w:rPr>
        <w:t>r_drop = clip(previous_s1 - s1, 0, 1)</w:t>
      </w:r>
    </w:p>
    <w:p>
      <w:pPr>
        <w:spacing w:before="0" w:after="40" w:line="252" w:lineRule="auto"/>
        <w:ind w:left="317" w:right="173"/>
        <w:shd w:fill="F2F4F7"/>
      </w:pPr>
      <w:r>
        <w:rPr>
          <w:rFonts w:ascii="Consolas" w:hAnsi="Consolas" w:eastAsia="Microsoft YaHei"/>
          <w:color w:val="000000"/>
          <w:sz w:val="19"/>
        </w:rPr>
        <w:t>R = (w_rel*r_rel + w_low*r_low + w_drop*r_drop) / (w_rel + w_low + w_drop)</w:t>
      </w:r>
    </w:p>
    <w:p>
      <w:r>
        <w:rPr>
          <w:rFonts w:ascii="Calibri" w:hAnsi="Calibri" w:eastAsia="Microsoft YaHei"/>
          <w:color w:val="000000"/>
          <w:sz w:val="22"/>
        </w:rPr>
        <w:t>embedding top-1 与层 L top-1 不一致不再作为独立强触发条件，也不进入 v1.1 默认风险分数。score drop 分量保留为可配置项，但默认权重为 0。</w:t>
      </w:r>
    </w:p>
    <w:p>
      <w:pPr>
        <w:pStyle w:val="Heading2"/>
      </w:pPr>
      <w:r>
        <w:t>2.3 全序列风险 top-K 与从左到右处理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先对 eval_start_pos 之后的全部有效位置做一次层 L 风险扫描，并形成结构化 risk_records。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过滤 risk_score 低于 min_risk_score 的位置，再按风险从高到低选取最多 risk_top_k 个位置。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风险排名只决定检查集合；真正处理时将选中位置按 token position 从小到大排序。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处理每个位置时基于当前已更新 token 序列重新构建 embedding/perplexity 候选并重新计算层 L 与多层分数，不复用初始扫描分数。</w:t>
      </w:r>
    </w:p>
    <w:p>
      <w:pPr>
        <w:pStyle w:val="Heading2"/>
      </w:pPr>
      <w:r>
        <w:t>2.4 accepted repair 预算</w:t>
      </w:r>
    </w:p>
    <w:p>
      <w:r>
        <w:rPr>
          <w:rFonts w:ascii="Calibri" w:hAnsi="Calibri" w:eastAsia="Microsoft YaHei"/>
          <w:color w:val="000000"/>
          <w:sz w:val="22"/>
        </w:rPr>
        <w:t>v1.1 删除 max_repair_steps 语义，改为 risk_top_k 与 max_accepted_repairs 两个独立参数。只有通过现有多层接受条件并真正写入新 token 时 accepted_count 才加 1；拒绝事件只增加 evaluated/rejected 统计。默认 max_accepted_repairs=10。</w:t>
      </w:r>
    </w:p>
    <w:p>
      <w:pPr>
        <w:pStyle w:val="Heading2"/>
      </w:pPr>
      <w:r>
        <w:t>2.5 保留的 v1.0 机制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候选来源仍为 optimized embedding 最近邻、perplexity 候选和当前 token。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有效层解析、层权重归一化、候选批处理和逐层 hidden-state cosine 评分保持不变。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多层分数仍按每层 z-score 标准化后加权聚合；consistency_weight 默认仍为 0。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min_enhanced_gain、min_enhanced_margin 与 max_layer_l_drop 接受条件保持 v1.0 默认值。</w:t>
      </w:r>
    </w:p>
    <w:p>
      <w:pPr>
        <w:pStyle w:val="Heading2"/>
      </w:pPr>
      <w:r>
        <w:t>2.6 日志与 reconstructions.jsonl 分工</w:t>
      </w:r>
    </w:p>
    <w:p>
      <w:r>
        <w:rPr>
          <w:rFonts w:ascii="Calibri" w:hAnsi="Calibri" w:eastAsia="Microsoft YaHei"/>
          <w:color w:val="000000"/>
          <w:sz w:val="22"/>
        </w:rPr>
        <w:t>experiment.log 只保留方法名、前后 accuracy、有效层/权重、风险 top-K 配置、选中/实际处理位置、接受数、修改位置、耗时，以及每个实际处理位置的一行摘要。全序列风险记录、候选来源、逐层 raw/normalized 分数、增强分数和接受原因保存在 reconstructions.jsonl 的 cgmr_v1_1_result/candidate_reranking_result 中。</w:t>
      </w:r>
    </w:p>
    <w:p>
      <w:pPr>
        <w:pStyle w:val="Heading2"/>
      </w:pPr>
      <w:r>
        <w:t>2.7 v1.1 默认参数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56"/>
        <w:gridCol w:w="1728"/>
        <w:gridCol w:w="4176"/>
      </w:tblGrid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参数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默认值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语义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000000"/>
                <w:sz w:val="21"/>
              </w:rPr>
              <w:t>cgmr_v1_1_relative_margin_epsilon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1e-6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相对 margin 分母的稳定项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000000"/>
                <w:sz w:val="21"/>
              </w:rPr>
              <w:t>cgmr_v1_1_relative_margin_risk_weight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0.7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相对 margin 风险权重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000000"/>
                <w:sz w:val="21"/>
              </w:rPr>
              <w:t>cgmr_v1_1_low_score_risk_weight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0.3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低 top-1 分数风险权重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000000"/>
                <w:sz w:val="21"/>
              </w:rPr>
              <w:t>cgmr_v1_1_score_drop_risk_weight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0.0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位置间分数下降权重，默认关闭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000000"/>
                <w:sz w:val="21"/>
              </w:rPr>
              <w:t>cgmr_v1_1_low_score_threshold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0.80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低分风险阈值 tau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000000"/>
                <w:sz w:val="21"/>
              </w:rPr>
              <w:t>cgmr_v1_1_min_risk_score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0.20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进入风险候选集合的最低分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000000"/>
                <w:sz w:val="21"/>
              </w:rPr>
              <w:t>cgmr_v1_1_risk_top_k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20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最多执行多层检查的位置数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000000"/>
                <w:sz w:val="21"/>
              </w:rPr>
              <w:t>cgmr_v1_1_max_accepted_repairs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10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最多接受的真实 token 替换数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000000"/>
                <w:sz w:val="21"/>
              </w:rPr>
              <w:t>cgmr_v1_1_layer_offsets / weights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[0,1,2] / [0.5,0.3,0.2]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保留 v1.0 多层组合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000000"/>
                <w:sz w:val="21"/>
              </w:rPr>
              <w:t>cgmr_v1_1_min_enhanced_gain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0.05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保留 v1.0 接受阈值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000000"/>
                <w:sz w:val="21"/>
              </w:rPr>
              <w:t>cgmr_v1_1_min_enhanced_margin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0.05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保留 v1.0 接受阈值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000000"/>
                <w:sz w:val="21"/>
              </w:rPr>
              <w:t>cgmr_v1_1_max_layer_l_drop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0.02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保留 v1.0 层 L 安全底线</w:t>
            </w:r>
          </w:p>
        </w:tc>
      </w:tr>
    </w:tbl>
    <w:p>
      <w:pPr>
        <w:spacing w:after="40"/>
      </w:pPr>
    </w:p>
    <w:p>
      <w:pPr>
        <w:pStyle w:val="Heading1"/>
      </w:pPr>
      <w:r>
        <w:t>3. 为什么要做这些改动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相对 margin 用第二名到理想 cosine=1 的剩余空间作尺度，使“高分近似并列”和“低分近似并列”不再只由同一个绝对差值描述。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全序列风险排序先决定最值得检查的位置，避免序列前部先触发的位置自然占满检查名额。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选定位置后仍按从左到右处理，是为了让已接受的前部 token 修正进入后续位置的当前前缀；重新评分则保证候选与 hidden state 基于最新前缀。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将 risk_top_k 与 max_accepted_repairs 分开，使计算预算和修改预算各自具有单一语义，拒绝不再消耗真实修改配额。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简洁日志便于人工快速核对；完整 JSONL 保留后续统计和阈值消融所需的结构化证据。</w:t>
      </w:r>
    </w:p>
    <w:p>
      <w:pPr>
        <w:spacing w:before="80" w:after="200" w:line="300" w:lineRule="auto"/>
        <w:ind w:left="173" w:right="173"/>
        <w:shd w:fill="F4F6F9"/>
      </w:pPr>
      <w:r>
        <w:rPr>
          <w:rFonts w:ascii="Calibri" w:hAnsi="Calibri" w:eastAsia="Microsoft YaHei"/>
          <w:b/>
          <w:color w:val="1F4D78"/>
          <w:sz w:val="22"/>
        </w:rPr>
        <w:t>预期代价：</w:t>
      </w:r>
      <w:r>
        <w:rPr>
          <w:rFonts w:ascii="Calibri" w:hAnsi="Calibri" w:eastAsia="Microsoft YaHei"/>
          <w:color w:val="000000"/>
          <w:sz w:val="22"/>
        </w:rPr>
        <w:t>v1.1 在多层重排前增加一次全序列层 L 风险扫描，并对选中位置重新构建候选和评分，forward 开销可能高于 v1.0。风险筛选是否带来净 accuracy 收益、额外耗时和显存影响均尚需完整实验验证。</w:t>
      </w:r>
    </w:p>
    <w:p>
      <w:pPr>
        <w:pStyle w:val="Heading1"/>
      </w:pPr>
      <w:r>
        <w:t>4. 改动后的实验效果</w:t>
      </w:r>
    </w:p>
    <w:p>
      <w:pPr>
        <w:spacing w:before="80" w:after="200" w:line="300" w:lineRule="auto"/>
        <w:ind w:left="173" w:right="173"/>
        <w:shd w:fill="F4F6F9"/>
      </w:pPr>
      <w:r>
        <w:rPr>
          <w:rFonts w:ascii="Calibri" w:hAnsi="Calibri" w:eastAsia="Microsoft YaHei"/>
          <w:b/>
          <w:color w:val="1F4D78"/>
          <w:sz w:val="22"/>
        </w:rPr>
        <w:t>当前结论：</w:t>
      </w:r>
      <w:r>
        <w:rPr>
          <w:rFonts w:ascii="Calibri" w:hAnsi="Calibri" w:eastAsia="Microsoft YaHei"/>
          <w:color w:val="000000"/>
          <w:sz w:val="22"/>
        </w:rPr>
        <w:t>尚需完整实验验证。本次按用户要求只修改代码、配置、输出与文档，没有运行五条数据实验、完整数据集实验或 v1.0/v1.1 性能对比。</w:t>
      </w:r>
    </w:p>
    <w:p>
      <w:r>
        <w:rPr>
          <w:rFonts w:ascii="Calibri" w:hAnsi="Calibri" w:eastAsia="Microsoft YaHei"/>
          <w:color w:val="000000"/>
          <w:sz w:val="22"/>
        </w:rPr>
        <w:t>本次验证只证明语法、导入、selector、配置合并和关键纯逻辑符合接口预期，不能替代真实反演实验。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1728"/>
        <w:gridCol w:w="5184"/>
      </w:tblGrid>
      <w:tr>
        <w:trPr>
          <w:tblHeader w:val="true"/>
        </w:trP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验证项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结果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边界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py_compile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通过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覆盖 v1.0/v1.1 sidecar、invert.py、experiment_outputs.py 与相关测试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CGMR 单元测试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12/12 通过</w:t>
            </w:r>
            <w:r>
              <w:rPr>
                <w:rFonts w:ascii="Calibri" w:hAnsi="Calibri" w:eastAsia="Microsoft YaHei"/>
                <w:color w:val="000000"/>
                <w:sz w:val="21"/>
              </w:rPr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覆盖相对 margin、risk top-K、左到右处理、前缀更新和 accepted 预算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selector/layout 与简洁日志定向测试</w:t>
            </w:r>
            <w:r>
              <w:rPr>
                <w:rFonts w:ascii="Calibri" w:hAnsi="Calibri" w:eastAsia="Microsoft YaHei"/>
                <w:color w:val="000000"/>
                <w:sz w:val="21"/>
              </w:rPr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8/8 通过</w:t>
            </w:r>
            <w:r>
              <w:rPr>
                <w:rFonts w:ascii="Calibri" w:hAnsi="Calibri" w:eastAsia="Microsoft YaHei"/>
                <w:color w:val="000000"/>
                <w:sz w:val="21"/>
              </w:rPr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3 项 selector 与 5 项 experiment.log 测试；覆盖 v1.0 回退、v1.1 API、固定基础摘要和真实 v1.1 简洁处理明细</w:t>
            </w:r>
            <w:r>
              <w:rPr>
                <w:rFonts w:ascii="Calibri" w:hAnsi="Calibri" w:eastAsia="Microsoft YaHei"/>
                <w:color w:val="000000"/>
                <w:sz w:val="21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配置/导入检查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通过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确认 cgmr_version=v1.1 且 v1.0/v1.1 均可加载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全量 unittest discover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50/52 通过</w:t>
            </w:r>
            <w:r>
              <w:rPr>
                <w:rFonts w:ascii="Calibri" w:hAnsi="Calibri" w:eastAsia="Microsoft YaHei"/>
                <w:color w:val="000000"/>
                <w:sz w:val="21"/>
              </w:rPr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2 项既有失败来自 live suffix selector=v1.2，而旧断言期待 v1.3；与本次 CGMR 改动无关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五条数据与完整实验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未执行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21"/>
              </w:rPr>
              <w:t>等待后续明确实验指令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  <w:color w:val="1F4D78"/>
          <w:sz w:val="22"/>
        </w:rPr>
        <w:t>后续实验必须核对：</w:t>
      </w:r>
      <w:r>
        <w:rPr>
          <w:rFonts w:ascii="Calibri" w:hAnsi="Calibri" w:eastAsia="Microsoft YaHei"/>
          <w:color w:val="000000"/>
          <w:sz w:val="22"/>
        </w:rPr>
        <w:t>resolved_config.json、experiment.log、reconstructions.jsonl 和对应 .xlsx；分别报告上游 accuracy、CGMR pre/post accuracy、风险位置数、实际检查数、接受/拒绝数、正确修复/错误破坏数、耗时与有效层。</w:t>
      </w:r>
    </w:p>
    <w:p>
      <w:pPr>
        <w:pStyle w:val="Heading1"/>
      </w:pPr>
      <w:r>
        <w:t>5. 后续改进方向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收到明确实验指令后，先运行约定的五条数据，验证 artifact 字段与日志口径，再决定是否扩大样本。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对 min_risk_score、risk_top_k、相对 margin/低分权重和 max_accepted_repairs 做消融，不从单次小样本直接确定最佳值。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统计错误位置 candidate recall、正确 token 的层 L/多层排名，以及接受修改中的正确修复率和正确位置破坏率。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比较相邻层与间隔层组合，并测量全序列风险扫描带来的时间与显存开销。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本版本没有加入后续位置传播窗口，也没有重新设计多层权重；这两项应在 v1.1 风险选择机制验证后另行消融。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继续验证 CGMR 触发、评分与接受决策不读取 Ground Truth；Ground Truth 只用于离线效果统计。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r>
      <w:rPr>
        <w:rFonts w:ascii="Calibri" w:hAnsi="Calibri" w:eastAsia="Microsoft YaHei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Microsoft YaHei"/>
        <w:b/>
        <w:color w:val="666666"/>
        <w:sz w:val="18"/>
      </w:rPr>
      <w:t>CGMR 方法更新 | v1.1</w:t>
    </w:r>
    <w:r>
      <w:rPr>
        <w:rFonts w:ascii="Calibri" w:hAnsi="Calibri" w:eastAsia="Microsoft YaHei"/>
        <w:color w:val="666666"/>
        <w:sz w:val="18"/>
      </w:rPr>
      <w:tab/>
    </w:r>
    <w:r>
      <w:rPr>
        <w:rFonts w:ascii="Calibri" w:hAnsi="Calibri" w:eastAsia="Microsoft YaHei"/>
        <w:color w:val="666666"/>
        <w:sz w:val="18"/>
      </w:rPr>
      <w:t>DEML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76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CGMR v1.1 相对 v1.0 的关键核心更新</dc:title>
  <dc:subject>CGMR v1.1 方法版本更新说明</dc:subject>
  <dc:creator>DEML project</dc:creator>
  <cp:keywords>CGMR,v1.1,relative margin,risk top-K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