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Calibri" w:hAnsi="Calibri" w:eastAsia="Microsoft YaHei"/>
          <w:b/>
          <w:color w:val="2E74B5"/>
          <w:sz w:val="20"/>
        </w:rPr>
        <w:t>方法版本更新与小样本消融报告</w:t>
      </w:r>
    </w:p>
    <w:p>
      <w:pPr>
        <w:keepNext/>
        <w:spacing w:before="0" w:after="80"/>
      </w:pPr>
      <w:r>
        <w:rPr>
          <w:rFonts w:ascii="Calibri" w:hAnsi="Calibri" w:eastAsia="Microsoft YaHei"/>
          <w:b/>
          <w:color w:val="0B2545"/>
          <w:sz w:val="48"/>
        </w:rPr>
        <w:t>v1.2.1 相对 v1.2 的关键核心更新</w:t>
      </w:r>
    </w:p>
    <w:p>
      <w:pPr>
        <w:spacing w:before="0" w:after="280"/>
      </w:pPr>
      <w:r>
        <w:rPr>
          <w:rFonts w:ascii="Calibri" w:hAnsi="Calibri" w:eastAsia="Microsoft YaHei"/>
          <w:color w:val="666666"/>
          <w:sz w:val="23"/>
        </w:rPr>
        <w:t>Suffix reoptimization 损失函数中移除 MSN / nearest-vocabulary manifold constraint</w:t>
      </w:r>
    </w:p>
    <w:p>
      <w:pPr>
        <w:spacing w:before="0" w:after="40"/>
      </w:pPr>
      <w:r>
        <w:rPr>
          <w:rFonts w:ascii="Calibri" w:hAnsi="Calibri" w:eastAsia="Microsoft YaHei"/>
          <w:b/>
          <w:sz w:val="21"/>
        </w:rPr>
        <w:t>对照版本：</w:t>
      </w:r>
      <w:r>
        <w:rPr>
          <w:rFonts w:ascii="Calibri" w:hAnsi="Calibri" w:eastAsia="Microsoft YaHei"/>
          <w:sz w:val="21"/>
        </w:rPr>
        <w:t>v1.2；正式 run：results/invert_timestamp_runs/20260705-104824</w:t>
      </w:r>
    </w:p>
    <w:p>
      <w:pPr>
        <w:spacing w:before="0" w:after="40"/>
      </w:pPr>
      <w:r>
        <w:rPr>
          <w:rFonts w:ascii="Calibri" w:hAnsi="Calibri" w:eastAsia="Microsoft YaHei"/>
          <w:b/>
          <w:sz w:val="21"/>
        </w:rPr>
        <w:t>新版本：</w:t>
      </w:r>
      <w:r>
        <w:rPr>
          <w:rFonts w:ascii="Calibri" w:hAnsi="Calibri" w:eastAsia="Microsoft YaHei"/>
          <w:sz w:val="21"/>
        </w:rPr>
        <w:t>v1.2.1；正式 run：results/invert_timestamp_runs/20260710-165228</w:t>
      </w:r>
    </w:p>
    <w:p>
      <w:pPr>
        <w:spacing w:before="0" w:after="40"/>
      </w:pPr>
      <w:r>
        <w:rPr>
          <w:rFonts w:ascii="Calibri" w:hAnsi="Calibri" w:eastAsia="Microsoft YaHei"/>
          <w:b/>
          <w:sz w:val="21"/>
        </w:rPr>
        <w:t>实验口径：</w:t>
      </w:r>
      <w:r>
        <w:rPr>
          <w:rFonts w:ascii="Calibri" w:hAnsi="Calibri" w:eastAsia="Microsoft YaHei"/>
          <w:sz w:val="21"/>
        </w:rPr>
        <w:t>Qwen/Qwen2.5-1.5B；airport.csv；5 条；main epoch=1000；layer=27；seed=0</w:t>
      </w:r>
    </w:p>
    <w:p>
      <w:pPr>
        <w:spacing w:before="0" w:after="40"/>
      </w:pPr>
      <w:r>
        <w:rPr>
          <w:rFonts w:ascii="Calibri" w:hAnsi="Calibri" w:eastAsia="Microsoft YaHei"/>
          <w:b/>
          <w:sz w:val="21"/>
        </w:rPr>
        <w:t>验证状态：</w:t>
      </w:r>
      <w:r>
        <w:rPr>
          <w:rFonts w:ascii="Calibri" w:hAnsi="Calibri" w:eastAsia="Microsoft YaHei"/>
          <w:sz w:val="21"/>
        </w:rPr>
        <w:t>12 个 v1.2.1 单测 + 5 个 v1.2 回归测试通过；指定 py_compile 通过；正式 run 5/5 完成</w:t>
      </w:r>
    </w:p>
    <w:p>
      <w:pPr>
        <w:spacing w:before="200" w:after="200"/>
        <w:ind w:left="115" w:right="115"/>
        <w:shd w:fill="F4F6F9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0B2545"/>
          <w:sz w:val="22"/>
        </w:rPr>
        <w:t>结论摘要：</w:t>
      </w:r>
      <w:r>
        <w:rPr>
          <w:rFonts w:ascii="Calibri" w:hAnsi="Calibri" w:eastAsia="Microsoft YaHei"/>
          <w:color w:val="0B2545"/>
          <w:sz w:val="22"/>
        </w:rPr>
        <w:t>在同一 5 条样本口径下，v1.2.1 平均 accuracy 为 0.743894，相对 v1.2 提升 +0.004915；样本耗时总和由 5343.66s 降至 2681.69s，变化 -49.82%。这是小样本消融观察，不代表统计显著性。</w:t>
      </w:r>
    </w:p>
    <w:p>
      <w:pPr>
        <w:pStyle w:val="Heading1"/>
      </w:pPr>
      <w:r>
        <w:t>资料口径与验证边界</w:t>
      </w:r>
    </w:p>
    <w:p>
      <w:r>
        <w:rPr>
          <w:rFonts w:ascii="Calibri" w:hAnsi="Calibri" w:eastAsia="Microsoft YaHei"/>
        </w:rPr>
        <w:t>本文吸收用户提供的消融目标，同时以当前代码、独立 config、resolved_config.json、experiment.log、reconstructions.jsonl 和 Excel 汇总为准。损失函数与选择逻辑经代码确认；实验数值均来自正式 timestamp run。</w:t>
      </w:r>
    </w:p>
    <w:p>
      <w:r>
        <w:rPr>
          <w:rFonts w:ascii="Calibri" w:hAnsi="Calibri" w:eastAsia="Microsoft YaHei"/>
        </w:rPr>
        <w:t>v1.2 正式目录 20260705-104824 当前未保留 experiment.log，因此旧版样本耗时取自 reconstructions.jsonl 的 elapsed_seconds；v1.2.1 同时有日志与 JSONL。为保持公平，总耗时对比采用两边 5 条 elapsed_seconds 的求和，不混用命令启动/模型加载墙钟。</w:t>
      </w:r>
    </w:p>
    <w:p>
      <w:pPr>
        <w:pStyle w:val="Heading1"/>
      </w:pPr>
      <w:r>
        <w:t>1. 发现了什么问题</w:t>
      </w:r>
    </w:p>
    <w:p>
      <w:r>
        <w:rPr>
          <w:rFonts w:ascii="Calibri" w:hAnsi="Calibri" w:eastAsia="Microsoft YaHei"/>
        </w:rPr>
        <w:t>v1.2 在每轮 suffix 重优化中，除 weighted hidden loss、prox loss 和 range loss 外，还会在 warmup 后周期性计算 suffix embedding 到词表最近邻的 manifold loss。正式 v1.2 artifact 显示每轮 manifold_updates=4；两轮均触发时会重复执行词表分块搜索。</w:t>
      </w:r>
    </w:p>
    <w:p>
      <w:r>
        <w:rPr>
          <w:rFonts w:ascii="Calibri" w:hAnsi="Calibri" w:eastAsia="Microsoft YaHei"/>
        </w:rPr>
        <w:t>这个约束可能把连续 embedding 拉回离散词表流形，但也引入显著的最近邻计算开销，并让 hidden 对齐、prox、range 与词表先验的贡献难以区分。因此需要一个只移除该项的版本，观察准确率与耗时变化。主反演过程中的普通 MSE/hidden 优化没有删除或改写。</w:t>
      </w:r>
    </w:p>
    <w:p>
      <w:pPr>
        <w:pStyle w:val="Heading1"/>
      </w:pPr>
      <w:r>
        <w:t>2. 做了哪些改动</w:t>
      </w:r>
    </w:p>
    <w:p>
      <w:pPr>
        <w:pStyle w:val="Caption"/>
      </w:pPr>
      <w:r>
        <w:rPr>
          <w:rFonts w:ascii="Calibri" w:hAnsi="Calibri" w:eastAsia="Microsoft YaHei"/>
          <w:color w:val="666666"/>
          <w:sz w:val="18"/>
        </w:rPr>
        <w:t>表 1  v1.2 与 v1.2.1 的核心机制差异（代码确认）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500"/>
        <w:gridCol w:w="2500"/>
        <w:gridCol w:w="2860"/>
      </w:tblGrid>
      <w:tr>
        <w:trPr>
          <w:tblHeader w:val="true"/>
        </w:trPr>
        <w:tc>
          <w:tcPr>
            <w:tcW w:type="dxa" w:w="15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维度</w:t>
            </w:r>
          </w:p>
        </w:tc>
        <w:tc>
          <w:tcPr>
            <w:tcW w:type="dxa" w:w="25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v1.2</w:t>
            </w:r>
          </w:p>
        </w:tc>
        <w:tc>
          <w:tcPr>
            <w:tcW w:type="dxa" w:w="25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v1.2.1</w:t>
            </w:r>
          </w:p>
        </w:tc>
        <w:tc>
          <w:tcPr>
            <w:tcW w:type="dxa" w:w="28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说明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总损失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hidden + prox + manifold + range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hidden + prox + range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唯一核心算法变化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词表最近邻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调用 _nearest_vocab_embeddings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函数不定义、优化路径不调用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消除最近邻搜索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manifold 参数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weight/update/warmup 参与计算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独立 config 不提供可计算权重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仅保留 false/0 追踪元数据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异常检测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adaptive + threshold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完全保留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原因名与 scan_pos 逻辑不变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接受与多轮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oracle_accuracy；最多 2 轮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完全保留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候选重排和接受逻辑不变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版本接入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显式 selector v1.2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显式 selector v1.2.1，可回退 v1.2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fallback 优先级新增 v1.2.1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Microsoft YaHei"/>
          <w:b/>
        </w:rPr>
        <w:t>v1.2.1 实际损失函数：</w:t>
      </w:r>
      <w:r>
        <w:rPr>
          <w:rFonts w:ascii="Calibri" w:hAnsi="Calibri" w:eastAsia="Microsoft YaHei"/>
        </w:rPr>
        <w:t>loss = weighted_hidden_loss + prox_weight × prox_loss + range_weight × range_loss。新版本 sidecar 中不存在 manifold_loss、config.manifold_* 或 _nearest_vocab_embeddings 调用。</w:t>
      </w:r>
    </w:p>
    <w:p>
      <w:r>
        <w:rPr>
          <w:rFonts w:ascii="Calibri" w:hAnsi="Calibri" w:eastAsia="Microsoft YaHei"/>
        </w:rPr>
        <w:t>经 resolved config 对照，v1.2 与 v1.2.1 的 22 个共同有效参数逐项一致；包括 max_rounds、suffix epoch/lr、自适应阈值、hidden 权重、prox/range、accept_mode、accuracy_tolerance 与 min_hidden_delta。</w:t>
      </w:r>
    </w:p>
    <w:p>
      <w:r>
        <w:rPr>
          <w:rFonts w:ascii="Calibri" w:hAnsi="Calibri" w:eastAsia="Microsoft YaHei"/>
        </w:rPr>
        <w:t>新增文件包括 suffix_reoptimization_v1_2_1.py、suffix_reoptimization_v1_2_1.json 和 test_suffix_reoptimization_v1_2_1.py；invert.py、experiment_outputs.py 与 advanced_methods.json 只承担版本接线和输出同步。v1.2、v1.1、v1.0 文件均保留。</w:t>
      </w:r>
    </w:p>
    <w:p>
      <w:pPr>
        <w:pStyle w:val="Heading1"/>
      </w:pPr>
      <w:r>
        <w:t>3. 为什么移除 MSN / manifold</w:t>
      </w:r>
    </w:p>
    <w:p>
      <w:r>
        <w:rPr>
          <w:rFonts w:ascii="Calibri" w:hAnsi="Calibri" w:eastAsia="Microsoft YaHei"/>
        </w:rPr>
        <w:t>第一，形成单变量消融：pre_acc、数据、模型、seed、主反演和 suffix 的非 manifold 参数均一致，因此 v1.2 与 v1.2.1 的差异可集中解释为词表流形项的有无。</w:t>
      </w:r>
    </w:p>
    <w:p>
      <w:r>
        <w:rPr>
          <w:rFonts w:ascii="Calibri" w:hAnsi="Calibri" w:eastAsia="Microsoft YaHei"/>
        </w:rPr>
        <w:t>第二，降低重复词表扫描：v1.2 每轮会多次刷新 nearest-vocabulary embedding；v1.2.1 不执行这条路径，使长序列、多轮触发时的计算成本显著下降。</w:t>
      </w:r>
    </w:p>
    <w:p>
      <w:r>
        <w:rPr>
          <w:rFonts w:ascii="Calibri" w:hAnsi="Calibri" w:eastAsia="Microsoft YaHei"/>
        </w:rPr>
        <w:t>第三，提高可解释性：保留 weighted hidden、prox 与 range 后，可以直接观察 continuous hidden 对齐在缺少离散词表锚定时的表现。代价是某些样本可能失去有益先验，因此不预设 ACC 必然提升，必须以 artifact 结果判断。</w:t>
      </w:r>
    </w:p>
    <w:p>
      <w:pPr>
        <w:pStyle w:val="Heading1"/>
      </w:pPr>
      <w:r>
        <w:t>4. 改动后的实验效果</w:t>
      </w:r>
    </w:p>
    <w:p>
      <w:pPr>
        <w:pStyle w:val="Caption"/>
      </w:pPr>
      <w:r>
        <w:rPr>
          <w:rFonts w:ascii="Calibri" w:hAnsi="Calibri" w:eastAsia="Microsoft YaHei"/>
          <w:color w:val="666666"/>
          <w:sz w:val="18"/>
        </w:rPr>
        <w:t>表 2  正式 run 与实验口径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3730"/>
        <w:gridCol w:w="3730"/>
      </w:tblGrid>
      <w:tr>
        <w:trPr>
          <w:tblHeader w:val="true"/>
        </w:trPr>
        <w:tc>
          <w:tcPr>
            <w:tcW w:type="dxa" w:w="19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373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v1.2</w:t>
            </w:r>
          </w:p>
        </w:tc>
        <w:tc>
          <w:tcPr>
            <w:tcW w:type="dxa" w:w="373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v1.2.1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正式 run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results/invert_timestamp_runs/20260705-104824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results/invert_timestamp_runs/20260710-165228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模型 / 数据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Qwen/Qwen2.5-1.5B；airport.csv；5 条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相同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主反演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epoch=1000；num_invert_layers=27；seed=0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相同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Suffix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epoch=50；max_rounds=2；adaptive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相同，唯独移除 manifold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完整性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5 条；索引 0-4；JSONL + resolved + Excel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5 条；索引 0-4；另含 experiment.log</w:t>
            </w:r>
          </w:p>
        </w:tc>
      </w:tr>
    </w:tbl>
    <w:p>
      <w:pPr>
        <w:spacing w:before="0" w:after="40"/>
      </w:pPr>
    </w:p>
    <w:p>
      <w:pPr>
        <w:pStyle w:val="Caption"/>
      </w:pPr>
      <w:r>
        <w:rPr>
          <w:rFonts w:ascii="Calibri" w:hAnsi="Calibri" w:eastAsia="Microsoft YaHei"/>
          <w:color w:val="666666"/>
          <w:sz w:val="18"/>
        </w:rPr>
        <w:t>表 3  样本级 accuracy、pre/post 与增益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00"/>
        <w:gridCol w:w="1150"/>
        <w:gridCol w:w="1300"/>
        <w:gridCol w:w="1200"/>
        <w:gridCol w:w="1400"/>
        <w:gridCol w:w="1200"/>
        <w:gridCol w:w="2510"/>
      </w:tblGrid>
      <w:tr>
        <w:trPr>
          <w:tblHeader w:val="true"/>
        </w:trPr>
        <w:tc>
          <w:tcPr>
            <w:tcW w:type="dxa" w:w="6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样本</w:t>
            </w:r>
          </w:p>
        </w:tc>
        <w:tc>
          <w:tcPr>
            <w:tcW w:type="dxa" w:w="115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共同 pre_acc</w:t>
            </w:r>
          </w:p>
        </w:tc>
        <w:tc>
          <w:tcPr>
            <w:tcW w:type="dxa" w:w="13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v1.2 最终</w:t>
            </w:r>
          </w:p>
        </w:tc>
        <w:tc>
          <w:tcPr>
            <w:tcW w:type="dxa" w:w="12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v1.2 gain</w:t>
            </w:r>
          </w:p>
        </w:tc>
        <w:tc>
          <w:tcPr>
            <w:tcW w:type="dxa" w:w="14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v1.2.1 最终</w:t>
            </w:r>
          </w:p>
        </w:tc>
        <w:tc>
          <w:tcPr>
            <w:tcW w:type="dxa" w:w="12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v1.2.1 gain</w:t>
            </w:r>
          </w:p>
        </w:tc>
        <w:tc>
          <w:tcPr>
            <w:tcW w:type="dxa" w:w="251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ACC 差值</w:t>
            </w:r>
          </w:p>
        </w:tc>
      </w:tr>
      <w:tr>
        <w:trPr/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0.285714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0.591837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+0.306122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0.561224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+0.275510</w:t>
            </w:r>
          </w:p>
        </w:tc>
        <w:tc>
          <w:tcPr>
            <w:tcW w:type="dxa" w:w="2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-0.030612</w:t>
            </w:r>
          </w:p>
        </w:tc>
      </w:tr>
      <w:tr>
        <w:trPr/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0.581699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0.797386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+0.215686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0.803922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+0.222222</w:t>
            </w:r>
          </w:p>
        </w:tc>
        <w:tc>
          <w:tcPr>
            <w:tcW w:type="dxa" w:w="2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+0.006536</w:t>
            </w:r>
          </w:p>
        </w:tc>
      </w:tr>
      <w:tr>
        <w:trPr/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0.636364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0.863636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+0.227273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0.878788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+0.242424</w:t>
            </w:r>
          </w:p>
        </w:tc>
        <w:tc>
          <w:tcPr>
            <w:tcW w:type="dxa" w:w="2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+0.015152</w:t>
            </w:r>
          </w:p>
        </w:tc>
      </w:tr>
      <w:tr>
        <w:trPr/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3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0.394495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0.623853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+0.229358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0.642202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+0.247706</w:t>
            </w:r>
          </w:p>
        </w:tc>
        <w:tc>
          <w:tcPr>
            <w:tcW w:type="dxa" w:w="2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+0.018349</w:t>
            </w:r>
          </w:p>
        </w:tc>
      </w:tr>
      <w:tr>
        <w:trPr/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4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0.530303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0.818182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+0.287879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0.833333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+0.303030</w:t>
            </w:r>
          </w:p>
        </w:tc>
        <w:tc>
          <w:tcPr>
            <w:tcW w:type="dxa" w:w="2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+0.015152</w:t>
            </w:r>
          </w:p>
        </w:tc>
      </w:tr>
      <w:tr>
        <w:trPr/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平均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0.485715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0.738979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+0.253264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0.743894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+0.258179</w:t>
            </w:r>
          </w:p>
        </w:tc>
        <w:tc>
          <w:tcPr>
            <w:tcW w:type="dxa" w:w="2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+0.004915</w:t>
            </w:r>
          </w:p>
        </w:tc>
      </w:tr>
    </w:tbl>
    <w:p>
      <w:pPr>
        <w:spacing w:before="0" w:after="40"/>
      </w:pPr>
    </w:p>
    <w:p>
      <w:pPr>
        <w:pStyle w:val="Caption"/>
      </w:pPr>
      <w:r>
        <w:rPr>
          <w:rFonts w:ascii="Calibri" w:hAnsi="Calibri" w:eastAsia="Microsoft YaHei"/>
          <w:color w:val="666666"/>
          <w:sz w:val="18"/>
        </w:rPr>
        <w:t>表 4  样本运行时间与总耗时（均取 JSONL elapsed_seconds）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00"/>
        <w:gridCol w:w="1900"/>
        <w:gridCol w:w="1900"/>
        <w:gridCol w:w="1900"/>
        <w:gridCol w:w="2960"/>
      </w:tblGrid>
      <w:tr>
        <w:trPr>
          <w:tblHeader w:val="true"/>
        </w:trPr>
        <w:tc>
          <w:tcPr>
            <w:tcW w:type="dxa" w:w="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样本</w:t>
            </w:r>
          </w:p>
        </w:tc>
        <w:tc>
          <w:tcPr>
            <w:tcW w:type="dxa" w:w="19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v1.2</w:t>
            </w:r>
          </w:p>
        </w:tc>
        <w:tc>
          <w:tcPr>
            <w:tcW w:type="dxa" w:w="19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v1.2.1</w:t>
            </w:r>
          </w:p>
        </w:tc>
        <w:tc>
          <w:tcPr>
            <w:tcW w:type="dxa" w:w="19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新 - 旧</w:t>
            </w:r>
          </w:p>
        </w:tc>
        <w:tc>
          <w:tcPr>
            <w:tcW w:type="dxa" w:w="29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变化率</w:t>
            </w:r>
          </w:p>
        </w:tc>
      </w:tr>
      <w:tr>
        <w:trPr/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269.62s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323.84s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+54.21s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+20.11%</w:t>
            </w:r>
          </w:p>
        </w:tc>
      </w:tr>
      <w:tr>
        <w:trPr/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2695.08s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904.64s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-1790.43s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-66.43%</w:t>
            </w:r>
          </w:p>
        </w:tc>
      </w:tr>
      <w:tr>
        <w:trPr/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202.60s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218.60s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+16.00s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+7.90%</w:t>
            </w:r>
          </w:p>
        </w:tc>
      </w:tr>
      <w:tr>
        <w:trPr/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1818.26s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836.58s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-981.69s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-53.99%</w:t>
            </w:r>
          </w:p>
        </w:tc>
      </w:tr>
      <w:tr>
        <w:trPr/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358.09s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398.04s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+39.94s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+11.15%</w:t>
            </w:r>
          </w:p>
        </w:tc>
      </w:tr>
      <w:tr>
        <w:trPr/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合计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5343.66s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2681.69s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-2661.97s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-49.82%</w:t>
            </w:r>
          </w:p>
        </w:tc>
      </w:tr>
    </w:tbl>
    <w:p>
      <w:pPr>
        <w:spacing w:before="0" w:after="40"/>
      </w:pPr>
    </w:p>
    <w:p>
      <w:pPr>
        <w:pStyle w:val="Caption"/>
      </w:pPr>
      <w:r>
        <w:rPr>
          <w:rFonts w:ascii="Calibri" w:hAnsi="Calibri" w:eastAsia="Microsoft YaHei"/>
          <w:color w:val="666666"/>
          <w:sz w:val="18"/>
        </w:rPr>
        <w:t>表 5  接受轮次与 changed positions 数量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00"/>
        <w:gridCol w:w="1800"/>
        <w:gridCol w:w="2000"/>
        <w:gridCol w:w="2100"/>
        <w:gridCol w:w="2760"/>
      </w:tblGrid>
      <w:tr>
        <w:trPr>
          <w:tblHeader w:val="true"/>
        </w:trPr>
        <w:tc>
          <w:tcPr>
            <w:tcW w:type="dxa" w:w="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样本</w:t>
            </w:r>
          </w:p>
        </w:tc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v1.2 接受轮</w:t>
            </w:r>
          </w:p>
        </w:tc>
        <w:tc>
          <w:tcPr>
            <w:tcW w:type="dxa" w:w="20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v1.2.1 接受轮</w:t>
            </w:r>
          </w:p>
        </w:tc>
        <w:tc>
          <w:tcPr>
            <w:tcW w:type="dxa" w:w="21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v1.2 changed</w:t>
            </w:r>
          </w:p>
        </w:tc>
        <w:tc>
          <w:tcPr>
            <w:tcW w:type="dxa" w:w="27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v1.2.1 changed</w:t>
            </w:r>
          </w:p>
        </w:tc>
      </w:tr>
      <w:tr>
        <w:trPr/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63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68</w:t>
            </w:r>
          </w:p>
        </w:tc>
      </w:tr>
      <w:tr>
        <w:trPr/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54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57</w:t>
            </w:r>
          </w:p>
        </w:tc>
      </w:tr>
      <w:tr>
        <w:trPr/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19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21</w:t>
            </w:r>
          </w:p>
        </w:tc>
      </w:tr>
      <w:tr>
        <w:trPr/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63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62</w:t>
            </w:r>
          </w:p>
        </w:tc>
      </w:tr>
      <w:tr>
        <w:trPr/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28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28</w:t>
            </w:r>
          </w:p>
        </w:tc>
      </w:tr>
    </w:tbl>
    <w:p>
      <w:pPr>
        <w:spacing w:before="0" w:after="40"/>
      </w:pPr>
    </w:p>
    <w:p>
      <w:pPr>
        <w:pStyle w:val="Caption"/>
      </w:pPr>
      <w:r>
        <w:rPr>
          <w:rFonts w:ascii="Calibri" w:hAnsi="Calibri" w:eastAsia="Microsoft YaHei"/>
          <w:color w:val="666666"/>
          <w:sz w:val="18"/>
        </w:rPr>
        <w:t>表 6  已触发轮次中的 anomaly reasons 分布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000"/>
        <w:gridCol w:w="2680"/>
        <w:gridCol w:w="2680"/>
      </w:tblGrid>
      <w:tr>
        <w:trPr>
          <w:tblHeader w:val="true"/>
        </w:trPr>
        <w:tc>
          <w:tcPr>
            <w:tcW w:type="dxa" w:w="40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原因</w:t>
            </w:r>
          </w:p>
        </w:tc>
        <w:tc>
          <w:tcPr>
            <w:tcW w:type="dxa" w:w="26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v1.2 次数</w:t>
            </w:r>
          </w:p>
        </w:tc>
        <w:tc>
          <w:tcPr>
            <w:tcW w:type="dxa" w:w="26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v1.2.1 次数</w:t>
            </w:r>
          </w:p>
        </w:tc>
      </w:tr>
      <w:tr>
        <w:trPr/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hidden_adaptive_low</w:t>
            </w:r>
          </w:p>
        </w:tc>
        <w:tc>
          <w:tcPr>
            <w:tcW w:type="dxa" w:w="2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7</w:t>
            </w:r>
          </w:p>
        </w:tc>
        <w:tc>
          <w:tcPr>
            <w:tcW w:type="dxa" w:w="2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6</w:t>
            </w:r>
          </w:p>
        </w:tc>
      </w:tr>
      <w:tr>
        <w:trPr/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token_forward_adaptive_low</w:t>
            </w:r>
          </w:p>
        </w:tc>
        <w:tc>
          <w:tcPr>
            <w:tcW w:type="dxa" w:w="2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6</w:t>
            </w:r>
          </w:p>
        </w:tc>
        <w:tc>
          <w:tcPr>
            <w:tcW w:type="dxa" w:w="2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6</w:t>
            </w:r>
          </w:p>
        </w:tc>
      </w:tr>
      <w:tr>
        <w:trPr/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token_forward_drop</w:t>
            </w:r>
          </w:p>
        </w:tc>
        <w:tc>
          <w:tcPr>
            <w:tcW w:type="dxa" w:w="2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6</w:t>
            </w:r>
          </w:p>
        </w:tc>
        <w:tc>
          <w:tcPr>
            <w:tcW w:type="dxa" w:w="2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7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4.1 小样本消融观察</w:t>
      </w:r>
    </w:p>
    <w:p>
      <w:r>
        <w:rPr>
          <w:rFonts w:ascii="Calibri" w:hAnsi="Calibri" w:eastAsia="Microsoft YaHei"/>
        </w:rPr>
        <w:t>ACC：v1.2.1 平均 0.743894，相对 v1.2 的 0.738979 提升 +0.004915。5 条中 4 条提升、1 条下降；sample 0 下降 0.030612。因此只能表述为平均值略有正向变化，不能声称稳定逐样本提升或统计显著。</w:t>
      </w:r>
    </w:p>
    <w:p>
      <w:r>
        <w:rPr>
          <w:rFonts w:ascii="Calibri" w:hAnsi="Calibri" w:eastAsia="Microsoft YaHei"/>
        </w:rPr>
        <w:t>触发与接受：两版异常触发率均为 100%，两版都接受 10/10 个触发轮次。原因分布仅小幅变化，说明 adaptive 检测与多轮接受行为整体保留。</w:t>
      </w:r>
    </w:p>
    <w:p>
      <w:r>
        <w:rPr>
          <w:rFonts w:ascii="Calibri" w:hAnsi="Calibri" w:eastAsia="Microsoft YaHei"/>
        </w:rPr>
        <w:t>耗时：样本耗时总和减少 2661.97s（49.82%）。但并非逐样本都更快：两条长样本 sample 1 与 3 分别下降 66.43% 和 53.99%，三条较短样本反而增加 7.90%-20.11%。总降时主要由长序列收益驱动。</w:t>
      </w:r>
    </w:p>
    <w:p>
      <w:r>
        <w:rPr>
          <w:rFonts w:ascii="Calibri" w:hAnsi="Calibri" w:eastAsia="Microsoft YaHei"/>
        </w:rPr>
        <w:t>对“是否减少优化耗时”的结论：按端到端 sample elapsed_seconds，答案是总体明显降低。但 v1.2 artifact 没有独立的 per-round optimizer timing，无法把 suffix 优化核与候选重排完全拆开。由于共同 pre_acc 逐样本完全一致、配置仅移除 manifold，长样本的显著降时与消除重复词表最近邻搜索一致；这一点属于有 artifact 支撑的工程推断，而非直接 kernel 计时。</w:t>
      </w:r>
    </w:p>
    <w:p>
      <w:pPr>
        <w:pStyle w:val="Heading1"/>
      </w:pPr>
      <w:r>
        <w:t>5. 后续改进方向</w:t>
      </w:r>
    </w:p>
    <w:p>
      <w:pPr>
        <w:pStyle w:val="Heading2"/>
      </w:pPr>
      <w:r>
        <w:t>5.1 扩大样本与随机种子</w:t>
      </w:r>
    </w:p>
    <w:p>
      <w:r>
        <w:rPr>
          <w:rFonts w:ascii="Calibri" w:hAnsi="Calibri" w:eastAsia="Microsoft YaHei"/>
        </w:rPr>
        <w:t>在相同 selector 与固定参数下扩大 dataset_len，并加入多随机种子，检验平均 ACC 的 +0.004915 是否稳定。</w:t>
      </w:r>
    </w:p>
    <w:p>
      <w:pPr>
        <w:pStyle w:val="Heading2"/>
      </w:pPr>
      <w:r>
        <w:t>5.2 增加可比的分段计时</w:t>
      </w:r>
    </w:p>
    <w:p>
      <w:r>
        <w:rPr>
          <w:rFonts w:ascii="Calibri" w:hAnsi="Calibri" w:eastAsia="Microsoft YaHei"/>
        </w:rPr>
        <w:t>为 v1.2 和 v1.2.1 同时增加每轮 optimization、nearest-vocabulary search 与 rerank 的独立 elapsed_seconds，再做直接算子级耗时归因。</w:t>
      </w:r>
    </w:p>
    <w:p>
      <w:pPr>
        <w:pStyle w:val="Heading2"/>
      </w:pPr>
      <w:r>
        <w:t>5.3 分析短样本回归与 sample 0 ACC 下降</w:t>
      </w:r>
    </w:p>
    <w:p>
      <w:r>
        <w:rPr>
          <w:rFonts w:ascii="Calibri" w:hAnsi="Calibri" w:eastAsia="Microsoft YaHei"/>
        </w:rPr>
        <w:t>重点检查 sample 0 的候选变化、range/prox 轨迹和接受原因，并解释三条短样本为何总耗时略增，避免把总体降时误解为逐样本降时。</w:t>
      </w:r>
    </w:p>
    <w:p>
      <w:pPr>
        <w:pStyle w:val="Heading2"/>
      </w:pPr>
      <w:r>
        <w:t>5.4 验证无 oracle 接受策略</w:t>
      </w:r>
    </w:p>
    <w:p>
      <w:r>
        <w:rPr>
          <w:rFonts w:ascii="Calibri" w:hAnsi="Calibri" w:eastAsia="Microsoft YaHei"/>
        </w:rPr>
        <w:t>在 hidden_anomaly 等无真实 token accuracy 策略下重复对比，确认移除 manifold 后的收益是否依赖 oracle_accuracy。</w:t>
      </w:r>
    </w:p>
    <w:p>
      <w:pPr>
        <w:pStyle w:val="Heading1"/>
      </w:pPr>
      <w:r>
        <w:t>附录 A  实现与验证清单</w:t>
      </w:r>
    </w:p>
    <w:p>
      <w:r>
        <w:rPr>
          <w:rFonts w:ascii="Calibri" w:hAnsi="Calibri" w:eastAsia="Microsoft YaHei"/>
        </w:rPr>
        <w:t>新增：suffix_optimization_methods/suffix_reoptimization_v1_2_1.py；configs/suffix_reoptimization_v1_2_1.json；test/test_suffix_reoptimization_v1_2_1.py。</w:t>
      </w:r>
    </w:p>
    <w:p>
      <w:r>
        <w:rPr>
          <w:rFonts w:ascii="Calibri" w:hAnsi="Calibri" w:eastAsia="Microsoft YaHei"/>
        </w:rPr>
        <w:t>修改：configs/advanced_methods.json；invert.py；experiment_outputs.py。历史 v1.2/v1.1/v1.0 源文件与配置未修改。</w:t>
      </w:r>
    </w:p>
    <w:p>
      <w:r>
        <w:rPr>
          <w:rFonts w:ascii="Calibri" w:hAnsi="Calibri" w:eastAsia="Microsoft YaHei"/>
        </w:rPr>
        <w:t>测试：v1.2.1 12/12 通过；v1.2 5/5 回归通过；invert.py、experiment_outputs.py、v1.2 和 v1.2.1 sidecar 的 py_compile 通过。</w:t>
      </w:r>
    </w:p>
    <w:p>
      <w:r>
        <w:rPr>
          <w:rFonts w:ascii="Calibri" w:hAnsi="Calibri" w:eastAsia="Microsoft YaHei"/>
        </w:rPr>
        <w:t>正式 v1.2.1 run：results/invert_timestamp_runs/20260710-165228；5 条 JSONL、resolved config、experiment.log 与 Excel 均保留。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66666"/>
        <w:sz w:val="17"/>
      </w:rPr>
      <w:t xml:space="preserve">第 </w:t>
    </w:r>
    <w:fldSimple w:instr="PAGE">
      <w:r>
        <w:rPr>
          <w:color w:val="666666"/>
          <w:sz w:val="17"/>
        </w:rPr>
        <w:t>1</w:t>
      </w:r>
    </w:fldSimple>
    <w:r>
      <w:rPr>
        <w:rFonts w:ascii="Calibri" w:hAnsi="Calibri" w:eastAsia="Microsoft YaHei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jc w:val="left"/>
    </w:pPr>
    <w:r>
      <w:rPr>
        <w:rFonts w:ascii="Calibri" w:hAnsi="Calibri" w:eastAsia="Microsoft YaHei"/>
        <w:b/>
        <w:color w:val="666666"/>
        <w:sz w:val="17"/>
      </w:rPr>
      <w:t>DEML 方法更新报告</w:t>
    </w:r>
    <w:r>
      <w:rPr>
        <w:rFonts w:ascii="Calibri" w:hAnsi="Calibri" w:eastAsia="Microsoft YaHei"/>
        <w:color w:val="666666"/>
        <w:sz w:val="17"/>
      </w:rPr>
      <w:tab/>
      <w:t>Suffix Reoptimization v1.2.1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</w:pPr>
    <w:rPr>
      <w:rFonts w:ascii="Calibri" w:hAnsi="Calibri" w:eastAsia="Microsoft YaHei"/>
      <w:b/>
      <w:bCs/>
      <w:i w:val="0"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v1.2.1 相对 v1.2 的关键核心更新</dc:title>
  <dc:subject>DEML suffix reoptimization MSN/manifold 消融报告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