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eastAsia="Microsoft YaHei"/>
          <w:b/>
          <w:color w:val="2D6A8D"/>
          <w:sz w:val="18"/>
        </w:rPr>
        <w:t>SUFFIX REOPTIMIZATION  ·  VERSION 1.4</w:t>
      </w:r>
    </w:p>
    <w:p>
      <w:pPr>
        <w:pStyle w:val="Title"/>
        <w:keepNext/>
      </w:pPr>
      <w:r>
        <w:rPr>
          <w:rFonts w:ascii="Calibri" w:hAnsi="Calibri" w:eastAsia="Microsoft YaHei"/>
          <w:b/>
          <w:color w:val="17365D"/>
          <w:sz w:val="46"/>
        </w:rPr>
        <w:t>v1.4 相对 v1.2.1 的关键核心更新</w:t>
      </w:r>
    </w:p>
    <w:p>
      <w:pPr>
        <w:pStyle w:val="Subtitle"/>
      </w:pPr>
      <w:r>
        <w:rPr>
          <w:rFonts w:ascii="Calibri" w:hAnsi="Calibri" w:eastAsia="Microsoft YaHei"/>
          <w:color w:val="667085"/>
          <w:sz w:val="24"/>
        </w:rPr>
        <w:t>置信掩码驱动的两阶段粗到细优化｜实现、接口与验证说明</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F2F4F7"/>
            <w:tcMar>
              <w:top w:w="90" w:type="dxa"/>
              <w:start w:w="100" w:type="dxa"/>
              <w:bottom w:w="90" w:type="dxa"/>
              <w:end w:w="100" w:type="dxa"/>
            </w:tcMar>
            <w:vAlign w:val="center"/>
          </w:tcPr>
          <w:p>
            <w:pPr>
              <w:spacing w:after="20"/>
            </w:pPr>
            <w:r>
              <w:rPr>
                <w:rFonts w:ascii="Calibri" w:hAnsi="Calibri" w:eastAsia="Microsoft YaHei"/>
                <w:color w:val="667085"/>
                <w:sz w:val="16"/>
              </w:rPr>
              <w:t>实现状态</w:t>
              <w:br/>
            </w:r>
            <w:r>
              <w:rPr>
                <w:rFonts w:ascii="Calibri" w:hAnsi="Calibri" w:eastAsia="Microsoft YaHei"/>
                <w:b/>
                <w:color w:val="17365D"/>
                <w:sz w:val="20"/>
              </w:rPr>
              <w:t>已完成</w:t>
            </w:r>
          </w:p>
        </w:tc>
        <w:tc>
          <w:tcPr>
            <w:tcW w:type="dxa" w:w="2340"/>
            <w:shd w:fill="F2F4F7"/>
            <w:tcMar>
              <w:top w:w="90" w:type="dxa"/>
              <w:start w:w="100" w:type="dxa"/>
              <w:bottom w:w="90" w:type="dxa"/>
              <w:end w:w="100" w:type="dxa"/>
            </w:tcMar>
            <w:vAlign w:val="center"/>
          </w:tcPr>
          <w:p>
            <w:pPr>
              <w:spacing w:after="20"/>
            </w:pPr>
            <w:r>
              <w:rPr>
                <w:rFonts w:ascii="Calibri" w:hAnsi="Calibri" w:eastAsia="Microsoft YaHei"/>
                <w:color w:val="667085"/>
                <w:sz w:val="16"/>
              </w:rPr>
              <w:t>默认 selector</w:t>
              <w:br/>
            </w:r>
            <w:r>
              <w:rPr>
                <w:rFonts w:ascii="Calibri" w:hAnsi="Calibri" w:eastAsia="Microsoft YaHei"/>
                <w:b/>
                <w:color w:val="17365D"/>
                <w:sz w:val="20"/>
              </w:rPr>
              <w:t>仍为 v1.2</w:t>
            </w:r>
          </w:p>
        </w:tc>
        <w:tc>
          <w:tcPr>
            <w:tcW w:type="dxa" w:w="2340"/>
            <w:shd w:fill="F2F4F7"/>
            <w:tcMar>
              <w:top w:w="90" w:type="dxa"/>
              <w:start w:w="100" w:type="dxa"/>
              <w:bottom w:w="90" w:type="dxa"/>
              <w:end w:w="100" w:type="dxa"/>
            </w:tcMar>
            <w:vAlign w:val="center"/>
          </w:tcPr>
          <w:p>
            <w:pPr>
              <w:spacing w:after="20"/>
            </w:pPr>
            <w:r>
              <w:rPr>
                <w:rFonts w:ascii="Calibri" w:hAnsi="Calibri" w:eastAsia="Microsoft YaHei"/>
                <w:color w:val="667085"/>
                <w:sz w:val="16"/>
              </w:rPr>
              <w:t>自动化验证</w:t>
              <w:br/>
            </w:r>
            <w:r>
              <w:rPr>
                <w:rFonts w:ascii="Calibri" w:hAnsi="Calibri" w:eastAsia="Microsoft YaHei"/>
                <w:b/>
                <w:color w:val="17365D"/>
                <w:sz w:val="20"/>
              </w:rPr>
              <w:t>71 tests PASS</w:t>
            </w:r>
          </w:p>
        </w:tc>
        <w:tc>
          <w:tcPr>
            <w:tcW w:type="dxa" w:w="2340"/>
            <w:shd w:fill="F2F4F7"/>
            <w:tcMar>
              <w:top w:w="90" w:type="dxa"/>
              <w:start w:w="100" w:type="dxa"/>
              <w:bottom w:w="90" w:type="dxa"/>
              <w:end w:w="100" w:type="dxa"/>
            </w:tcMar>
            <w:vAlign w:val="center"/>
          </w:tcPr>
          <w:p>
            <w:pPr>
              <w:spacing w:after="20"/>
            </w:pPr>
            <w:r>
              <w:rPr>
                <w:rFonts w:ascii="Calibri" w:hAnsi="Calibri" w:eastAsia="Microsoft YaHei"/>
                <w:color w:val="667085"/>
                <w:sz w:val="16"/>
              </w:rPr>
              <w:t>配对实验</w:t>
              <w:br/>
            </w:r>
            <w:r>
              <w:rPr>
                <w:rFonts w:ascii="Calibri" w:hAnsi="Calibri" w:eastAsia="Microsoft YaHei"/>
                <w:b/>
                <w:color w:val="17365D"/>
                <w:sz w:val="20"/>
              </w:rPr>
              <w:t>尚未运行</w:t>
            </w:r>
          </w:p>
        </w:tc>
      </w:tr>
    </w:tbl>
    <w:p>
      <w:pPr>
        <w:spacing w:after="0"/>
      </w:pPr>
    </w:p>
    <w:p>
      <w:pPr>
        <w:pStyle w:val="LeadCallout"/>
        <w:shd w:fill="EAF2F8"/>
        <w:pBdr>
          <w:left w:val="single" w:sz="18" w:space="8" w:color="2D6A8D"/>
        </w:pBdr>
      </w:pPr>
      <w:r>
        <w:rPr>
          <w:rFonts w:ascii="Calibri" w:hAnsi="Calibri" w:eastAsia="Microsoft YaHei"/>
          <w:b/>
          <w:color w:val="17365D"/>
        </w:rPr>
        <w:t xml:space="preserve">结论先行： </w:t>
      </w:r>
      <w:r>
        <w:rPr>
          <w:rFonts w:ascii="Calibri" w:hAnsi="Calibri" w:eastAsia="Microsoft YaHei"/>
          <w:color w:val="17365D"/>
        </w:rPr>
        <w:t>v1.4 已作为独立 sidecar 完成，实现一次全序列粗优化、一次离散置信划分和一次非连续掩码细化；高置信 token 与 embedding 在接受、拒绝两条路径上均被结构性冻结。当前显式默认 selector 保持 v1.2，v1.4 尚未完成与 v1.2.1 的正式配对实验，因此不能宣称 accuracy 已提升。</w:t>
      </w:r>
    </w:p>
    <w:p>
      <w:pPr>
        <w:pStyle w:val="Heading1"/>
      </w:pPr>
      <w:r>
        <w:t>资料口径与确认状态</w:t>
      </w:r>
    </w:p>
    <w:p>
      <w:r>
        <w:rPr>
          <w:rFonts w:ascii="Calibri" w:hAnsi="Calibri" w:eastAsia="Microsoft YaHei"/>
          <w:color w:val="243447"/>
        </w:rPr>
        <w:t>本文吸收 outputs/LLM提示推理问题启发与优化规划.md 中关于粗到细优化、离散残差和下游窗口证据的参考分析，同时以当前项目代码、v1.4 config、自动化测试和真实 experiment artifact 为准进行修正。涉及损失函数、参数、selector 与输出字段的描述均经代码确认；实验数字来自 20260715-105359 的 resolved_config.json、experiment.log 和 reconstructions.jsonl。</w:t>
      </w:r>
    </w:p>
    <w:p>
      <w:pPr>
        <w:pStyle w:val="LeadCallout"/>
        <w:shd w:fill="FFF4D6"/>
        <w:pBdr>
          <w:left w:val="single" w:sz="18" w:space="8" w:color="B7791F"/>
        </w:pBdr>
      </w:pPr>
      <w:r>
        <w:rPr>
          <w:rFonts w:ascii="Calibri" w:hAnsi="Calibri" w:eastAsia="Microsoft YaHei"/>
          <w:b/>
          <w:color w:val="17365D"/>
        </w:rPr>
        <w:t xml:space="preserve">证据边界： </w:t>
      </w:r>
      <w:r>
        <w:rPr>
          <w:rFonts w:ascii="Calibri" w:hAnsi="Calibri" w:eastAsia="Microsoft YaHei"/>
          <w:color w:val="17365D"/>
        </w:rPr>
        <w:t>历史 run 只验证了 v1.2.1（其后还运行 CGMR v1.1），没有 v1.4 结果。本文将“已实现并通过测试”与“模型效果尚待实验”明确分开。</w:t>
      </w:r>
    </w:p>
    <w:tbl>
      <w:tblPr>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trPr>
        <w:tc>
          <w:tcPr>
            <w:tcW w:type="dxa" w:w="194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8"/>
              </w:rPr>
              <w:t>证据类型</w:t>
            </w:r>
          </w:p>
        </w:tc>
        <w:tc>
          <w:tcPr>
            <w:tcW w:type="dxa" w:w="5112"/>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8"/>
              </w:rPr>
              <w:t>本报告中的用途</w:t>
            </w:r>
          </w:p>
        </w:tc>
        <w:tc>
          <w:tcPr>
            <w:tcW w:type="dxa" w:w="230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8"/>
              </w:rPr>
              <w:t>状态</w:t>
            </w:r>
          </w:p>
        </w:tc>
      </w:tr>
      <w:tr>
        <w:trPr>
          <w:cantSplit/>
        </w:trPr>
        <w:tc>
          <w:tcPr>
            <w:tcW w:type="dxa" w:w="194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参考分析</w:t>
            </w:r>
          </w:p>
        </w:tc>
        <w:tc>
          <w:tcPr>
            <w:tcW w:type="dxa" w:w="511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解释设计动机与待验证假设</w:t>
            </w:r>
          </w:p>
        </w:tc>
        <w:tc>
          <w:tcPr>
            <w:tcW w:type="dxa" w:w="23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参考，不当作实现事实</w:t>
            </w:r>
          </w:p>
        </w:tc>
      </w:tr>
      <w:tr>
        <w:trPr>
          <w:cantSplit/>
        </w:trPr>
        <w:tc>
          <w:tcPr>
            <w:tcW w:type="dxa" w:w="194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当前代码 / config</w:t>
            </w:r>
          </w:p>
        </w:tc>
        <w:tc>
          <w:tcPr>
            <w:tcW w:type="dxa" w:w="511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确认调度、门控、损失、冻结和 selector</w:t>
            </w:r>
          </w:p>
        </w:tc>
        <w:tc>
          <w:tcPr>
            <w:tcW w:type="dxa" w:w="23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已核对</w:t>
            </w:r>
          </w:p>
        </w:tc>
      </w:tr>
      <w:tr>
        <w:trPr>
          <w:cantSplit/>
        </w:trPr>
        <w:tc>
          <w:tcPr>
            <w:tcW w:type="dxa" w:w="194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自动化测试</w:t>
            </w:r>
          </w:p>
        </w:tc>
        <w:tc>
          <w:tcPr>
            <w:tcW w:type="dxa" w:w="511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确认纯函数、梯度隔离、接收回滚与兼容性</w:t>
            </w:r>
          </w:p>
        </w:tc>
        <w:tc>
          <w:tcPr>
            <w:tcW w:type="dxa" w:w="23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71 项通过</w:t>
            </w:r>
          </w:p>
        </w:tc>
      </w:tr>
      <w:tr>
        <w:trPr>
          <w:cantSplit/>
        </w:trPr>
        <w:tc>
          <w:tcPr>
            <w:tcW w:type="dxa" w:w="194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历史 artifact</w:t>
            </w:r>
          </w:p>
        </w:tc>
        <w:tc>
          <w:tcPr>
            <w:tcW w:type="dxa" w:w="511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描述 v1.2.1 的既有阶段结果</w:t>
            </w:r>
          </w:p>
        </w:tc>
        <w:tc>
          <w:tcPr>
            <w:tcW w:type="dxa" w:w="23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8"/>
              </w:rPr>
              <w:t>10 样本；非 v1.4</w:t>
            </w:r>
          </w:p>
        </w:tc>
      </w:tr>
    </w:tbl>
    <w:p>
      <w:pPr>
        <w:spacing w:after="0"/>
      </w:pPr>
    </w:p>
    <w:p>
      <w:pPr>
        <w:pStyle w:val="Heading1"/>
      </w:pPr>
      <w:r>
        <w:t>一、发现了什么问题</w:t>
      </w:r>
    </w:p>
    <w:p>
      <w:pPr>
        <w:pStyle w:val="Heading2"/>
      </w:pPr>
      <w:r>
        <w:t>1. v1.2.1 的修复范围过宽</w:t>
      </w:r>
    </w:p>
    <w:p>
      <w:r>
        <w:rPr>
          <w:rFonts w:ascii="Calibri" w:hAnsi="Calibri" w:eastAsia="Microsoft YaHei"/>
          <w:color w:val="243447"/>
        </w:rPr>
        <w:t>经代码确认，v1.2.1 从检测到的首个异常位置开始，把该位置及其后全部 suffix embedding 交给同一个 Adam 参数优化。即使后续某些位置已对应可靠的离散 token，它们仍会进入梯度、optimizer state 和正则项影响范围。异常位置靠前时，这一机制接近重新优化全部有效序列。</w:t>
      </w:r>
    </w:p>
    <w:p>
      <w:r>
        <w:rPr>
          <w:rFonts w:ascii="Calibri" w:hAnsi="Calibri" w:eastAsia="Microsoft YaHei"/>
          <w:color w:val="243447"/>
        </w:rPr>
        <w:t>历史 run 20260715-105359 中，每条样本均执行两轮 suffix event，最终 changed_positions 为 3–32 个、均值 14.0 个。该数字不等同于“被破坏的正确 token 数”，但能确认 v1.2.1 的提交范围并非局部单点。</w:t>
      </w:r>
    </w:p>
    <w:p>
      <w:pPr>
        <w:pStyle w:val="Heading2"/>
      </w:pPr>
      <w:r>
        <w:t>2. 两个阶段的搜索尺度和职责区分不足</w:t>
      </w:r>
    </w:p>
    <w:p>
      <w:r>
        <w:rPr>
          <w:rFonts w:ascii="Calibri" w:hAnsi="Calibri" w:eastAsia="Microsoft YaHei"/>
          <w:color w:val="243447"/>
        </w:rPr>
        <w:t>基础优化使用 SGD；旧路径每轮重新创建 optimizer，并以固定 lr=0.10 工作。v1.2.1 细化则使用固定 lr=0.03 的 Adam、50 步和 suffix hidden loss。两个阶段虽然先后执行，但没有各自的学习率衰减，也没有把“找邻域”和“只修不确定位置”明确拆开。</w:t>
      </w:r>
    </w:p>
    <w:p>
      <w:r>
        <w:rPr>
          <w:rFonts w:ascii="Calibri" w:hAnsi="Calibri" w:eastAsia="Microsoft YaHei"/>
          <w:color w:val="243447"/>
        </w:rPr>
        <w:t>参考分析提出前期大步搜索、后期小步减震。经代码确认后的 v1.4 修正是：只在 v1.4 分支启用持久化 SGD 与余弦调度，旧版本保持原行为，避免以全局重构方式改变历史基线。</w:t>
      </w:r>
    </w:p>
    <w:p>
      <w:pPr>
        <w:pStyle w:val="Heading2"/>
      </w:pPr>
      <w:r>
        <w:t>3. 离散化可靠性没有直接决定可训练位置</w:t>
      </w:r>
    </w:p>
    <w:p>
      <w:r>
        <w:rPr>
          <w:rFonts w:ascii="Calibri" w:hAnsi="Calibri" w:eastAsia="Microsoft YaHei"/>
          <w:color w:val="243447"/>
        </w:rPr>
        <w:t>v1.2.1 能计算连续 embedding forward 分数、token-forward 分数和 adaptive 异常，但它们主要用于确定 suffix 起点，而不是形成逐位置冻结掩码。连续解映射到 token 后是否失真、top-1/top-2 margin 是否足够、embedding 最近邻与 hidden rerank 是否一致，没有共同决定该位置是否继续接受梯度。</w:t>
      </w:r>
    </w:p>
    <w:p>
      <w:pPr>
        <w:pStyle w:val="Heading2"/>
      </w:pPr>
      <w:r>
        <w:t>4. 需要把 oracle 与方法信号隔离</w:t>
      </w:r>
    </w:p>
    <w:p>
      <w:r>
        <w:rPr>
          <w:rFonts w:ascii="Calibri" w:hAnsi="Calibri" w:eastAsia="Microsoft YaHei"/>
          <w:color w:val="243447"/>
        </w:rPr>
        <w:t>Ground Truth token 可以用于实验评估和 oracle_accuracy 接受策略，却不能参与置信掩码，否则高置信精度和错误召回率会失去方法意义。v1.4 因此要求置信构建函数不接收 total_input_ids；oracle 信息只在掩码完成后用于接受与诊断，并以 oracle_* 字段标记。</w:t>
      </w:r>
    </w:p>
    <w:p>
      <w:pPr>
        <w:pStyle w:val="Heading1"/>
      </w:pPr>
      <w:r>
        <w:t>二、做了哪些改动</w:t>
      </w:r>
    </w:p>
    <w:p>
      <w:pPr>
        <w:pStyle w:val="Heading2"/>
      </w:pPr>
      <w:r>
        <w:t>1. 主流程重写为一次粗化、一次划分、一次细化</w:t>
      </w:r>
    </w:p>
    <w:tbl>
      <w:tblPr>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trPr>
        <w:tc>
          <w:tcPr>
            <w:tcW w:type="dxa" w:w="1656"/>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6"/>
              </w:rPr>
              <w:t>维度</w:t>
            </w:r>
          </w:p>
        </w:tc>
        <w:tc>
          <w:tcPr>
            <w:tcW w:type="dxa" w:w="3600"/>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6"/>
              </w:rPr>
              <w:t>v1.2.1</w:t>
            </w:r>
          </w:p>
        </w:tc>
        <w:tc>
          <w:tcPr>
            <w:tcW w:type="dxa" w:w="410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6"/>
              </w:rPr>
              <w:t>v1.4</w:t>
            </w:r>
          </w:p>
        </w:tc>
      </w:tr>
      <w:tr>
        <w:trPr>
          <w:cantSplit/>
        </w:trPr>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粗优化</w:t>
            </w:r>
          </w:p>
        </w:tc>
        <w:tc>
          <w:tcPr>
            <w:tcW w:type="dxa" w:w="360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基础 SGD，固定 lr=0.10；旧行为</w:t>
            </w:r>
          </w:p>
        </w:tc>
        <w:tc>
          <w:tcPr>
            <w:tcW w:type="dxa" w:w="41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持久 SGD；1000 步来源于 epoch；0.10→0.03 cosine</w:t>
            </w:r>
          </w:p>
        </w:tc>
      </w:tr>
      <w:tr>
        <w:trPr>
          <w:cantSplit/>
        </w:trPr>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离散边界</w:t>
            </w:r>
          </w:p>
        </w:tc>
        <w:tc>
          <w:tcPr>
            <w:tcW w:type="dxa" w:w="360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异常起点驱动 suffix</w:t>
            </w:r>
          </w:p>
        </w:tc>
        <w:tc>
          <w:tcPr>
            <w:tcW w:type="dxa" w:w="41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全有效位置离散化并生成二值置信掩码</w:t>
            </w:r>
          </w:p>
        </w:tc>
      </w:tr>
      <w:tr>
        <w:trPr>
          <w:cantSplit/>
        </w:trPr>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可训练范围</w:t>
            </w:r>
          </w:p>
        </w:tc>
        <w:tc>
          <w:tcPr>
            <w:tcW w:type="dxa" w:w="360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异常点及其后全部位置</w:t>
            </w:r>
          </w:p>
        </w:tc>
        <w:tc>
          <w:tcPr>
            <w:tcW w:type="dxa" w:w="41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仅非连续低置信位置；高置信/前缀/padding 冻结</w:t>
            </w:r>
          </w:p>
        </w:tc>
      </w:tr>
      <w:tr>
        <w:trPr>
          <w:cantSplit/>
        </w:trPr>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细化优化</w:t>
            </w:r>
          </w:p>
        </w:tc>
        <w:tc>
          <w:tcPr>
            <w:tcW w:type="dxa" w:w="360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每轮 Adam，50 步，固定 lr=0.03</w:t>
            </w:r>
          </w:p>
        </w:tc>
        <w:tc>
          <w:tcPr>
            <w:tcW w:type="dxa" w:w="41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一次 Adam，50 步，0.01→0.001 cosine</w:t>
            </w:r>
          </w:p>
        </w:tc>
      </w:tr>
      <w:tr>
        <w:trPr>
          <w:cantSplit/>
        </w:trPr>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hidden 观察</w:t>
            </w:r>
          </w:p>
        </w:tc>
        <w:tc>
          <w:tcPr>
            <w:tcW w:type="dxa" w:w="360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从 suffix 起点覆盖整个后缀并衰减</w:t>
            </w:r>
          </w:p>
        </w:tc>
        <w:tc>
          <w:tcPr>
            <w:tcW w:type="dxa" w:w="41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每个低置信位置观察 i,i+1,i+2；1,.5,.25；重叠取 max</w:t>
            </w:r>
          </w:p>
        </w:tc>
      </w:tr>
      <w:tr>
        <w:trPr>
          <w:cantSplit/>
        </w:trPr>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离散提交</w:t>
            </w:r>
          </w:p>
        </w:tc>
        <w:tc>
          <w:tcPr>
            <w:tcW w:type="dxa" w:w="360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重排整个 suffix</w:t>
            </w:r>
          </w:p>
        </w:tc>
        <w:tc>
          <w:tcPr>
            <w:tcW w:type="dxa" w:w="41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只重排低置信位置；高置信 token ID 禁止改变</w:t>
            </w:r>
          </w:p>
        </w:tc>
      </w:tr>
      <w:tr>
        <w:trPr>
          <w:cantSplit/>
        </w:trPr>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轮次</w:t>
            </w:r>
          </w:p>
        </w:tc>
        <w:tc>
          <w:tcPr>
            <w:tcW w:type="dxa" w:w="360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max_rounds 语义</w:t>
            </w:r>
          </w:p>
        </w:tc>
        <w:tc>
          <w:tcPr>
            <w:tcW w:type="dxa" w:w="41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单轮；无 max_rounds 配置或事件字段</w:t>
            </w:r>
          </w:p>
        </w:tc>
      </w:tr>
      <w:tr>
        <w:trPr>
          <w:cantSplit/>
        </w:trPr>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manifold</w:t>
            </w:r>
          </w:p>
        </w:tc>
        <w:tc>
          <w:tcPr>
            <w:tcW w:type="dxa" w:w="360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v1.2.1 已移除</w:t>
            </w:r>
          </w:p>
        </w:tc>
        <w:tc>
          <w:tcPr>
            <w:tcW w:type="dxa" w:w="41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6"/>
              </w:rPr>
              <w:t>不继承 v1.3 manifold loss</w:t>
            </w:r>
          </w:p>
        </w:tc>
      </w:tr>
    </w:tbl>
    <w:p>
      <w:pPr>
        <w:spacing w:after="0"/>
      </w:pPr>
    </w:p>
    <w:p>
      <w:pPr>
        <w:pStyle w:val="TableSource"/>
      </w:pPr>
      <w:r>
        <w:rPr>
          <w:rFonts w:ascii="Calibri" w:hAnsi="Calibri" w:eastAsia="Microsoft YaHei"/>
          <w:i/>
          <w:color w:val="667085"/>
          <w:sz w:val="17"/>
        </w:rPr>
        <w:t>代码依据：suffix_reoptimization_v1_4.py、invert.py；v1.2.1 对照依据：suffix_reoptimization_v1_2_1.py。</w:t>
      </w:r>
    </w:p>
    <w:p>
      <w:pPr>
        <w:pStyle w:val="Heading2"/>
      </w:pPr>
      <w:r>
        <w:t>2. 第一阶段：大步长全序列粗优化</w:t>
      </w:r>
    </w:p>
    <w:p>
      <w:r>
        <w:rPr>
          <w:rFonts w:ascii="Calibri" w:hAnsi="Calibri" w:eastAsia="Microsoft YaHei"/>
          <w:color w:val="243447"/>
        </w:rPr>
        <w:t>当且仅当 selector 选择 v1.4 时，基础 embedding 参数由单个持久化 SGD 持有；每步原地 clamp，避免替换参数张量导致 optimizer 与被优化对象脱钩。初始化、全序列目标、clip 范围、optim_method 和 epoch 来源沿用主流程。其他版本继续使用原固定学习率行为。</w:t>
      </w:r>
    </w:p>
    <w:p>
      <w:pPr>
        <w:pStyle w:val="Formula"/>
        <w:shd w:fill="EAF2F8"/>
      </w:pPr>
      <w:r>
        <w:rPr>
          <w:rFonts w:ascii="Consolas" w:hAnsi="Consolas" w:eastAsia="Microsoft YaHei"/>
          <w:color w:val="17365D"/>
          <w:sz w:val="19"/>
        </w:rPr>
        <w:t>ηₜ = ηmin + 0.5 × (ηmax − ηmin) × [1 + cos(πt/(T−1))]</w:t>
        <w:br/>
        <w:t>默认：ηmax=0.10，ηmin=0.03，T=optimization.epoch（当前正式配置为 1000）</w:t>
      </w:r>
    </w:p>
    <w:p>
      <w:pPr>
        <w:pStyle w:val="Heading2"/>
      </w:pPr>
      <w:r>
        <w:t>3. 阶段边界：保守二值置信门控</w:t>
      </w:r>
    </w:p>
    <w:p>
      <w:r>
        <w:rPr>
          <w:rFonts w:ascii="Calibri" w:hAnsi="Calibri" w:eastAsia="Microsoft YaHei"/>
          <w:color w:val="243447"/>
        </w:rPr>
        <w:t>每个有效位置同时记录连续 forward 相似度 cᵢ、离散 token-forward 相似度 dᵢ、候选 margin mᵢ、离散化 gap gᵢ=max(0,cᵢ−dᵢ)、候选源一致性与 v1.2.1 adaptive 异常原因。高置信必须满足全部固定条件；任何信号缺失/非有限、候选不足两个或 adaptive 异常都会强制进入低置信集合。</w:t>
      </w:r>
    </w:p>
    <w:tbl>
      <w:tblPr>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trPr>
        <w:tc>
          <w:tcPr>
            <w:tcW w:type="dxa" w:w="2376"/>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门控信号</w:t>
            </w:r>
          </w:p>
        </w:tc>
        <w:tc>
          <w:tcPr>
            <w:tcW w:type="dxa" w:w="4680"/>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默认条件</w:t>
            </w:r>
          </w:p>
        </w:tc>
        <w:tc>
          <w:tcPr>
            <w:tcW w:type="dxa" w:w="230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失败后的动作</w:t>
            </w:r>
          </w:p>
        </w:tc>
      </w:tr>
      <w:tr>
        <w:trPr>
          <w:cantSplit/>
        </w:trPr>
        <w:tc>
          <w:tcPr>
            <w:tcW w:type="dxa" w:w="237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连续 forward cᵢ</w:t>
            </w:r>
          </w:p>
        </w:tc>
        <w:tc>
          <w:tcPr>
            <w:tcW w:type="dxa" w:w="468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cᵢ ≥ 0.80</w:t>
            </w:r>
          </w:p>
        </w:tc>
        <w:tc>
          <w:tcPr>
            <w:tcW w:type="dxa" w:w="23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w:t>
            </w:r>
          </w:p>
        </w:tc>
      </w:tr>
      <w:tr>
        <w:trPr>
          <w:cantSplit/>
        </w:trPr>
        <w:tc>
          <w:tcPr>
            <w:tcW w:type="dxa" w:w="237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离散 forward dᵢ</w:t>
            </w:r>
          </w:p>
        </w:tc>
        <w:tc>
          <w:tcPr>
            <w:tcW w:type="dxa" w:w="468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dᵢ ≥ 0.80</w:t>
            </w:r>
          </w:p>
        </w:tc>
        <w:tc>
          <w:tcPr>
            <w:tcW w:type="dxa" w:w="23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w:t>
            </w:r>
          </w:p>
        </w:tc>
      </w:tr>
      <w:tr>
        <w:trPr>
          <w:cantSplit/>
        </w:trPr>
        <w:tc>
          <w:tcPr>
            <w:tcW w:type="dxa" w:w="237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top-1/top-2 margin mᵢ</w:t>
            </w:r>
          </w:p>
        </w:tc>
        <w:tc>
          <w:tcPr>
            <w:tcW w:type="dxa" w:w="468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mᵢ ≥ 0.02 且候选数 ≥ 2</w:t>
            </w:r>
          </w:p>
        </w:tc>
        <w:tc>
          <w:tcPr>
            <w:tcW w:type="dxa" w:w="23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w:t>
            </w:r>
          </w:p>
        </w:tc>
      </w:tr>
      <w:tr>
        <w:trPr>
          <w:cantSplit/>
        </w:trPr>
        <w:tc>
          <w:tcPr>
            <w:tcW w:type="dxa" w:w="237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离散化 gap gᵢ</w:t>
            </w:r>
          </w:p>
        </w:tc>
        <w:tc>
          <w:tcPr>
            <w:tcW w:type="dxa" w:w="468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gᵢ ≤ 0.10</w:t>
            </w:r>
          </w:p>
        </w:tc>
        <w:tc>
          <w:tcPr>
            <w:tcW w:type="dxa" w:w="23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w:t>
            </w:r>
          </w:p>
        </w:tc>
      </w:tr>
      <w:tr>
        <w:trPr>
          <w:cantSplit/>
        </w:trPr>
        <w:tc>
          <w:tcPr>
            <w:tcW w:type="dxa" w:w="237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候选一致性</w:t>
            </w:r>
          </w:p>
        </w:tc>
        <w:tc>
          <w:tcPr>
            <w:tcW w:type="dxa" w:w="468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embedding top-1 = hidden rerank top-1</w:t>
            </w:r>
          </w:p>
        </w:tc>
        <w:tc>
          <w:tcPr>
            <w:tcW w:type="dxa" w:w="23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w:t>
            </w:r>
          </w:p>
        </w:tc>
      </w:tr>
      <w:tr>
        <w:trPr>
          <w:cantSplit/>
        </w:trPr>
        <w:tc>
          <w:tcPr>
            <w:tcW w:type="dxa" w:w="237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adaptive 原因</w:t>
            </w:r>
          </w:p>
        </w:tc>
        <w:tc>
          <w:tcPr>
            <w:tcW w:type="dxa" w:w="4680"/>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无 hidden/token/drop 异常</w:t>
            </w:r>
          </w:p>
        </w:tc>
        <w:tc>
          <w:tcPr>
            <w:tcW w:type="dxa" w:w="230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w:t>
            </w:r>
          </w:p>
        </w:tc>
      </w:tr>
      <w:tr>
        <w:trPr>
          <w:cantSplit/>
        </w:trPr>
        <w:tc>
          <w:tcPr>
            <w:tcW w:type="dxa" w:w="237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样本内 percentile</w:t>
            </w:r>
          </w:p>
        </w:tc>
        <w:tc>
          <w:tcPr>
            <w:tcW w:type="dxa" w:w="4680"/>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有效位置 ≥4 时等权分数 ≥0.60</w:t>
            </w:r>
          </w:p>
        </w:tc>
        <w:tc>
          <w:tcPr>
            <w:tcW w:type="dxa" w:w="230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低置信；短序列/零方差退回固定门槛</w:t>
            </w:r>
          </w:p>
        </w:tc>
      </w:tr>
    </w:tbl>
    <w:p>
      <w:pPr>
        <w:spacing w:after="0"/>
      </w:pPr>
    </w:p>
    <w:p>
      <w:r>
        <w:rPr>
          <w:rFonts w:ascii="Calibri" w:hAnsi="Calibri" w:eastAsia="Microsoft YaHei"/>
          <w:color w:val="243447"/>
        </w:rPr>
        <w:t>高置信位置立即用被选 token 的词表 embedding 替换；低置信位置仍从 Eᶜᵒᵃʳˢᵉ 初始化。特殊前缀和 padding 作为结构冻结位置单独记录，不进入高置信质量统计。低置信位置之后出现的高置信位置继续冻结，因此优化集合允许非连续。</w:t>
      </w:r>
    </w:p>
    <w:p>
      <w:pPr>
        <w:pStyle w:val="Heading2"/>
      </w:pPr>
      <w:r>
        <w:t>4. 第二阶段：独立稀疏参数的掩码细化</w:t>
      </w:r>
    </w:p>
    <w:p>
      <w:r>
        <w:rPr>
          <w:rFonts w:ascii="Calibri" w:hAnsi="Calibri" w:eastAsia="Microsoft YaHei"/>
          <w:color w:val="243447"/>
        </w:rPr>
        <w:t>实现不会把完整 embedding 张量交给 Adam 后再用梯度 mask。它先收集低置信位置，构造独立 Parameter；每次 forward 通过 index_copy 将这些值拼回 detached 的冻结基底。这样高置信、特殊前缀和 padding 不受梯度、optimizer state 或 weight decay 影响。</w:t>
      </w:r>
    </w:p>
    <w:p>
      <w:pPr>
        <w:pStyle w:val="Formula"/>
        <w:shd w:fill="EAF2F8"/>
      </w:pPr>
      <w:r>
        <w:rPr>
          <w:rFonts w:ascii="Consolas" w:hAnsi="Consolas" w:eastAsia="Microsoft YaHei"/>
          <w:color w:val="17365D"/>
          <w:sz w:val="19"/>
        </w:rPr>
        <w:t>Lfine = Lmasked-window-cos + 0.005 × Lprox + 0.001 × Lrange</w:t>
        <w:br/>
        <w:t>Adam：50 步；cosine lr 0.01→0.001；窗口权重：1.0 / 0.5 / 0.25（重叠取最大值）</w:t>
      </w:r>
    </w:p>
    <w:p>
      <w:r>
        <w:rPr>
          <w:rFonts w:ascii="Calibri" w:hAnsi="Calibri" w:eastAsia="Microsoft YaHei"/>
          <w:color w:val="243447"/>
        </w:rPr>
        <w:t>Lprox 只约束低置信 embedding 相对粗解的偏移；后续高置信位置可以贡献 hidden loss，但其 embedding 仍被冻结。若没有低置信位置，跳过 Adam 并提交离散锚定状态；若全部有效位置低置信，则自然退化为全有效位置细化。</w:t>
      </w:r>
    </w:p>
    <w:p>
      <w:pPr>
        <w:pStyle w:val="Heading2"/>
      </w:pPr>
      <w:r>
        <w:t>5. 接受、回滚和防污染约束</w:t>
      </w:r>
    </w:p>
    <w:p>
      <w:pPr>
        <w:pStyle w:val="ListBullet"/>
        <w:ind w:left="360" w:hanging="202"/>
      </w:pPr>
      <w:r>
        <w:rPr>
          <w:rFonts w:ascii="Calibri" w:hAnsi="Calibri" w:eastAsia="Microsoft YaHei"/>
          <w:color w:val="243447"/>
          <w:sz w:val="21"/>
        </w:rPr>
        <w:t>回滚基线是阶段边界后的离散锚定状态，不是粗连续状态。</w:t>
      </w:r>
    </w:p>
    <w:p>
      <w:pPr>
        <w:pStyle w:val="ListBullet"/>
        <w:ind w:left="360" w:hanging="202"/>
      </w:pPr>
      <w:r>
        <w:rPr>
          <w:rFonts w:ascii="Calibri" w:hAnsi="Calibri" w:eastAsia="Microsoft YaHei"/>
          <w:color w:val="243447"/>
          <w:sz w:val="21"/>
        </w:rPr>
        <w:t>oracle_accuracy：accuracy 上升接受、下降拒绝；持平时沿用异常数与 token-forward hidden 改善判断，min_hidden_delta=0.005。</w:t>
      </w:r>
    </w:p>
    <w:p>
      <w:pPr>
        <w:pStyle w:val="ListBullet"/>
        <w:ind w:left="360" w:hanging="202"/>
      </w:pPr>
      <w:r>
        <w:rPr>
          <w:rFonts w:ascii="Calibri" w:hAnsi="Calibri" w:eastAsia="Microsoft YaHei"/>
          <w:color w:val="243447"/>
          <w:sz w:val="21"/>
        </w:rPr>
        <w:t>hidden_anomaly 与 always 保留为无 oracle / 消融模式；但 NaN、非有限 embedding、无有效 loss 和 token 未变化在所有模式下都拒绝。</w:t>
      </w:r>
    </w:p>
    <w:p>
      <w:pPr>
        <w:pStyle w:val="ListBullet"/>
        <w:ind w:left="360" w:hanging="202"/>
      </w:pPr>
      <w:r>
        <w:rPr>
          <w:rFonts w:ascii="Calibri" w:hAnsi="Calibri" w:eastAsia="Microsoft YaHei"/>
          <w:color w:val="243447"/>
          <w:sz w:val="21"/>
        </w:rPr>
        <w:t>候选只允许改低置信 token；运行时再次检查冻结 token 与冻结 embedding 的 mutation count，任一非零即回滚。</w:t>
      </w:r>
    </w:p>
    <w:p>
      <w:pPr>
        <w:pStyle w:val="ListBullet"/>
        <w:ind w:left="360" w:hanging="202"/>
      </w:pPr>
      <w:r>
        <w:rPr>
          <w:rFonts w:ascii="Calibri" w:hAnsi="Calibri" w:eastAsia="Microsoft YaHei"/>
          <w:color w:val="243447"/>
          <w:sz w:val="21"/>
        </w:rPr>
        <w:t>事件只有一条；细节写入 reconstructions.jsonl。experiment.log 仍只保留固定样本/平均 accuracy 摘要，不写方法明细，也不生成 xlsx。</w:t>
      </w:r>
    </w:p>
    <w:p>
      <w:pPr>
        <w:pStyle w:val="Heading2"/>
      </w:pPr>
      <w:r>
        <w:t>6. 版本、配置与输出接线</w:t>
      </w:r>
    </w:p>
    <w:tbl>
      <w:tblPr>
        <w:tblW w:type="auto" w:w="0"/>
        <w:jc w:val="center"/>
        <w:tblLayout w:type="fixed"/>
        <w:tblLook w:firstColumn="1" w:firstRow="1" w:lastColumn="0" w:lastRow="0" w:noHBand="0" w:noVBand="1" w:val="04A0"/>
        <w:tblInd w:w="120" w:type="dxa"/>
      </w:tblPr>
      <w:tblGrid>
        <w:gridCol w:w="4680"/>
        <w:gridCol w:w="4680"/>
      </w:tblGrid>
      <w:tr>
        <w:trPr>
          <w:tblHeader w:val="true"/>
          <w:cantSplit/>
        </w:trPr>
        <w:tc>
          <w:tcPr>
            <w:tcW w:type="dxa" w:w="2232"/>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接线项</w:t>
            </w:r>
          </w:p>
        </w:tc>
        <w:tc>
          <w:tcPr>
            <w:tcW w:type="dxa" w:w="7128"/>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v1.4 行为</w:t>
            </w:r>
          </w:p>
        </w:tc>
      </w:tr>
      <w:tr>
        <w:trPr>
          <w:cantSplit/>
        </w:trPr>
        <w:tc>
          <w:tcPr>
            <w:tcW w:type="dxa" w:w="22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独立实现</w:t>
            </w:r>
          </w:p>
        </w:tc>
        <w:tc>
          <w:tcPr>
            <w:tcW w:type="dxa" w:w="71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method_versions/suffix_reoptimization_v1_4.py；旧版本保留</w:t>
            </w:r>
          </w:p>
        </w:tc>
      </w:tr>
      <w:tr>
        <w:trPr>
          <w:cantSplit/>
        </w:trPr>
        <w:tc>
          <w:tcPr>
            <w:tcW w:type="dxa" w:w="223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独立 config</w:t>
            </w:r>
          </w:p>
        </w:tc>
        <w:tc>
          <w:tcPr>
            <w:tcW w:type="dxa" w:w="71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configs/suffix_reoptimization_v1_4.json；参数统一 suffix_v1_4_*</w:t>
            </w:r>
          </w:p>
        </w:tc>
      </w:tr>
      <w:tr>
        <w:trPr>
          <w:cantSplit/>
        </w:trPr>
        <w:tc>
          <w:tcPr>
            <w:tcW w:type="dxa" w:w="22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selector</w:t>
            </w:r>
          </w:p>
        </w:tc>
        <w:tc>
          <w:tcPr>
            <w:tcW w:type="dxa" w:w="71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支持 1.4 / v1.4 / 点号与下划线标准别名</w:t>
            </w:r>
          </w:p>
        </w:tc>
      </w:tr>
      <w:tr>
        <w:trPr>
          <w:cantSplit/>
        </w:trPr>
        <w:tc>
          <w:tcPr>
            <w:tcW w:type="dxa" w:w="223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显式默认</w:t>
            </w:r>
          </w:p>
        </w:tc>
        <w:tc>
          <w:tcPr>
            <w:tcW w:type="dxa" w:w="71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advanced_methods.json 仍为 v1.2，未提前切换</w:t>
            </w:r>
          </w:p>
        </w:tc>
      </w:tr>
      <w:tr>
        <w:trPr>
          <w:cantSplit/>
        </w:trPr>
        <w:tc>
          <w:tcPr>
            <w:tcW w:type="dxa" w:w="22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缺省 fallback</w:t>
            </w:r>
          </w:p>
        </w:tc>
        <w:tc>
          <w:tcPr>
            <w:tcW w:type="dxa" w:w="71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v1.4 &gt; v1.3 &gt; v1.2.1 &gt; v1.2 &gt; v1.1 &gt; v1.0</w:t>
            </w:r>
          </w:p>
        </w:tc>
      </w:tr>
      <w:tr>
        <w:trPr>
          <w:cantSplit/>
        </w:trPr>
        <w:tc>
          <w:tcPr>
            <w:tcW w:type="dxa" w:w="223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resolved_config</w:t>
            </w:r>
          </w:p>
        </w:tc>
        <w:tc>
          <w:tcPr>
            <w:tcW w:type="dxa" w:w="71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记录 v1.4 全部参数、loss formula 与 optimizer scope</w:t>
            </w:r>
          </w:p>
        </w:tc>
      </w:tr>
      <w:tr>
        <w:trPr>
          <w:cantSplit/>
        </w:trPr>
        <w:tc>
          <w:tcPr>
            <w:tcW w:type="dxa" w:w="22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reconstructions</w:t>
            </w:r>
          </w:p>
        </w:tc>
        <w:tc>
          <w:tcPr>
            <w:tcW w:type="dxa" w:w="71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coarse_stage / confidence_mask / anchored_baseline / fine_stage / events / oracle_*</w:t>
            </w:r>
          </w:p>
        </w:tc>
      </w:tr>
    </w:tbl>
    <w:p>
      <w:pPr>
        <w:spacing w:after="0"/>
      </w:pPr>
    </w:p>
    <w:p>
      <w:pPr>
        <w:pStyle w:val="Heading1"/>
      </w:pPr>
      <w:r>
        <w:t>三、为什么要做这些改动</w:t>
      </w:r>
    </w:p>
    <w:p>
      <w:pPr>
        <w:spacing w:after="80" w:line="259" w:lineRule="auto"/>
        <w:ind w:left="374" w:hanging="230"/>
      </w:pPr>
      <w:r>
        <w:rPr>
          <w:rFonts w:ascii="Calibri" w:hAnsi="Calibri" w:eastAsia="Microsoft YaHei"/>
          <w:b/>
          <w:color w:val="17365D"/>
          <w:sz w:val="21"/>
        </w:rPr>
        <w:t xml:space="preserve">1. </w:t>
      </w:r>
      <w:r>
        <w:rPr>
          <w:rFonts w:ascii="Calibri" w:hAnsi="Calibri" w:eastAsia="Microsoft YaHei"/>
          <w:color w:val="243447"/>
          <w:sz w:val="21"/>
        </w:rPr>
        <w:t>粗阶段使用持久 SGD 与 0.10→0.03 调度，目标是保持前期搜索半径，同时在末段降低震荡。预期收益是更高搜索效率和更稳定尾段损失；是否转化为 token accuracy 仍需配对实验。</w:t>
      </w:r>
    </w:p>
    <w:p>
      <w:pPr>
        <w:spacing w:after="80" w:line="259" w:lineRule="auto"/>
        <w:ind w:left="374" w:hanging="230"/>
      </w:pPr>
      <w:r>
        <w:rPr>
          <w:rFonts w:ascii="Calibri" w:hAnsi="Calibri" w:eastAsia="Microsoft YaHei"/>
          <w:b/>
          <w:color w:val="17365D"/>
          <w:sz w:val="21"/>
        </w:rPr>
        <w:t xml:space="preserve">2. </w:t>
      </w:r>
      <w:r>
        <w:rPr>
          <w:rFonts w:ascii="Calibri" w:hAnsi="Calibri" w:eastAsia="Microsoft YaHei"/>
          <w:color w:val="243447"/>
          <w:sz w:val="21"/>
        </w:rPr>
        <w:t>固定阈值与样本内 percentile 联合门控，解决单一 margin 可能错误冻结的问题。代价是保守门控可能把较多正确位置送入细化，增加计算并削弱冻结收益，需要用高置信精度和错误位置召回率共同调参。</w:t>
      </w:r>
    </w:p>
    <w:p>
      <w:pPr>
        <w:spacing w:after="80" w:line="259" w:lineRule="auto"/>
        <w:ind w:left="374" w:hanging="230"/>
      </w:pPr>
      <w:r>
        <w:rPr>
          <w:rFonts w:ascii="Calibri" w:hAnsi="Calibri" w:eastAsia="Microsoft YaHei"/>
          <w:b/>
          <w:color w:val="17365D"/>
          <w:sz w:val="21"/>
        </w:rPr>
        <w:t xml:space="preserve">3. </w:t>
      </w:r>
      <w:r>
        <w:rPr>
          <w:rFonts w:ascii="Calibri" w:hAnsi="Calibri" w:eastAsia="Microsoft YaHei"/>
          <w:color w:val="243447"/>
          <w:sz w:val="21"/>
        </w:rPr>
        <w:t>非连续低置信 Parameter 从结构上隔离高置信 embedding，直接针对 v1.2.1“首个异常之后全部可训练”的连带风险。代价是 index_copy 拼装和稀疏位置管理增加少量实现复杂度。</w:t>
      </w:r>
    </w:p>
    <w:p>
      <w:pPr>
        <w:spacing w:after="80" w:line="259" w:lineRule="auto"/>
        <w:ind w:left="374" w:hanging="230"/>
      </w:pPr>
      <w:r>
        <w:rPr>
          <w:rFonts w:ascii="Calibri" w:hAnsi="Calibri" w:eastAsia="Microsoft YaHei"/>
          <w:b/>
          <w:color w:val="17365D"/>
          <w:sz w:val="21"/>
        </w:rPr>
        <w:t xml:space="preserve">4. </w:t>
      </w:r>
      <w:r>
        <w:rPr>
          <w:rFonts w:ascii="Calibri" w:hAnsi="Calibri" w:eastAsia="Microsoft YaHei"/>
          <w:color w:val="243447"/>
          <w:sz w:val="21"/>
        </w:rPr>
        <w:t>i,i+1,i+2 的短窗 hidden loss利用因果模型的下游响应，不需要解冻下游高置信位置。窗口保持为 2，是在证据增益与错误传播、额外计算之间的保守折中。</w:t>
      </w:r>
    </w:p>
    <w:p>
      <w:pPr>
        <w:spacing w:after="80" w:line="259" w:lineRule="auto"/>
        <w:ind w:left="374" w:hanging="230"/>
      </w:pPr>
      <w:r>
        <w:rPr>
          <w:rFonts w:ascii="Calibri" w:hAnsi="Calibri" w:eastAsia="Microsoft YaHei"/>
          <w:b/>
          <w:color w:val="17365D"/>
          <w:sz w:val="21"/>
        </w:rPr>
        <w:t xml:space="preserve">5. </w:t>
      </w:r>
      <w:r>
        <w:rPr>
          <w:rFonts w:ascii="Calibri" w:hAnsi="Calibri" w:eastAsia="Microsoft YaHei"/>
          <w:color w:val="243447"/>
          <w:sz w:val="21"/>
        </w:rPr>
        <w:t>离散锚定基线与双重 mutation 检查让接受/拒绝路径可解释：细化失败时仍保留已确认锚点，高置信 token 不会因候选重排或 optimizer 状态被悄然改写。</w:t>
      </w:r>
    </w:p>
    <w:p>
      <w:pPr>
        <w:pStyle w:val="Heading1"/>
      </w:pPr>
      <w:r>
        <w:t>四、改动后的实验效果</w:t>
      </w:r>
    </w:p>
    <w:p>
      <w:pPr>
        <w:pStyle w:val="LeadCallout"/>
        <w:shd w:fill="FFF4D6"/>
        <w:pBdr>
          <w:left w:val="single" w:sz="18" w:space="8" w:color="B7791F"/>
        </w:pBdr>
      </w:pPr>
      <w:r>
        <w:rPr>
          <w:rFonts w:ascii="Calibri" w:hAnsi="Calibri" w:eastAsia="Microsoft YaHei"/>
          <w:b/>
          <w:color w:val="17365D"/>
        </w:rPr>
        <w:t xml:space="preserve">尚需完整实验验证： </w:t>
      </w:r>
      <w:r>
        <w:rPr>
          <w:rFonts w:ascii="Calibri" w:hAnsi="Calibri" w:eastAsia="Microsoft YaHei"/>
          <w:color w:val="17365D"/>
        </w:rPr>
        <w:t>本次交付完成的是代码实现、配置接线与自动化验证；没有启动 Qwen2.5-1.5B 的 v1.2.1 / v1.4 配对运行。因此下表只报告历史 v1.2.1 artifact，不能作为 v1.4 的效果证明。</w:t>
      </w:r>
    </w:p>
    <w:p>
      <w:pPr>
        <w:pStyle w:val="Heading2"/>
      </w:pPr>
      <w:r>
        <w:t>1. 已完成的工程验证</w:t>
      </w:r>
    </w:p>
    <w:tbl>
      <w:tblPr>
        <w:tblW w:type="auto" w:w="0"/>
        <w:jc w:val="center"/>
        <w:tblLayout w:type="fixed"/>
        <w:tblLook w:firstColumn="1" w:firstRow="1" w:lastColumn="0" w:lastRow="0" w:noHBand="0" w:noVBand="1" w:val="04A0"/>
        <w:tblInd w:w="120" w:type="dxa"/>
      </w:tblPr>
      <w:tblGrid>
        <w:gridCol w:w="3120"/>
        <w:gridCol w:w="3120"/>
        <w:gridCol w:w="3120"/>
      </w:tblGrid>
      <w:tr>
        <w:trPr>
          <w:tblHeader w:val="true"/>
          <w:cantSplit/>
        </w:trPr>
        <w:tc>
          <w:tcPr>
            <w:tcW w:type="dxa" w:w="194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验证层级</w:t>
            </w:r>
          </w:p>
        </w:tc>
        <w:tc>
          <w:tcPr>
            <w:tcW w:type="dxa" w:w="5832"/>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覆盖内容</w:t>
            </w:r>
          </w:p>
        </w:tc>
        <w:tc>
          <w:tcPr>
            <w:tcW w:type="dxa" w:w="158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结果</w:t>
            </w:r>
          </w:p>
        </w:tc>
      </w:tr>
      <w:tr>
        <w:trPr>
          <w:cantSplit/>
        </w:trPr>
        <w:tc>
          <w:tcPr>
            <w:tcW w:type="dxa" w:w="194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v1.4 专项单测</w:t>
            </w:r>
          </w:p>
        </w:tc>
        <w:tc>
          <w:tcPr>
            <w:tcW w:type="dxa" w:w="58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调度、混合门控、短序列、单候选、NaN、窗口、冻结、接受/回滚、selector、resolved config</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14/14 通过</w:t>
            </w:r>
          </w:p>
        </w:tc>
      </w:tr>
      <w:tr>
        <w:trPr>
          <w:cantSplit/>
        </w:trPr>
        <w:tc>
          <w:tcPr>
            <w:tcW w:type="dxa" w:w="194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全量回归</w:t>
            </w:r>
          </w:p>
        </w:tc>
        <w:tc>
          <w:tcPr>
            <w:tcW w:type="dxa" w:w="583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suffix v1.2/v1.2.1/v1.3、CGMR、multi-dataset、固定 experiment.log</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71/71 通过</w:t>
            </w:r>
          </w:p>
        </w:tc>
      </w:tr>
      <w:tr>
        <w:trPr>
          <w:cantSplit/>
        </w:trPr>
        <w:tc>
          <w:tcPr>
            <w:tcW w:type="dxa" w:w="194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编译检查</w:t>
            </w:r>
          </w:p>
        </w:tc>
        <w:tc>
          <w:tcPr>
            <w:tcW w:type="dxa" w:w="58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invert.py、experiment_outputs.py、v1.4 sidecar 与新增测试</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py_compile 通过</w:t>
            </w:r>
          </w:p>
        </w:tc>
      </w:tr>
      <w:tr>
        <w:trPr>
          <w:cantSplit/>
        </w:trPr>
        <w:tc>
          <w:tcPr>
            <w:tcW w:type="dxa" w:w="194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冻结不变量</w:t>
            </w:r>
          </w:p>
        </w:tc>
        <w:tc>
          <w:tcPr>
            <w:tcW w:type="dxa" w:w="583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一次 backward + Adam step 后仅低置信非连续位置改变</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bitwise 断言通过</w:t>
            </w:r>
          </w:p>
        </w:tc>
      </w:tr>
      <w:tr>
        <w:trPr>
          <w:cantSplit/>
        </w:trPr>
        <w:tc>
          <w:tcPr>
            <w:tcW w:type="dxa" w:w="194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实验配置</w:t>
            </w:r>
          </w:p>
        </w:tc>
        <w:tc>
          <w:tcPr>
            <w:tcW w:type="dxa" w:w="583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同模型、seed、数据、预算；CGMR=none；只切换 suffix version</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两份配对 config 已生成</w:t>
            </w:r>
          </w:p>
        </w:tc>
      </w:tr>
    </w:tbl>
    <w:p>
      <w:pPr>
        <w:spacing w:after="0"/>
      </w:pPr>
    </w:p>
    <w:p>
      <w:pPr>
        <w:pStyle w:val="TableSource"/>
      </w:pPr>
      <w:r>
        <w:rPr>
          <w:rFonts w:ascii="Calibri" w:hAnsi="Calibri" w:eastAsia="Microsoft YaHei"/>
          <w:i/>
          <w:color w:val="667085"/>
          <w:sz w:val="17"/>
        </w:rPr>
        <w:t>测试命令：D:\conda_envs\deml\python.exe -m unittest discover -s test -p test_*.py -v。</w:t>
      </w:r>
    </w:p>
    <w:p>
      <w:pPr>
        <w:pStyle w:val="Heading2"/>
      </w:pPr>
      <w:r>
        <w:t>2. 历史 v1.2.1 artifact（仅作为对照背景）</w:t>
      </w:r>
    </w:p>
    <w:tbl>
      <w:tblPr>
        <w:tblW w:type="auto" w:w="0"/>
        <w:jc w:val="center"/>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cantSplit/>
        </w:trPr>
        <w:tc>
          <w:tcPr>
            <w:tcW w:type="dxa" w:w="1728"/>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5"/>
              </w:rPr>
              <w:t>样本</w:t>
            </w:r>
          </w:p>
        </w:tc>
        <w:tc>
          <w:tcPr>
            <w:tcW w:type="dxa" w:w="1584"/>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5"/>
              </w:rPr>
              <w:t>pre_suffix</w:t>
            </w:r>
          </w:p>
        </w:tc>
        <w:tc>
          <w:tcPr>
            <w:tcW w:type="dxa" w:w="1728"/>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5"/>
              </w:rPr>
              <w:t>v1.2.1 post</w:t>
            </w:r>
          </w:p>
        </w:tc>
        <w:tc>
          <w:tcPr>
            <w:tcW w:type="dxa" w:w="1368"/>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5"/>
              </w:rPr>
              <w:t>Δ</w:t>
            </w:r>
          </w:p>
        </w:tc>
        <w:tc>
          <w:tcPr>
            <w:tcW w:type="dxa" w:w="1296"/>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5"/>
              </w:rPr>
              <w:t>changed</w:t>
            </w:r>
          </w:p>
        </w:tc>
        <w:tc>
          <w:tcPr>
            <w:tcW w:type="dxa" w:w="1656"/>
            <w:shd w:fill="17365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5"/>
              </w:rPr>
              <w:t>v1.4 post</w:t>
            </w:r>
          </w:p>
        </w:tc>
      </w:tr>
      <w:tr>
        <w:trPr>
          <w:cantSplit/>
        </w:trPr>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airport-1</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0.765306</w:t>
            </w:r>
          </w:p>
        </w:tc>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0.826531</w:t>
            </w:r>
          </w:p>
        </w:tc>
        <w:tc>
          <w:tcPr>
            <w:tcW w:type="dxa" w:w="136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+0.061224</w:t>
            </w:r>
          </w:p>
        </w:tc>
        <w:tc>
          <w:tcPr>
            <w:tcW w:type="dxa" w:w="129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17</w:t>
            </w:r>
          </w:p>
        </w:tc>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airport-2</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0.810458</w:t>
            </w:r>
          </w:p>
        </w:tc>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0.934641</w:t>
            </w:r>
          </w:p>
        </w:tc>
        <w:tc>
          <w:tcPr>
            <w:tcW w:type="dxa" w:w="136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+0.124183</w:t>
            </w:r>
          </w:p>
        </w:tc>
        <w:tc>
          <w:tcPr>
            <w:tcW w:type="dxa" w:w="129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32</w:t>
            </w:r>
          </w:p>
        </w:tc>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airport-3</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0.742424</w:t>
            </w:r>
          </w:p>
        </w:tc>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0.909091</w:t>
            </w:r>
          </w:p>
        </w:tc>
        <w:tc>
          <w:tcPr>
            <w:tcW w:type="dxa" w:w="136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+0.166667</w:t>
            </w:r>
          </w:p>
        </w:tc>
        <w:tc>
          <w:tcPr>
            <w:tcW w:type="dxa" w:w="129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12</w:t>
            </w:r>
          </w:p>
        </w:tc>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airport-4</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0.770642</w:t>
            </w:r>
          </w:p>
        </w:tc>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0.862385</w:t>
            </w:r>
          </w:p>
        </w:tc>
        <w:tc>
          <w:tcPr>
            <w:tcW w:type="dxa" w:w="136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+0.091743</w:t>
            </w:r>
          </w:p>
        </w:tc>
        <w:tc>
          <w:tcPr>
            <w:tcW w:type="dxa" w:w="129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13</w:t>
            </w:r>
          </w:p>
        </w:tc>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airport-5</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0.636364</w:t>
            </w:r>
          </w:p>
        </w:tc>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0.939394</w:t>
            </w:r>
          </w:p>
        </w:tc>
        <w:tc>
          <w:tcPr>
            <w:tcW w:type="dxa" w:w="136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+0.303030</w:t>
            </w:r>
          </w:p>
        </w:tc>
        <w:tc>
          <w:tcPr>
            <w:tcW w:type="dxa" w:w="129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23</w:t>
            </w:r>
          </w:p>
        </w:tc>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medical-1</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0.927536</w:t>
            </w:r>
          </w:p>
        </w:tc>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0.963768</w:t>
            </w:r>
          </w:p>
        </w:tc>
        <w:tc>
          <w:tcPr>
            <w:tcW w:type="dxa" w:w="136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+0.036232</w:t>
            </w:r>
          </w:p>
        </w:tc>
        <w:tc>
          <w:tcPr>
            <w:tcW w:type="dxa" w:w="129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7</w:t>
            </w:r>
          </w:p>
        </w:tc>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medical-2</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0.849315</w:t>
            </w:r>
          </w:p>
        </w:tc>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0.910959</w:t>
            </w:r>
          </w:p>
        </w:tc>
        <w:tc>
          <w:tcPr>
            <w:tcW w:type="dxa" w:w="136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+0.061644</w:t>
            </w:r>
          </w:p>
        </w:tc>
        <w:tc>
          <w:tcPr>
            <w:tcW w:type="dxa" w:w="129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19</w:t>
            </w:r>
          </w:p>
        </w:tc>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medical-3</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0.893617</w:t>
            </w:r>
          </w:p>
        </w:tc>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0.914894</w:t>
            </w:r>
          </w:p>
        </w:tc>
        <w:tc>
          <w:tcPr>
            <w:tcW w:type="dxa" w:w="136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+0.021277</w:t>
            </w:r>
          </w:p>
        </w:tc>
        <w:tc>
          <w:tcPr>
            <w:tcW w:type="dxa" w:w="129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7</w:t>
            </w:r>
          </w:p>
        </w:tc>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medical-4</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0.932836</w:t>
            </w:r>
          </w:p>
        </w:tc>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0.940299</w:t>
            </w:r>
          </w:p>
        </w:tc>
        <w:tc>
          <w:tcPr>
            <w:tcW w:type="dxa" w:w="136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+0.007463</w:t>
            </w:r>
          </w:p>
        </w:tc>
        <w:tc>
          <w:tcPr>
            <w:tcW w:type="dxa" w:w="129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3</w:t>
            </w:r>
          </w:p>
        </w:tc>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medical-5</w:t>
            </w:r>
          </w:p>
        </w:tc>
        <w:tc>
          <w:tcPr>
            <w:tcW w:type="dxa" w:w="1584"/>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0.847458</w:t>
            </w:r>
          </w:p>
        </w:tc>
        <w:tc>
          <w:tcPr>
            <w:tcW w:type="dxa" w:w="172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0.949153</w:t>
            </w:r>
          </w:p>
        </w:tc>
        <w:tc>
          <w:tcPr>
            <w:tcW w:type="dxa" w:w="136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+0.101695</w:t>
            </w:r>
          </w:p>
        </w:tc>
        <w:tc>
          <w:tcPr>
            <w:tcW w:type="dxa" w:w="129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7</w:t>
            </w:r>
          </w:p>
        </w:tc>
        <w:tc>
          <w:tcPr>
            <w:tcW w:type="dxa" w:w="1656"/>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r>
        <w:trPr>
          <w:cantSplit/>
        </w:trPr>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left"/>
            </w:pPr>
            <w:r>
              <w:rPr>
                <w:rFonts w:ascii="Calibri" w:hAnsi="Calibri" w:eastAsia="Microsoft YaHei"/>
                <w:color w:val="243447"/>
                <w:sz w:val="15"/>
              </w:rPr>
              <w:t>总体平均</w:t>
            </w:r>
          </w:p>
        </w:tc>
        <w:tc>
          <w:tcPr>
            <w:tcW w:type="dxa" w:w="1584"/>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0.817596</w:t>
            </w:r>
          </w:p>
        </w:tc>
        <w:tc>
          <w:tcPr>
            <w:tcW w:type="dxa" w:w="172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0.915111</w:t>
            </w:r>
          </w:p>
        </w:tc>
        <w:tc>
          <w:tcPr>
            <w:tcW w:type="dxa" w:w="136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+0.097516</w:t>
            </w:r>
          </w:p>
        </w:tc>
        <w:tc>
          <w:tcPr>
            <w:tcW w:type="dxa" w:w="129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right"/>
            </w:pPr>
            <w:r>
              <w:rPr>
                <w:rFonts w:ascii="Calibri" w:hAnsi="Calibri" w:eastAsia="Microsoft YaHei"/>
                <w:color w:val="243447"/>
                <w:sz w:val="15"/>
              </w:rPr>
              <w:t>14.0</w:t>
            </w:r>
          </w:p>
        </w:tc>
        <w:tc>
          <w:tcPr>
            <w:tcW w:type="dxa" w:w="1656"/>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jc w:val="center"/>
            </w:pPr>
            <w:r>
              <w:rPr>
                <w:rFonts w:ascii="Calibri" w:hAnsi="Calibri" w:eastAsia="Microsoft YaHei"/>
                <w:color w:val="243447"/>
                <w:sz w:val="15"/>
              </w:rPr>
              <w:t>未运行</w:t>
            </w:r>
          </w:p>
        </w:tc>
      </w:tr>
    </w:tbl>
    <w:p>
      <w:pPr>
        <w:spacing w:after="0"/>
      </w:pPr>
    </w:p>
    <w:p>
      <w:pPr>
        <w:pStyle w:val="TableSource"/>
      </w:pPr>
      <w:r>
        <w:rPr>
          <w:rFonts w:ascii="Calibri" w:hAnsi="Calibri" w:eastAsia="Microsoft YaHei"/>
          <w:i/>
          <w:color w:val="667085"/>
          <w:sz w:val="17"/>
        </w:rPr>
        <w:t>Artifact：results/invert_timestamp_runs/20260715-105359。Qwen/Qwen2.5-1.5B，layer 24，seed 0，airport 5 + medical 5，epoch 1000，top_k_cos=10，top_k_ppl=10。pre_suffix 是 suffix 介入前口径，不是独立 baseline run。</w:t>
      </w:r>
    </w:p>
    <w:p>
      <w:r>
        <w:rPr>
          <w:rFonts w:ascii="Calibri" w:hAnsi="Calibri" w:eastAsia="Microsoft YaHei"/>
          <w:color w:val="243447"/>
        </w:rPr>
        <w:t>历史结果显示 v1.2.1 的平均 pre_acc=0.817596、post_acc=0.915111，阶段增量为 +0.097516。其后 CGMR v1.1 的最终平均 accuracy=0.914047。这里的 v1.2.1 数字证明旧方法在该 10 样本 run 中有效，不证明 v1.4 更好；v1.4 的表格列必须等正式 run 产出后才能填写。</w:t>
      </w:r>
    </w:p>
    <w:p>
      <w:pPr>
        <w:pStyle w:val="Heading2"/>
      </w:pPr>
      <w:r>
        <w:t>3. 默认切换的预注册门槛</w:t>
      </w:r>
    </w:p>
    <w:tbl>
      <w:tblPr>
        <w:tblW w:type="auto" w:w="0"/>
        <w:jc w:val="center"/>
        <w:tblLayout w:type="fixed"/>
        <w:tblLook w:firstColumn="1" w:firstRow="1" w:lastColumn="0" w:lastRow="0" w:noHBand="0" w:noVBand="1" w:val="04A0"/>
        <w:tblInd w:w="120" w:type="dxa"/>
      </w:tblPr>
      <w:tblGrid>
        <w:gridCol w:w="4680"/>
        <w:gridCol w:w="4680"/>
      </w:tblGrid>
      <w:tr>
        <w:trPr>
          <w:tblHeader w:val="true"/>
          <w:cantSplit/>
        </w:trPr>
        <w:tc>
          <w:tcPr>
            <w:tcW w:type="dxa" w:w="3888"/>
            <w:shd w:fill="2D6A8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指标</w:t>
            </w:r>
          </w:p>
        </w:tc>
        <w:tc>
          <w:tcPr>
            <w:tcW w:type="dxa" w:w="5472"/>
            <w:shd w:fill="2D6A8D"/>
            <w:tcMar>
              <w:top w:w="80" w:type="dxa"/>
              <w:start w:w="120" w:type="dxa"/>
              <w:bottom w:w="80" w:type="dxa"/>
              <w:end w:w="120" w:type="dxa"/>
            </w:tcMar>
            <w:vAlign w:val="center"/>
            <w:tcBorders>
              <w:top w:val="single" w:sz="4" w:color="D0D5DD"/>
              <w:bottom w:val="single" w:sz="4" w:color="D0D5DD"/>
              <w:start w:val="single" w:sz="4" w:color="D0D5DD"/>
              <w:end w:val="single" w:sz="4" w:color="D0D5DD"/>
            </w:tcBorders>
          </w:tcPr>
          <w:p>
            <w:pPr>
              <w:spacing w:after="0"/>
              <w:jc w:val="left"/>
            </w:pPr>
            <w:r>
              <w:rPr>
                <w:rFonts w:ascii="Calibri" w:hAnsi="Calibri" w:eastAsia="Microsoft YaHei"/>
                <w:b/>
                <w:color w:val="FFFFFF"/>
                <w:sz w:val="17"/>
              </w:rPr>
              <w:t>考虑切换默认 selector 的门槛</w:t>
            </w:r>
          </w:p>
        </w:tc>
      </w:tr>
      <w:tr>
        <w:trPr>
          <w:cantSplit/>
        </w:trPr>
        <w:tc>
          <w:tcPr>
            <w:tcW w:type="dxa" w:w="388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平均 suffix post accuracy</w:t>
            </w:r>
          </w:p>
        </w:tc>
        <w:tc>
          <w:tcPr>
            <w:tcW w:type="dxa" w:w="547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v1.4 ≥ v1.2.1</w:t>
            </w:r>
          </w:p>
        </w:tc>
      </w:tr>
      <w:tr>
        <w:trPr>
          <w:cantSplit/>
        </w:trPr>
        <w:tc>
          <w:tcPr>
            <w:tcW w:type="dxa" w:w="388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冻结位置变化数</w:t>
            </w:r>
          </w:p>
        </w:tc>
        <w:tc>
          <w:tcPr>
            <w:tcW w:type="dxa" w:w="547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0</w:t>
            </w:r>
          </w:p>
        </w:tc>
      </w:tr>
      <w:tr>
        <w:trPr>
          <w:cantSplit/>
        </w:trPr>
        <w:tc>
          <w:tcPr>
            <w:tcW w:type="dxa" w:w="388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高置信 token 精度</w:t>
            </w:r>
          </w:p>
        </w:tc>
        <w:tc>
          <w:tcPr>
            <w:tcW w:type="dxa" w:w="547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 98%</w:t>
            </w:r>
          </w:p>
        </w:tc>
      </w:tr>
      <w:tr>
        <w:trPr>
          <w:cantSplit/>
        </w:trPr>
        <w:tc>
          <w:tcPr>
            <w:tcW w:type="dxa" w:w="3888"/>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错误位置进入低置信集合的召回率</w:t>
            </w:r>
          </w:p>
        </w:tc>
        <w:tc>
          <w:tcPr>
            <w:tcW w:type="dxa" w:w="5472"/>
            <w:vAlign w:val="center"/>
            <w:tcMar>
              <w:top w:w="80" w:type="dxa"/>
              <w:start w:w="120" w:type="dxa"/>
              <w:bottom w:w="80" w:type="dxa"/>
              <w:end w:w="120" w:type="dxa"/>
            </w:tcMar>
            <w:shd w:fill="F2F4F7"/>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 95%</w:t>
            </w:r>
          </w:p>
        </w:tc>
      </w:tr>
      <w:tr>
        <w:trPr>
          <w:cantSplit/>
        </w:trPr>
        <w:tc>
          <w:tcPr>
            <w:tcW w:type="dxa" w:w="3888"/>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运行时间与 fine loss 尾段波动</w:t>
            </w:r>
          </w:p>
        </w:tc>
        <w:tc>
          <w:tcPr>
            <w:tcW w:type="dxa" w:w="5472"/>
            <w:vAlign w:val="center"/>
            <w:tcMar>
              <w:top w:w="80" w:type="dxa"/>
              <w:start w:w="120" w:type="dxa"/>
              <w:bottom w:w="80" w:type="dxa"/>
              <w:end w:w="120" w:type="dxa"/>
            </w:tcMar>
            <w:tcBorders>
              <w:top w:val="single" w:sz="4" w:color="D0D5DD"/>
              <w:bottom w:val="single" w:sz="4" w:color="D0D5DD"/>
              <w:start w:val="single" w:sz="4" w:color="D0D5DD"/>
              <w:end w:val="single" w:sz="4" w:color="D0D5DD"/>
            </w:tcBorders>
          </w:tcPr>
          <w:p>
            <w:pPr>
              <w:spacing w:after="0" w:line="240" w:lineRule="auto"/>
            </w:pPr>
            <w:r>
              <w:rPr>
                <w:rFonts w:ascii="Calibri" w:hAnsi="Calibri" w:eastAsia="Microsoft YaHei"/>
                <w:color w:val="243447"/>
                <w:sz w:val="17"/>
              </w:rPr>
              <w:t>必须同时报告，不设隐性豁免</w:t>
            </w:r>
          </w:p>
        </w:tc>
      </w:tr>
    </w:tbl>
    <w:p>
      <w:pPr>
        <w:spacing w:after="0"/>
      </w:pPr>
    </w:p>
    <w:p>
      <w:pPr>
        <w:pStyle w:val="Heading1"/>
      </w:pPr>
      <w:r>
        <w:t>五、后续改进方向</w:t>
      </w:r>
    </w:p>
    <w:p>
      <w:pPr>
        <w:spacing w:after="80" w:line="259" w:lineRule="auto"/>
        <w:ind w:left="374" w:hanging="230"/>
      </w:pPr>
      <w:r>
        <w:rPr>
          <w:rFonts w:ascii="Calibri" w:hAnsi="Calibri" w:eastAsia="Microsoft YaHei"/>
          <w:b/>
          <w:color w:val="17365D"/>
          <w:sz w:val="21"/>
        </w:rPr>
        <w:t xml:space="preserve">1. </w:t>
      </w:r>
      <w:r>
        <w:rPr>
          <w:rFonts w:ascii="Calibri" w:hAnsi="Calibri" w:eastAsia="Microsoft YaHei"/>
          <w:color w:val="243447"/>
          <w:sz w:val="21"/>
        </w:rPr>
        <w:t>运行 experiment_configs/l24_airport_medical_suffix_v1_2_1_no_cgmr.json 与 l24_airport_medical_suffix_v1_4_no_cgmr.json。两者继承同一模型、数据、seed、epoch 与候选预算，且均关闭 CGMR。</w:t>
      </w:r>
    </w:p>
    <w:p>
      <w:pPr>
        <w:spacing w:after="80" w:line="259" w:lineRule="auto"/>
        <w:ind w:left="374" w:hanging="230"/>
      </w:pPr>
      <w:r>
        <w:rPr>
          <w:rFonts w:ascii="Calibri" w:hAnsi="Calibri" w:eastAsia="Microsoft YaHei"/>
          <w:b/>
          <w:color w:val="17365D"/>
          <w:sz w:val="21"/>
        </w:rPr>
        <w:t xml:space="preserve">2. </w:t>
      </w:r>
      <w:r>
        <w:rPr>
          <w:rFonts w:ascii="Calibri" w:hAnsi="Calibri" w:eastAsia="Microsoft YaHei"/>
          <w:color w:val="243447"/>
          <w:sz w:val="21"/>
        </w:rPr>
        <w:t>从两组真实 artifact 报告样本级 pre_acc/post_acc、运行时间、fine loss tail std；另从 confidence_mask 与 oracle_diagnostics 汇总高置信精度、错误位置低置信召回率和冻结位置变化数。</w:t>
      </w:r>
    </w:p>
    <w:p>
      <w:pPr>
        <w:spacing w:after="80" w:line="259" w:lineRule="auto"/>
        <w:ind w:left="374" w:hanging="230"/>
      </w:pPr>
      <w:r>
        <w:rPr>
          <w:rFonts w:ascii="Calibri" w:hAnsi="Calibri" w:eastAsia="Microsoft YaHei"/>
          <w:b/>
          <w:color w:val="17365D"/>
          <w:sz w:val="21"/>
        </w:rPr>
        <w:t xml:space="preserve">3. </w:t>
      </w:r>
      <w:r>
        <w:rPr>
          <w:rFonts w:ascii="Calibri" w:hAnsi="Calibri" w:eastAsia="Microsoft YaHei"/>
          <w:color w:val="243447"/>
          <w:sz w:val="21"/>
        </w:rPr>
        <w:t>做置信门控消融：hybrid 对 fixed、candidate agreement 开/关、percentile_min、c/d/m/g 阈值。目标不是只追求低置信比例更小，而是在 anchor precision 与 uncertain recall 之间达到预注册门槛。</w:t>
      </w:r>
    </w:p>
    <w:p>
      <w:pPr>
        <w:spacing w:after="80" w:line="259" w:lineRule="auto"/>
        <w:ind w:left="374" w:hanging="230"/>
      </w:pPr>
      <w:r>
        <w:rPr>
          <w:rFonts w:ascii="Calibri" w:hAnsi="Calibri" w:eastAsia="Microsoft YaHei"/>
          <w:b/>
          <w:color w:val="17365D"/>
          <w:sz w:val="21"/>
        </w:rPr>
        <w:t xml:space="preserve">4. </w:t>
      </w:r>
      <w:r>
        <w:rPr>
          <w:rFonts w:ascii="Calibri" w:hAnsi="Calibri" w:eastAsia="Microsoft YaHei"/>
          <w:color w:val="243447"/>
          <w:sz w:val="21"/>
        </w:rPr>
        <w:t>做细化消融：窗口 0/1/2、decay 0.5、prox/range 权重、fine epoch 与 lr 上下限；同时比较 tail std 与运行时间，避免仅用最终 accuracy 选择参数。</w:t>
      </w:r>
    </w:p>
    <w:p>
      <w:pPr>
        <w:spacing w:after="80" w:line="259" w:lineRule="auto"/>
        <w:ind w:left="374" w:hanging="230"/>
      </w:pPr>
      <w:r>
        <w:rPr>
          <w:rFonts w:ascii="Calibri" w:hAnsi="Calibri" w:eastAsia="Microsoft YaHei"/>
          <w:b/>
          <w:color w:val="17365D"/>
          <w:sz w:val="21"/>
        </w:rPr>
        <w:t xml:space="preserve">5. </w:t>
      </w:r>
      <w:r>
        <w:rPr>
          <w:rFonts w:ascii="Calibri" w:hAnsi="Calibri" w:eastAsia="Microsoft YaHei"/>
          <w:color w:val="243447"/>
          <w:sz w:val="21"/>
        </w:rPr>
        <w:t>验证无 oracle 接受策略：将 hidden_anomaly 与 oracle_accuracy 配对比较，并把 oracle_* 仅作为离线评估字段。always 只用于上界/风险消融，不作为部署默认。</w:t>
      </w:r>
    </w:p>
    <w:p>
      <w:pPr>
        <w:spacing w:after="80" w:line="259" w:lineRule="auto"/>
        <w:ind w:left="374" w:hanging="230"/>
      </w:pPr>
      <w:r>
        <w:rPr>
          <w:rFonts w:ascii="Calibri" w:hAnsi="Calibri" w:eastAsia="Microsoft YaHei"/>
          <w:b/>
          <w:color w:val="17365D"/>
          <w:sz w:val="21"/>
        </w:rPr>
        <w:t xml:space="preserve">6. </w:t>
      </w:r>
      <w:r>
        <w:rPr>
          <w:rFonts w:ascii="Calibri" w:hAnsi="Calibri" w:eastAsia="Microsoft YaHei"/>
          <w:color w:val="243447"/>
          <w:sz w:val="21"/>
        </w:rPr>
        <w:t>只有在全部默认切换门槛满足后，才修改 advanced_methods.json 的显式 selector；否则保留 v1.2 默认并继续通过版本 selector 回退。</w:t>
      </w:r>
    </w:p>
    <w:p>
      <w:pPr>
        <w:pStyle w:val="LeadCallout"/>
        <w:shd w:fill="EAF7F6"/>
        <w:pBdr>
          <w:left w:val="single" w:sz="18" w:space="8" w:color="267A5A"/>
        </w:pBdr>
      </w:pPr>
      <w:r>
        <w:rPr>
          <w:rFonts w:ascii="Calibri" w:hAnsi="Calibri" w:eastAsia="Microsoft YaHei"/>
          <w:b/>
          <w:color w:val="17365D"/>
        </w:rPr>
        <w:t xml:space="preserve">交付判断： </w:t>
      </w:r>
      <w:r>
        <w:rPr>
          <w:rFonts w:ascii="Calibri" w:hAnsi="Calibri" w:eastAsia="Microsoft YaHei"/>
          <w:color w:val="17365D"/>
        </w:rPr>
        <w:t>v1.4 的方法边界、配置、输出与回滚不变量已落地；算法性能结论仍处于待实验状态。下一步不是继续叠加模块，而是按已生成的配对配置完成公平实验并据预注册门槛决定是否默认启用。</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667085"/>
        <w:sz w:val="16"/>
      </w:rPr>
      <w:t xml:space="preserve">DEML · 内部方法更新  |  </w:t>
    </w:r>
    <w:r>
      <w:rPr>
        <w:rFonts w:ascii="Calibri" w:hAnsi="Calibri" w:eastAsia="Microsoft YaHei"/>
        <w:color w:val="667085"/>
        <w:sz w:val="16"/>
      </w:rPr>
      <w:fldChar w:fldCharType="begin"/>
      <w:instrText xml:space="preserve">PAGE</w:instrText>
      <w:fldChar w:fldCharType="separate"/>
      <w:t>1</w:t>
      <w:fldChar w:fldCharType="end"/>
    </w:r>
    <w:r>
      <w:rPr>
        <w:rFonts w:ascii="Calibri" w:hAnsi="Calibri" w:eastAsia="Microsoft YaHei"/>
        <w:color w:val="667085"/>
        <w:sz w:val="16"/>
      </w:rPr>
      <w:t xml:space="preserve"> / </w:t>
    </w:r>
    <w:r>
      <w:rPr>
        <w:rFonts w:ascii="Calibri" w:hAnsi="Calibri" w:eastAsia="Microsoft YaHei"/>
        <w:color w:val="667085"/>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jc w:val="left"/>
      <w:pBdr>
        <w:bottom w:val="single" w:sz="6" w:space="4" w:color="D0D5DD"/>
      </w:pBdr>
    </w:pPr>
    <w:r>
      <w:rPr>
        <w:rFonts w:ascii="Calibri" w:hAnsi="Calibri" w:eastAsia="Microsoft YaHei"/>
        <w:b/>
        <w:color w:val="667085"/>
        <w:sz w:val="16"/>
      </w:rPr>
      <w:t>METHOD UPDATE  /  SUFFIX REOPTIMIZATION v1.4</w:t>
    </w:r>
    <w:r>
      <w:rPr>
        <w:rFonts w:ascii="Calibri" w:hAnsi="Calibri" w:eastAsia="Microsoft YaHei"/>
        <w:color w:val="667085"/>
        <w:sz w:val="16"/>
      </w:rPr>
      <w:tab/>
      <w:t>2026-07-20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Microsoft YaHe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2D6A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Microsoft YaHe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Microsoft YaHei"/>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spacing w:before="120" w:after="180" w:line="269" w:lineRule="auto"/>
      <w:ind w:left="259" w:right="115"/>
    </w:pPr>
    <w:rPr>
      <w:rFonts w:ascii="Calibri" w:hAnsi="Calibri" w:eastAsia="Microsoft YaHei"/>
      <w:color w:val="17365D"/>
      <w:sz w:val="22"/>
    </w:rPr>
  </w:style>
  <w:style w:type="paragraph" w:customStyle="1" w:styleId="TableSource">
    <w:name w:val="Table Source"/>
    <w:basedOn w:val="Normal"/>
    <w:pPr>
      <w:spacing w:before="40" w:after="120"/>
    </w:pPr>
    <w:rPr>
      <w:rFonts w:ascii="Calibri" w:hAnsi="Calibri" w:eastAsia="Microsoft YaHei"/>
      <w:color w:val="667085"/>
      <w:sz w:val="17"/>
    </w:rPr>
  </w:style>
  <w:style w:type="paragraph" w:customStyle="1" w:styleId="Formula">
    <w:name w:val="Formula"/>
    <w:basedOn w:val="Normal"/>
    <w:pPr>
      <w:keepLines/>
      <w:spacing w:before="80" w:after="160"/>
      <w:ind w:left="288" w:right="144"/>
    </w:pPr>
    <w:rPr>
      <w:rFonts w:ascii="Consolas" w:hAnsi="Consolas" w:eastAsia="Microsoft YaHei"/>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v1.4 相对 v1.2.1 的关键核心更新</dc:title>
  <dc:subject>Suffix Reoptimization v1.4 implementation and validation report</dc:subject>
  <dc:creator>DEML / Codex</dc:creator>
  <cp:keywords>DEML, suffix reoptimization, v1.4, confidence mask, coarse-to-fine</cp:keywords>
  <dc:description>generated by python-docx</dc:description>
  <cp:lastModifiedBy/>
  <cp:revision>1</cp:revision>
  <dcterms:created xsi:type="dcterms:W3CDTF">2013-12-23T23:15:00Z</dcterms:created>
  <dcterms:modified xsi:type="dcterms:W3CDTF">2013-12-23T23:15:00Z</dcterms:modified>
  <cp:category/>
</cp:coreProperties>
</file>