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7365D"/>
          <w:sz w:val="48"/>
        </w:rPr>
        <w:t>大学生就业法律助手</w:t>
        <w:br/>
        <w:t>需求文档</w:t>
      </w:r>
    </w:p>
    <w:p>
      <w:pPr>
        <w:jc w:val="center"/>
      </w:pPr>
      <w:r>
        <w:rPr>
          <w:rFonts w:ascii="微软雅黑" w:hAnsi="微软雅黑" w:eastAsia="微软雅黑"/>
          <w:color w:val="444444"/>
          <w:sz w:val="24"/>
        </w:rPr>
        <w:t>面向劳动合同、劳务合同、实习协议、三方协议的签约风险识别与法律问答系统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20"/>
        </w:rPr>
        <w:t>版本：V1.0    日期：2026-07-16    适用：课程项目/小组汇报/原型开发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大学生就业法律助手</w:t>
            </w:r>
          </w:p>
        </w:tc>
      </w:tr>
      <w:tr>
        <w:tc>
          <w:tcPr>
            <w:tcW w:type="dxa" w:w="49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项目定位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帮助大学生在就业、实习、兼职、校招签约等场景下识别合同条款风险，理解相关法律依据，并获得签前/签中/签后的行动建议。</w:t>
            </w:r>
          </w:p>
        </w:tc>
      </w:tr>
      <w:tr>
        <w:tc>
          <w:tcPr>
            <w:tcW w:type="dxa" w:w="49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核心用户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即将实习或就业的大学生、应届毕业生、兼职学生、就业指导老师/辅导员。</w:t>
            </w:r>
          </w:p>
        </w:tc>
      </w:tr>
      <w:tr>
        <w:tc>
          <w:tcPr>
            <w:tcW w:type="dxa" w:w="49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合同文本解析、风险条款识别、法律依据引用、法律问答、维权路径提示、隐私与免责声明。</w:t>
            </w:r>
          </w:p>
        </w:tc>
      </w:tr>
      <w:tr>
        <w:tc>
          <w:tcPr>
            <w:tcW w:type="dxa" w:w="49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计划周期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8周，先完成可汇报、可演示、可扩展的MVP原型。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一、文档说明</w:t>
      </w:r>
    </w:p>
    <w:p>
      <w:pPr>
        <w:spacing w:line="300" w:lineRule="auto"/>
      </w:pPr>
      <w:r>
        <w:rPr>
          <w:rFonts w:ascii="微软雅黑" w:hAnsi="微软雅黑" w:eastAsia="微软雅黑"/>
          <w:sz w:val="21"/>
        </w:rPr>
        <w:t>本文档基于《大学生就业法律助手项目计划表_细分执行版_含甘特图.xlsx》整理，用于明确项目目标、用户场景、功能需求、数据要求、验收标准和实施边界。</w:t>
      </w:r>
    </w:p>
    <w:p>
      <w:pPr>
        <w:spacing w:line="300" w:lineRule="auto"/>
      </w:pPr>
      <w:r>
        <w:rPr>
          <w:rFonts w:ascii="微软雅黑" w:hAnsi="微软雅黑" w:eastAsia="微软雅黑"/>
          <w:sz w:val="21"/>
        </w:rPr>
        <w:t>本文档面向小组成员、指导老师、评审人员和后续开发人员，可作为需求评审、项目答辩和原型开发的统一依据。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修改内容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修改人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2026-07-16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首次生成需求文档，覆盖项目目标、功能、数据、风险与验收标准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项目小组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V1.1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待补充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根据评审意见调整功能范围与交付优先级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待补充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</w:rPr>
        <w:t>二、项目背景与问题定义</w:t>
      </w:r>
    </w:p>
    <w:p>
      <w:pPr>
        <w:spacing w:line="300" w:lineRule="auto"/>
      </w:pPr>
      <w:r>
        <w:rPr>
          <w:rFonts w:ascii="微软雅黑" w:hAnsi="微软雅黑" w:eastAsia="微软雅黑"/>
          <w:sz w:val="21"/>
        </w:rPr>
        <w:t>大学生在求职、实习、兼职和毕业入职过程中，经常会接触劳动合同、劳务合同、实习协议、就业三方协议、兼职协议等文件。由于法律知识不足，很多学生难以及时识别合同中的工资、社保、试用期、违约金、押金、工伤责任、争议解决等风险条款。</w:t>
      </w:r>
    </w:p>
    <w:p>
      <w:pPr>
        <w:spacing w:line="300" w:lineRule="auto"/>
      </w:pPr>
      <w:r>
        <w:rPr>
          <w:rFonts w:ascii="微软雅黑" w:hAnsi="微软雅黑" w:eastAsia="微软雅黑"/>
          <w:sz w:val="21"/>
        </w:rPr>
        <w:t>本项目拟建设一个面向大学生就业场景的法律助手，帮助用户在签约前快速理解合同性质和关键风险，在签约中获得条款解释，在签约后了解基础维权路径。系统强调“法律依据可追溯、建议表达通俗、边界提示清晰、隐私处理谨慎”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痛点一：合同类型容易混淆，特别是劳动合同与劳务合同的差异不清。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痛点二：合同条款专业、冗长，学生难以判断哪些条款存在风险。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痛点三：发生拖欠工资、未缴社保、违法解除等问题时，不清楚证据和维权路径。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痛点四：通用法律问答容易空泛，缺少针对大学生就业签约场景的具体解释。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三、项目目标</w:t>
      </w:r>
    </w:p>
    <w:p>
      <w:pPr>
        <w:pStyle w:val="Heading2"/>
      </w:pPr>
      <w:r>
        <w:rPr>
          <w:rFonts w:ascii="微软雅黑" w:hAnsi="微软雅黑" w:eastAsia="微软雅黑"/>
          <w:color w:val="444444"/>
        </w:rPr>
        <w:t>3.1 总体目标</w:t>
      </w:r>
    </w:p>
    <w:p>
      <w:pPr>
        <w:spacing w:line="300" w:lineRule="auto"/>
      </w:pPr>
      <w:r>
        <w:rPr>
          <w:rFonts w:ascii="微软雅黑" w:hAnsi="微软雅黑" w:eastAsia="微软雅黑"/>
          <w:sz w:val="21"/>
        </w:rPr>
        <w:t>在8周内完成一个可演示的大学生就业法律助手MVP原型，实现“合同输入—风险识别—法律依据引用—行动建议—追问问答”的核心闭环，并形成可用于汇报的测试报告、需求文档、项目计划表和答辩材料。</w:t>
      </w:r>
    </w:p>
    <w:p>
      <w:pPr>
        <w:pStyle w:val="Heading2"/>
      </w:pPr>
      <w:r>
        <w:rPr>
          <w:rFonts w:ascii="微软雅黑" w:hAnsi="微软雅黑" w:eastAsia="微软雅黑"/>
          <w:color w:val="444444"/>
        </w:rPr>
        <w:t>3.2 具体目标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建立面向就业签约场景的法律知识库，覆盖劳动合同法、劳动法、社会保险法、工伤保险条例、劳动争议调解仲裁法等资料。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支持用户粘贴合同文本或输入条款内容，识别合同中的典型风险点。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输出结构化风险报告，包括风险等级、原文片段、风险解释、法律依据方向和建议动作。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支持高频法律问答，回答中尽量引用可追溯的法规名称与条号。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明确系统边界：提供一般法律信息和风险提示，不替代律师意见，不处理复杂案件裁判。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形成可演示、可汇报、可扩展的课程项目成果。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四、目标用户与使用场景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用户类型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核心诉求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系统价值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应届毕业生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校招签劳动合同、三方协议、offer确认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判断薪资、试用期、社保、违约金是否合理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降低签约前法律风险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实习学生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签实习协议或劳务协议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理解实习报酬、工伤、保险、离职约定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提醒实习与劳动关系边界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兼职学生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签兼职/劳务/外包协议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识别押金、工资拖欠、免责条款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帮助保存证据和获得基础维权建议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辅导员/就业指导老师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指导学生签约和答疑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快速定位常见法律问题和依据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辅助就业指导工作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</w:rPr>
        <w:t>五、需求范围</w:t>
      </w:r>
    </w:p>
    <w:p>
      <w:pPr>
        <w:pStyle w:val="Heading2"/>
      </w:pPr>
      <w:r>
        <w:rPr>
          <w:rFonts w:ascii="微软雅黑" w:hAnsi="微软雅黑" w:eastAsia="微软雅黑"/>
          <w:color w:val="444444"/>
        </w:rPr>
        <w:t>5.1 MVP范围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合同文本输入：支持用户粘贴合同文本，后续可扩展文件上传。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合同关键信息抽取：识别合同类型、主体、期限、岗位/服务内容、报酬、社保、试用期、违约责任等字段。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合同风险识别：覆盖至少15类高频风险规则，优先识别工资、社保、押金、违约金、竞业限制、工伤免责、试用期异常等。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风险报告展示：按风险等级展示原文片段、风险说明、依据方向和建议动作。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法律问答：支持30条以上高频问题，回答包括简答、依据、解释、建议和边界提示。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隐私与合规提示：提示用户脱敏合同，不上传身份证号、手机号、银行卡号等敏感信息。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演示样例：内置劳动合同、劳务合同、实习协议等脱敏样例，保障答辩演示稳定。</w:t>
      </w:r>
    </w:p>
    <w:p>
      <w:pPr>
        <w:pStyle w:val="Heading2"/>
      </w:pPr>
      <w:r>
        <w:rPr>
          <w:rFonts w:ascii="微软雅黑" w:hAnsi="微软雅黑" w:eastAsia="微软雅黑"/>
          <w:color w:val="444444"/>
        </w:rPr>
        <w:t>5.2 暂不纳入本期范围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不提供正式法律意见或律师代理服务。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不进行复杂仲裁/诉讼案件胜诉率判断。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不处理真实敏感合同的长期存储和商业化风控。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不承诺完全自动判断劳动关系成立与否，仅提供风险提示和判断线索。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不在MVP阶段实现OCR图片识别、复杂文档排版还原和多端部署。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六、功能需求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8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198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需求描述</w:t>
            </w:r>
          </w:p>
        </w:tc>
        <w:tc>
          <w:tcPr>
            <w:tcW w:type="dxa" w:w="198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核心规则/输出</w:t>
            </w:r>
          </w:p>
        </w:tc>
        <w:tc>
          <w:tcPr>
            <w:tcW w:type="dxa" w:w="198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FR-01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首页与场景入口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用户进入系统后，能够看到项目定位、适用场景、免责声明和主要功能入口。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展示合同解析、法律问答、签约清单、示例演示入口。</w:t>
            </w:r>
          </w:p>
        </w:tc>
        <w:tc>
          <w:tcPr>
            <w:tcW w:type="dxa" w:w="1987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FR-02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合同文本输入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用户可以粘贴合同文本或选择示例合同。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支持长文本输入；提示用户脱敏；可选择劳动合同/劳务合同/实习协议/不确定。</w:t>
            </w:r>
          </w:p>
        </w:tc>
        <w:tc>
          <w:tcPr>
            <w:tcW w:type="dxa" w:w="1987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FR-03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合同关键信息抽取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系统从合同中提取核心字段。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输出合同类型、期限、报酬、岗位/服务内容、试用期、社保、违约责任等字段。</w:t>
            </w:r>
          </w:p>
        </w:tc>
        <w:tc>
          <w:tcPr>
            <w:tcW w:type="dxa" w:w="1987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FR-04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合同风险识别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系统根据规则识别典型合同风险。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至少覆盖15类风险；每类输出风险等级、触发原因、建议动作。</w:t>
            </w:r>
          </w:p>
        </w:tc>
        <w:tc>
          <w:tcPr>
            <w:tcW w:type="dxa" w:w="1987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FR-05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风险报告生成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系统生成结构化风险报告。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报告包含风险摘要、风险列表、法律依据方向、签约建议和证据建议。</w:t>
            </w:r>
          </w:p>
        </w:tc>
        <w:tc>
          <w:tcPr>
            <w:tcW w:type="dxa" w:w="1987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FR-06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法律问答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用户可输入就业签约相关问题。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系统返回简明回答、通俗解释、法律依据和行动建议。</w:t>
            </w:r>
          </w:p>
        </w:tc>
        <w:tc>
          <w:tcPr>
            <w:tcW w:type="dxa" w:w="1987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FR-07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法律依据引用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系统回答应尽量引用知识库中存在的法规名称与条号。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不得虚构法律名称和条号；依据不足时明确提示。</w:t>
            </w:r>
          </w:p>
        </w:tc>
        <w:tc>
          <w:tcPr>
            <w:tcW w:type="dxa" w:w="1987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FR-08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签约检查清单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为用户提供签约前检查项。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覆盖工资、社保、试用期、违约金、押金、工伤、争议解决等。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FR-09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维权路径提示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针对常见争议给出基础路径。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提示协商、学校就业部门、劳动监察、劳动仲裁、律师咨询等渠道。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FR-10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演示样例管理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系统提供一键演示样例。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答辩现场可快速加载样例合同并生成报告。</w:t>
            </w:r>
          </w:p>
        </w:tc>
        <w:tc>
          <w:tcPr>
            <w:tcW w:type="dxa" w:w="1987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</w:rPr>
        <w:t>七、合同风险规则需求</w:t>
      </w:r>
    </w:p>
    <w:p>
      <w:pPr>
        <w:spacing w:line="300" w:lineRule="auto"/>
      </w:pPr>
      <w:r>
        <w:rPr>
          <w:rFonts w:ascii="微软雅黑" w:hAnsi="微软雅黑" w:eastAsia="微软雅黑"/>
          <w:sz w:val="21"/>
        </w:rPr>
        <w:t>MVP阶段优先实现计划表中的15类风险规则。以下为主要风险规则摘要，详细规则可在项目计划表《合同风险规则细化》工作表中维护。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656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风险类别</w:t>
            </w:r>
          </w:p>
        </w:tc>
        <w:tc>
          <w:tcPr>
            <w:tcW w:type="dxa" w:w="1656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656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识别线索</w:t>
            </w:r>
          </w:p>
        </w:tc>
        <w:tc>
          <w:tcPr>
            <w:tcW w:type="dxa" w:w="1656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判断逻辑</w:t>
            </w:r>
          </w:p>
        </w:tc>
        <w:tc>
          <w:tcPr>
            <w:tcW w:type="dxa" w:w="1656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用户建议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R01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合同类型混淆</w:t>
            </w:r>
          </w:p>
        </w:tc>
        <w:tc>
          <w:tcPr>
            <w:tcW w:type="dxa" w:w="1656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劳务合同、外包、承揽；同时出现上下班、考勤、直属领导、工资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合同名称为劳务但实际具备劳动管理特征，应提示可能存在劳动关系争议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不要只看合同名称，应结合实际工作管理方式判断；保留考勤、工资、工作安排证据。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R02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未签书面劳动合同</w:t>
            </w:r>
          </w:p>
        </w:tc>
        <w:tc>
          <w:tcPr>
            <w:tcW w:type="dxa" w:w="1656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入职、试用、转正；无书面合同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入职超过一个月未签劳动合同，风险较高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建议尽快要求补签，并保存劳动关系证据；必要时咨询劳动仲裁渠道。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R03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试用期异常</w:t>
            </w:r>
          </w:p>
        </w:tc>
        <w:tc>
          <w:tcPr>
            <w:tcW w:type="dxa" w:w="1656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中高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试用期6个月、重复试用、试用期工资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试用期长度需与合同期限匹配，不能重复约定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签前确认试用期长度和工资标准，避免超期试用或重复试用。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R04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工资不明确</w:t>
            </w:r>
          </w:p>
        </w:tc>
        <w:tc>
          <w:tcPr>
            <w:tcW w:type="dxa" w:w="1656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薪资面议、按公司规定、绩效另算、视情况发放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工资金额、结构、发薪日、扣款条件不清晰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建议要求写明基本工资、绩效规则、发薪日和扣款条件。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R05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社保缺失</w:t>
            </w:r>
          </w:p>
        </w:tc>
        <w:tc>
          <w:tcPr>
            <w:tcW w:type="dxa" w:w="1656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不缴社保、社保补贴、自行缴纳、放弃社保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社保通常属于用人单位法定义务，不宜用协议放弃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不建议签署放弃社保条款；如单位拒缴，应保留证据并咨询社保/劳动部门。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R06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押金/证件扣押</w:t>
            </w:r>
          </w:p>
        </w:tc>
        <w:tc>
          <w:tcPr>
            <w:tcW w:type="dxa" w:w="1656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押金、保证金、培训费、服装费、扣身份证/毕业证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用人单位不得以担保名义收取财物或扣押证件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签前拒绝不合理收费和扣押证件，已付款需保留凭证。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R07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违约金过重</w:t>
            </w:r>
          </w:p>
        </w:tc>
        <w:tc>
          <w:tcPr>
            <w:tcW w:type="dxa" w:w="1656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中高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提前离职赔偿、违约金、赔偿公司损失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普通离职通常不应随意约定高额违约金，需区分服务期和竞业限制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重点核查违约金适用条件，普通离职高额违约金应谨慎。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R08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竞业限制不合理</w:t>
            </w:r>
          </w:p>
        </w:tc>
        <w:tc>
          <w:tcPr>
            <w:tcW w:type="dxa" w:w="1656"/>
            <w:shd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竞业、同行业、不得入职、补偿金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竞业限制对象、范围、期限、补偿需合理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确认是否属于可约定竞业人员，以及是否有补偿、期限是否合理。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R09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工伤责任转嫁</w:t>
            </w:r>
          </w:p>
        </w:tc>
        <w:tc>
          <w:tcPr>
            <w:tcW w:type="dxa" w:w="1656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受伤自负、意外自行承担、公司免责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工伤或工作伤害责任不能通过简单免责完全转嫁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此类免责条款风险高，发生伤害应及时就医并保留工作相关证据。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R10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争议解决不清</w:t>
            </w:r>
          </w:p>
        </w:tc>
        <w:tc>
          <w:tcPr>
            <w:tcW w:type="dxa" w:w="1656"/>
            <w:shd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仅约定法院、公司所在地、不得仲裁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劳动争议通常有调解仲裁路径，仲裁时效需注意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发生争议时注意劳动仲裁时效，保存证据并咨询专业渠道。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R11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工作内容地点模糊</w:t>
            </w:r>
          </w:p>
        </w:tc>
        <w:tc>
          <w:tcPr>
            <w:tcW w:type="dxa" w:w="1656"/>
            <w:shd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服从调岗、地点由公司安排、岗位另行通知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岗位/地点过于宽泛可能导致被动调岗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建议明确岗位、地点、调岗条件和协商机制。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R12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加班休假不明确</w:t>
            </w:r>
          </w:p>
        </w:tc>
        <w:tc>
          <w:tcPr>
            <w:tcW w:type="dxa" w:w="1656"/>
            <w:shd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自愿加班、无加班费、调休视情况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加班工资和休息休假不应被格式条款排除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建议明确工时制度、加班审批、加班费或调休规则。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R13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培训服务期不清</w:t>
            </w:r>
          </w:p>
        </w:tc>
        <w:tc>
          <w:tcPr>
            <w:tcW w:type="dxa" w:w="1656"/>
            <w:shd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培训费、服务期、离职赔偿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服务期需与专项培训费用等条件相关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确认培训性质、费用明细、服务期和违约责任是否合理。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R14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单方解除过宽</w:t>
            </w:r>
          </w:p>
        </w:tc>
        <w:tc>
          <w:tcPr>
            <w:tcW w:type="dxa" w:w="1656"/>
            <w:shd w:fill="F4CC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中高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公司可随时解除、无补偿解除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解除条件过宽可能损害劳动者权益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建议核对解除条件，保留入职和履职证据。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R15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个人信息授权过度</w:t>
            </w:r>
          </w:p>
        </w:tc>
        <w:tc>
          <w:tcPr>
            <w:tcW w:type="dxa" w:w="1656"/>
            <w:shd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永久授权、任意使用个人信息、转让信息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求职和合同场景应限制个人信息使用范围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建议授权范围限于招聘/用工管理必要目的，避免过度授权。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</w:rPr>
        <w:t>八、数据与知识库需求</w:t>
      </w:r>
    </w:p>
    <w:p>
      <w:pPr>
        <w:pStyle w:val="Heading2"/>
      </w:pPr>
      <w:r>
        <w:rPr>
          <w:rFonts w:ascii="微软雅黑" w:hAnsi="微软雅黑" w:eastAsia="微软雅黑"/>
          <w:color w:val="444444"/>
        </w:rPr>
        <w:t>8.1 数据来源</w:t>
      </w:r>
    </w:p>
    <w:p>
      <w:pPr>
        <w:spacing w:line="300" w:lineRule="auto"/>
      </w:pPr>
      <w:r>
        <w:rPr>
          <w:rFonts w:ascii="微软雅黑" w:hAnsi="微软雅黑" w:eastAsia="微软雅黑"/>
          <w:sz w:val="21"/>
        </w:rPr>
        <w:t>本项目已准备data.zip作为法律资料基础，包含劳动合同法、劳动法、劳动争议调解仲裁法、劳动合同法实施条例、工伤保险条例、社会保险法以及相关司法解释等JSON文件。</w:t>
      </w:r>
    </w:p>
    <w:p>
      <w:pPr>
        <w:pStyle w:val="Heading2"/>
      </w:pPr>
      <w:r>
        <w:rPr>
          <w:rFonts w:ascii="微软雅黑" w:hAnsi="微软雅黑" w:eastAsia="微软雅黑"/>
          <w:color w:val="444444"/>
        </w:rPr>
        <w:t>8.2 知识库字段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法律名称：例如《中华人民共和国劳动合同法》。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条号：例如第十条、第三十七条等。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标题：条文标题或章节信息。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全文：保留完整条文内容。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主题标签：如合同订立、工资、社保、试用期、工伤、仲裁等。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适用场景：签前审查、争议处理、实习兼职、入职离职等。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关联问题：将高频问题与相关条文建立映射。</w:t>
      </w:r>
    </w:p>
    <w:p>
      <w:pPr>
        <w:pStyle w:val="Heading2"/>
      </w:pPr>
      <w:r>
        <w:rPr>
          <w:rFonts w:ascii="微软雅黑" w:hAnsi="微软雅黑" w:eastAsia="微软雅黑"/>
          <w:color w:val="444444"/>
        </w:rPr>
        <w:t>8.3 知识库质量要求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每条知识必须可以追溯到法规名称和条号。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回答中不得出现知识库不存在的法律条文编号。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同一问题优先返回最相关的1-3条依据，避免堆砌大段法条。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对于依据不足或存在争议的问题，应明确提示“不确定”或建议咨询专业人士。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九、非功能需求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484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484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484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准确性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法律依据可追溯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所有法律依据来自知识库或人工确认资料，不虚构条号。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可用性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适合大学生理解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回答应通俗、分步骤、少用过度专业术语。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隐私性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合同脱敏提示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提示用户去除姓名、身份证、手机号、银行卡、公司商业秘密等信息。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答辩演示稳定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准备本地样例和备用截图，避免网络异常影响演示。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可维护性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规则可编辑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风险规则、关键词、FAQ应以表格或JSON维护，方便小组更新。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扩展性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后续可接入OCR/更多法规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MVP结构应支持后续添加图片识别、报告导出、更多案例。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</w:rPr>
        <w:t>十、系统流程与页面需求</w:t>
      </w:r>
    </w:p>
    <w:p>
      <w:pPr>
        <w:pStyle w:val="Heading2"/>
      </w:pPr>
      <w:r>
        <w:rPr>
          <w:rFonts w:ascii="微软雅黑" w:hAnsi="微软雅黑" w:eastAsia="微软雅黑"/>
          <w:color w:val="444444"/>
        </w:rPr>
        <w:t>10.1 核心业务流程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用户进入首页，阅读适用范围和免责声明。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用户选择“合同解析”或加载演示样例。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用户粘贴合同文本，并根据提示进行脱敏。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系统抽取合同关键信息，识别合同类型和核心条款。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系统根据风险规则生成风险报告。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用户可对某个风险点继续追问，系统返回简答、依据和建议。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系统提示保存证据、谨慎签署或咨询专业渠道。</w:t>
      </w:r>
    </w:p>
    <w:p>
      <w:pPr>
        <w:pStyle w:val="Heading2"/>
      </w:pPr>
      <w:r>
        <w:rPr>
          <w:rFonts w:ascii="微软雅黑" w:hAnsi="微软雅黑" w:eastAsia="微软雅黑"/>
          <w:color w:val="444444"/>
        </w:rPr>
        <w:t>10.2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首页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展示项目定位、适用场景、入口和免责声明。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合同输入页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支持文本粘贴、示例选择、脱敏提醒。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风险报告页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展示风险等级、风险详情、依据方向、建议动作。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法律问答页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支持输入问题，返回结构化回答。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签约清单页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展示签约前需检查的关键事项。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关于与免责声明页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说明项目边界、隐私处理和求助渠道。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</w:rPr>
        <w:t>十一、项目实施计划</w:t>
      </w:r>
    </w:p>
    <w:p>
      <w:pPr>
        <w:spacing w:line="300" w:lineRule="auto"/>
      </w:pPr>
      <w:r>
        <w:rPr>
          <w:rFonts w:ascii="微软雅黑" w:hAnsi="微软雅黑" w:eastAsia="微软雅黑"/>
          <w:sz w:val="21"/>
        </w:rPr>
        <w:t>本项目采用8周推进方式，先完成需求与知识库，再完成风险规则、原型开发、测试合规和答辩交付。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00A6A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656"/>
            <w:vAlign w:val="center"/>
            <w:shd w:fill="00A6A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日期范围</w:t>
            </w:r>
          </w:p>
        </w:tc>
        <w:tc>
          <w:tcPr>
            <w:tcW w:type="dxa" w:w="1656"/>
            <w:vAlign w:val="center"/>
            <w:shd w:fill="00A6A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阶段重点</w:t>
            </w:r>
          </w:p>
        </w:tc>
        <w:tc>
          <w:tcPr>
            <w:tcW w:type="dxa" w:w="1656"/>
            <w:vAlign w:val="center"/>
            <w:shd w:fill="00A6A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本周产出物</w:t>
            </w:r>
          </w:p>
        </w:tc>
        <w:tc>
          <w:tcPr>
            <w:tcW w:type="dxa" w:w="1656"/>
            <w:vAlign w:val="center"/>
            <w:shd w:fill="00A6A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656"/>
            <w:vAlign w:val="center"/>
            <w:shd w:fill="00A6A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汇报话术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2026-07-16~2026-07-22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立项调研+数据盘点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用户画像、问题池、法规资料清单、MVP范围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组长/产品/数据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本周完成项目方向定义，确认聚焦大学生就业签约风险，已开始整理法律数据底座。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2026-07-23~2026-07-29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法律资料结构化+产品原型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主题标签体系、引用格式、低保真原型、PRD简版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法律/产品/前端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本周把法律资料转成可引用知识库，并完成核心页面和报告结构设计。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2026-07-30~2026-08-05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知识库与FAQ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知识库文件、FAQ 30条、检索规则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数据/法律/算法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本周重点建设可追溯的法律问答能力，确保回答不是空泛建议。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2026-08-06~2026-08-12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检索校验+合同风险字段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引用校验机制、合同字段表、脱敏样例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算法/后端/法律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本周从问答能力过渡到合同解析能力，开始把风险识别规则落地。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2026-08-13~2026-08-19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风险规则+开发启动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风险规则库、样例报告、前端框架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法律/算法/前端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本周完成合同风控核心逻辑，并启动可演示页面开发。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2026-08-20~2026-08-26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原型联调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可运行原型、演示样例、接口说明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前端/后端/算法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本周形成可演示闭环，答辩时可以现场展示核心功能。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2026-08-27~2026-09-02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测试与合规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测试报告、合规说明、修复清单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测试/法律/全组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本周重点验证准确性和边界，体现项目严谨性和可信度。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2026-09-03~2026-09-09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答辩交付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PPT、演示脚本、项目说明书、演示环境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全组</w:t>
            </w:r>
          </w:p>
        </w:tc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本周完成最终交付和答辩彩排，突出大学生场景、法律依据和产品价值。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</w:rPr>
        <w:t>十二、角色分工</w:t>
      </w:r>
    </w:p>
    <w:p>
      <w:pPr>
        <w:spacing w:line="300" w:lineRule="auto"/>
      </w:pPr>
      <w:r>
        <w:rPr>
          <w:rFonts w:ascii="微软雅黑" w:hAnsi="微软雅黑" w:eastAsia="微软雅黑"/>
          <w:sz w:val="21"/>
        </w:rPr>
        <w:t>项目采用RACI方式明确分工：R表示直接负责，A表示最终负责，C表示协作咨询，I表示信息同步。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1987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987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最终负责/A</w:t>
            </w:r>
          </w:p>
        </w:tc>
        <w:tc>
          <w:tcPr>
            <w:tcW w:type="dxa" w:w="1987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直接负责/R</w:t>
            </w:r>
          </w:p>
        </w:tc>
        <w:tc>
          <w:tcPr>
            <w:tcW w:type="dxa" w:w="1987"/>
            <w:vAlign w:val="center"/>
            <w:shd w:fill="7030A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关键交付物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立项与范围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明确项目定位、MVP边界、整体排期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组长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产品/调研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项目定位、范围说明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用户调研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访谈同学、整理问题池和用户画像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组长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产品/调研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用户画像、高频问题池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法律资料整理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法规清洗、标签、问题-条文映射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组长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法律资料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法规索引、标签体系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知识库建设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结构化知识库、检索规则、引用格式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组长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数据/知识库、算法/后端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知识库文件、检索规则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合同风险规则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合同字段、风险识别、风险等级、建议话术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组长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法律资料、算法/后端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风险规则库、样例报告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产品原型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页面流程、报告模板、交互说明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组长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产品/调研、前端/设计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原型图、PRD简版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前后端开发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合同输入、报告展示、问答流程、演示样例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组长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算法/后端、前端/设计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可运行原型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测试验收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问答测试、合同测试、误判记录、合规检查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组长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法律资料、测试/合规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测试报告、修复清单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答辩交付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PPT、演示脚本、项目文档、彩排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组长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产品/调研、前端/设计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答辩PPT、演示脚本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</w:rPr>
        <w:t>十三、验收标准</w:t>
      </w:r>
    </w:p>
    <w:p>
      <w:pPr>
        <w:spacing w:line="300" w:lineRule="auto"/>
      </w:pPr>
      <w:r>
        <w:rPr>
          <w:rFonts w:ascii="微软雅黑" w:hAnsi="微软雅黑" w:eastAsia="微软雅黑"/>
          <w:sz w:val="21"/>
        </w:rPr>
        <w:t>项目最终验收以“可演示、可解释、可追溯、可汇报”为核心标准。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70AD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987"/>
            <w:vAlign w:val="center"/>
            <w:shd w:fill="70AD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1987"/>
            <w:vAlign w:val="center"/>
            <w:shd w:fill="70AD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987"/>
            <w:vAlign w:val="center"/>
            <w:shd w:fill="70AD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987"/>
            <w:vAlign w:val="center"/>
            <w:shd w:fill="70AD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截止周次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用户画像与问题池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大学生就业签约场景、痛点、问题分类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不少于20个高频问题，覆盖劳动/劳务/实习/三方协议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第1周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法规资料索引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法规名称、条数、条号、全文、适用主题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条文可追溯，格式统一，可程序读取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数据/法律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第2周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主题标签体系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工资、社保、试用期、工伤、解除、仲裁等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不少于12个一级标签，每条至少可归类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法律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第2周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产品原型图</w:t>
            </w:r>
          </w:p>
        </w:tc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首页、合同输入、风险报告、问答、免责声明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核心路径不超过3步，组内评审通过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产品/前端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第2周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FAQ知识库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问题、简答、法律依据、行动建议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不少于30条，引用格式统一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法律/算法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第3周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风险规则库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风险类型、触发条件、等级、依据、建议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不少于15类，能覆盖样例合同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法律/算法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第5周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样例风险报告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3份合同样例报告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包含原文片段、风险解释、依据、建议动作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产品/法律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第5周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可运行原型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合同输入、风险报告、问答流程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核心演示闭环稳定跑通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前端/后端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第6周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测试报告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50条问答+10份合同测试结果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记录准确、误判、修复状态和边界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第7周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合规说明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隐私脱敏、非律师意见、复杂问题转人工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关键页面可见，文档中说明清楚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法律/产品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第7周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答辩PPT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背景、方案、演示、测试、分工、计划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8-12页，5分钟内讲完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组长/产品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第8周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演示脚本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现场讲解词、点击路径、备用方案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至少彩排2次，演示不卡顿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全组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第8周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</w:rPr>
        <w:t>十四、测试与评估要求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问答测试：准备不少于50条就业签约相关问题，检查回答是否清楚、是否引用正确依据、是否存在虚假条文。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合同测试：准备不少于10份脱敏合同片段，覆盖正常条款和风险条款，检查风险识别命中情况。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隐私测试：检查系统是否提示用户脱敏，是否避免展示或保存敏感信息。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演示测试：完成至少2次答辩彩排，确保5分钟内完成“合同输入—风险报告—法律追问”的完整演示。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错误记录：记录误判、漏判和不确定问题，并在答辩中说明系统边界和后续优化方向。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十五、合规与边界说明</w:t>
      </w:r>
    </w:p>
    <w:p>
      <w:pPr>
        <w:spacing w:line="300" w:lineRule="auto"/>
      </w:pPr>
      <w:r>
        <w:rPr>
          <w:rFonts w:ascii="微软雅黑" w:hAnsi="微软雅黑" w:eastAsia="微软雅黑"/>
          <w:sz w:val="21"/>
        </w:rPr>
        <w:t>本项目定位为面向大学生就业场景的法律信息辅助工具，不构成正式法律意见，不替代律师、劳动仲裁机构、法院或学校就业部门的专业判断。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系统应在首页、合同输入页、风险报告页展示免责声明。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对于仲裁、诉讼、工伤、解除劳动关系、经济补偿等复杂情况，应建议用户咨询专业律师或相关机构。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合同文本属于敏感信息，原型阶段应尽量使用脱敏样例，避免上传真实身份证号、手机号、银行卡号、公司商业秘密等。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系统回答应避免绝对化表达，例如“必然违法”“一定胜诉”等，应使用“可能存在风险”“建议进一步核实”等表述。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十六、主要风险与应对措施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248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48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应对措施</w:t>
            </w:r>
          </w:p>
        </w:tc>
        <w:tc>
          <w:tcPr>
            <w:tcW w:type="dxa" w:w="2484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法律回答不准确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可能误导用户，影响项目可信度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强制引用知识库依据；重大问题由法律负责人审核；复杂问题提示人工咨询。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虚构法律条文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降低系统可信度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引用白名单校验；回答只允许引用检索返回的条文。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合同隐私泄露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涉及个人信息和商业信息风险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提供脱敏提示；原型阶段不保存真实合同原文。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功能范围过大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影响按期交付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优先完成MVP闭环，OCR、报告导出、多端部署作为后续优化。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演示不稳定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影响答辩效果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准备本地样例、备用截图和离线演示材料。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</w:rPr>
        <w:t>十七、后续优化方向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支持Word/PDF合同文件上传与自动解析。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支持OCR识别图片合同或拍照合同。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支持一键生成PDF版风险报告。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接入更多真实案例和裁判规则，提高解释能力。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根据学校就业部门需求，增加辅导员端统计与常见问题管理。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支持地方性政策、社保规则和不同城市就业服务入口。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十八、附录：签约检查清单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合同名称是否与实际关系一致：劳动合同、劳务合同、实习协议、三方协议不要混淆。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用人单位名称、岗位、工作地点、合同期限是否明确。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工资金额、绩效规则、发薪日期、加班工资是否清楚。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试用期长度和试用期工资是否合理。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是否明确缴纳社保，是否存在“自愿放弃社保”“社保折现”等条款。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是否要求押金、保证金、培训费、服装费，或扣押身份证/毕业证。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是否设置普通离职高额违约金。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是否存在过宽竞业限制或无补偿竞业限制。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是否存在“工伤/意外由个人承担”等免责条款。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争议解决方式是否清楚，是否知道劳动仲裁等维权路径。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20"/>
        </w:rPr>
        <w:t>—— 文档结束 ——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