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50765" cy="634365"/>
            <wp:effectExtent l="0" t="0" r="6985" b="0"/>
            <wp:wrapSquare wrapText="bothSides"/>
            <wp:docPr id="4" name="图片 1" descr="http://192.168.0.104:8080/WoniuBoss2.5/pages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://192.168.0.104:8080/WoniuBoss2.5/pages/img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outlineLvl w:val="9"/>
        <w:rPr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WoniuBoss系统测试报告</w:t>
      </w:r>
    </w:p>
    <w:p>
      <w:pPr>
        <w:jc w:val="center"/>
        <w:rPr>
          <w:rStyle w:val="32"/>
          <w:sz w:val="32"/>
          <w:szCs w:val="32"/>
        </w:rPr>
      </w:pPr>
      <w:r>
        <w:rPr>
          <w:rStyle w:val="32"/>
          <w:rFonts w:hint="eastAsia"/>
          <w:sz w:val="32"/>
          <w:szCs w:val="32"/>
        </w:rPr>
        <w:t>（版本：V2.5）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  <w:r>
        <w:drawing>
          <wp:inline distT="0" distB="0" distL="0" distR="0">
            <wp:extent cx="2424430" cy="2562225"/>
            <wp:effectExtent l="19050" t="0" r="0" b="0"/>
            <wp:docPr id="1" name="图片 1" descr="http://www.partyscene.nl/images/library/articles/images01/partyscene/dreamcity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partyscene.nl/images/library/articles/images01/partyscene/dreamcity2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上海徐楠楠组:</w:t>
      </w:r>
      <w:r>
        <w:rPr>
          <w:rFonts w:hint="eastAsia" w:ascii="黑体" w:hAnsi="黑体" w:eastAsia="黑体"/>
          <w:sz w:val="28"/>
          <w:szCs w:val="28"/>
          <w:lang w:eastAsia="zh-CN"/>
        </w:rPr>
        <w:t>徐楠楠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,</w:t>
      </w:r>
      <w:r>
        <w:rPr>
          <w:rFonts w:hint="eastAsia" w:ascii="黑体" w:hAnsi="黑体" w:eastAsia="黑体"/>
          <w:sz w:val="28"/>
          <w:szCs w:val="28"/>
        </w:rPr>
        <w:t>刘帅,吴米珠,刘招旺,罗超凡</w:t>
      </w:r>
    </w:p>
    <w:p>
      <w:pPr>
        <w:spacing w:line="360" w:lineRule="auto"/>
        <w:ind w:left="2100" w:leftChars="10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罗超凡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2020年 3月23日   </w:t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2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3月23日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2.5版本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罗超凡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_Toc11969 </w:instrText>
      </w:r>
      <w:r>
        <w:fldChar w:fldCharType="separate"/>
      </w:r>
      <w:r>
        <w:rPr>
          <w:rFonts w:hint="eastAsia"/>
        </w:rPr>
        <w:t>1 目的</w:t>
      </w:r>
      <w:r>
        <w:tab/>
      </w:r>
      <w:r>
        <w:fldChar w:fldCharType="begin"/>
      </w:r>
      <w:r>
        <w:instrText xml:space="preserve"> PAGEREF _Toc11969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_Toc26766 </w:instrText>
      </w:r>
      <w:r>
        <w:fldChar w:fldCharType="separate"/>
      </w:r>
      <w:r>
        <w:rPr>
          <w:rFonts w:hint="eastAsia"/>
        </w:rPr>
        <w:t>2 概述</w:t>
      </w:r>
      <w:r>
        <w:tab/>
      </w:r>
      <w:r>
        <w:fldChar w:fldCharType="begin"/>
      </w:r>
      <w:r>
        <w:instrText xml:space="preserve"> PAGEREF _Toc26766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_Toc29464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eastAsia"/>
        </w:rPr>
        <w:t>被测对象</w:t>
      </w:r>
      <w:r>
        <w:tab/>
      </w:r>
      <w:r>
        <w:fldChar w:fldCharType="begin"/>
      </w:r>
      <w:r>
        <w:instrText xml:space="preserve"> PAGEREF _Toc29464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_Toc9500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eastAsia"/>
        </w:rPr>
        <w:t>测试特性</w:t>
      </w:r>
      <w:r>
        <w:tab/>
      </w:r>
      <w:r>
        <w:fldChar w:fldCharType="begin"/>
      </w:r>
      <w:r>
        <w:instrText xml:space="preserve"> PAGEREF _Toc9500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_Toc28124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_Toc28124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eastAsia"/>
        </w:rPr>
        <w:t>3 测试时间、地点及人员</w:t>
      </w:r>
      <w:r>
        <w:tab/>
      </w:r>
      <w:r>
        <w:fldChar w:fldCharType="begin"/>
      </w:r>
      <w:r>
        <w:instrText xml:space="preserve"> PAGEREF _Toc15397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_Toc18652 </w:instrText>
      </w:r>
      <w:r>
        <w:fldChar w:fldCharType="separate"/>
      </w:r>
      <w:r>
        <w:rPr>
          <w:rFonts w:hint="eastAsia"/>
        </w:rPr>
        <w:t>4 环境描述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_Toc10358 </w:instrText>
      </w:r>
      <w: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_Toc10358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_Toc29465 </w:instrText>
      </w:r>
      <w: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_Toc29465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_Toc9928 </w:instrText>
      </w:r>
      <w:r>
        <w:fldChar w:fldCharType="separate"/>
      </w:r>
      <w:r>
        <w:rPr>
          <w:rFonts w:hint="eastAsia"/>
        </w:rPr>
        <w:t>5 总结和评价</w:t>
      </w:r>
      <w:r>
        <w:tab/>
      </w:r>
      <w:r>
        <w:fldChar w:fldCharType="begin"/>
      </w:r>
      <w:r>
        <w:instrText xml:space="preserve"> PAGEREF _Toc9928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_Toc8488 </w:instrText>
      </w:r>
      <w:r>
        <w:fldChar w:fldCharType="separate"/>
      </w:r>
      <w:r>
        <w:rPr>
          <w:rFonts w:hint="default"/>
        </w:rPr>
        <w:t xml:space="preserve">5.1 </w:t>
      </w:r>
      <w:r>
        <w:rPr>
          <w:rFonts w:hint="eastAsia"/>
        </w:rPr>
        <w:t>过程质量统计评估</w:t>
      </w:r>
      <w:r>
        <w:tab/>
      </w:r>
      <w:r>
        <w:fldChar w:fldCharType="begin"/>
      </w:r>
      <w:r>
        <w:instrText xml:space="preserve"> PAGEREF _Toc8488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_Toc16688 </w:instrText>
      </w:r>
      <w:r>
        <w:fldChar w:fldCharType="separate"/>
      </w:r>
      <w:r>
        <w:rPr>
          <w:rFonts w:hint="default"/>
        </w:rPr>
        <w:t xml:space="preserve">5.1.1 </w:t>
      </w:r>
      <w:r>
        <w:rPr>
          <w:rFonts w:hint="eastAsia"/>
        </w:rPr>
        <w:t>工作量统计</w:t>
      </w:r>
      <w:r>
        <w:tab/>
      </w:r>
      <w:r>
        <w:fldChar w:fldCharType="begin"/>
      </w:r>
      <w:r>
        <w:instrText xml:space="preserve"> PAGEREF _Toc16688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_Toc1360 </w:instrText>
      </w:r>
      <w:r>
        <w:fldChar w:fldCharType="separate"/>
      </w:r>
      <w:r>
        <w:rPr>
          <w:rFonts w:hint="default"/>
        </w:rPr>
        <w:t xml:space="preserve">5.1.2 </w:t>
      </w:r>
      <w:r>
        <w:rPr>
          <w:rFonts w:hint="eastAsia"/>
        </w:rPr>
        <w:t>用例数统计</w:t>
      </w:r>
      <w:r>
        <w:tab/>
      </w:r>
      <w:r>
        <w:fldChar w:fldCharType="begin"/>
      </w:r>
      <w:r>
        <w:instrText xml:space="preserve"> PAGEREF _Toc1360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_Toc5949 </w:instrText>
      </w:r>
      <w:r>
        <w:fldChar w:fldCharType="separate"/>
      </w:r>
      <w:r>
        <w:rPr>
          <w:rFonts w:hint="default"/>
        </w:rPr>
        <w:t xml:space="preserve">5.1.3 </w:t>
      </w:r>
      <w:r>
        <w:rPr>
          <w:rFonts w:hint="eastAsia"/>
        </w:rPr>
        <w:t>需求覆盖率</w:t>
      </w:r>
      <w:r>
        <w:tab/>
      </w:r>
      <w:r>
        <w:fldChar w:fldCharType="begin"/>
      </w:r>
      <w:r>
        <w:instrText xml:space="preserve"> PAGEREF _Toc5949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_Toc9659 </w:instrText>
      </w:r>
      <w:r>
        <w:fldChar w:fldCharType="separate"/>
      </w:r>
      <w:r>
        <w:rPr>
          <w:rFonts w:hint="default"/>
        </w:rPr>
        <w:t xml:space="preserve">5.1.4 </w:t>
      </w:r>
      <w:r>
        <w:rPr>
          <w:rFonts w:hint="eastAsia"/>
        </w:rPr>
        <w:t>用例有效性</w:t>
      </w:r>
      <w:r>
        <w:tab/>
      </w:r>
      <w:r>
        <w:fldChar w:fldCharType="begin"/>
      </w:r>
      <w:r>
        <w:instrText xml:space="preserve"> PAGEREF _Toc9659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_Toc20447 </w:instrText>
      </w:r>
      <w:r>
        <w:fldChar w:fldCharType="separate"/>
      </w:r>
      <w:r>
        <w:rPr>
          <w:rFonts w:hint="default"/>
        </w:rPr>
        <w:t xml:space="preserve">5.2 </w:t>
      </w:r>
      <w:r>
        <w:rPr>
          <w:rFonts w:hint="eastAsia"/>
        </w:rPr>
        <w:t>产品质量统计评估</w:t>
      </w:r>
      <w:r>
        <w:tab/>
      </w:r>
      <w:r>
        <w:fldChar w:fldCharType="begin"/>
      </w:r>
      <w:r>
        <w:instrText xml:space="preserve"> PAGEREF _Toc20447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_Toc10568 </w:instrText>
      </w:r>
      <w:r>
        <w:fldChar w:fldCharType="separate"/>
      </w:r>
      <w:r>
        <w:rPr>
          <w:rFonts w:hint="default"/>
        </w:rPr>
        <w:t xml:space="preserve">5.2.1 </w:t>
      </w:r>
      <w:r>
        <w:rPr>
          <w:rFonts w:hint="eastAsia"/>
        </w:rPr>
        <w:t>缺陷数分布</w:t>
      </w:r>
      <w:r>
        <w:tab/>
      </w:r>
      <w:r>
        <w:fldChar w:fldCharType="begin"/>
      </w:r>
      <w:r>
        <w:instrText xml:space="preserve"> PAGEREF _Toc10568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_Toc19328 </w:instrText>
      </w:r>
      <w:r>
        <w:fldChar w:fldCharType="separate"/>
      </w:r>
      <w:r>
        <w:rPr>
          <w:rFonts w:hint="default"/>
        </w:rPr>
        <w:t xml:space="preserve">5.2.2 </w:t>
      </w:r>
      <w:r>
        <w:rPr>
          <w:rFonts w:hint="eastAsia"/>
        </w:rPr>
        <w:t>缺陷等级统计</w:t>
      </w:r>
      <w:r>
        <w:tab/>
      </w:r>
      <w:r>
        <w:fldChar w:fldCharType="begin"/>
      </w:r>
      <w:r>
        <w:instrText xml:space="preserve"> PAGEREF _Toc19328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_Toc30642 </w:instrText>
      </w:r>
      <w:r>
        <w:fldChar w:fldCharType="separate"/>
      </w:r>
      <w:r>
        <w:rPr>
          <w:rFonts w:hint="default"/>
        </w:rPr>
        <w:t xml:space="preserve">5.2.3 </w:t>
      </w:r>
      <w:r>
        <w:rPr>
          <w:rFonts w:hint="eastAsia"/>
        </w:rPr>
        <w:t>每人发现的缺陷数</w:t>
      </w:r>
      <w:r>
        <w:tab/>
      </w:r>
      <w:r>
        <w:fldChar w:fldCharType="begin"/>
      </w:r>
      <w:r>
        <w:instrText xml:space="preserve"> PAGEREF _Toc30642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_Toc8189 </w:instrText>
      </w:r>
      <w:r>
        <w:fldChar w:fldCharType="separate"/>
      </w:r>
      <w:r>
        <w:rPr>
          <w:rFonts w:hint="default"/>
        </w:rPr>
        <w:t xml:space="preserve">5.2.4 </w:t>
      </w:r>
      <w:r>
        <w:rPr>
          <w:rFonts w:hint="eastAsia"/>
        </w:rPr>
        <w:t>用例通过率</w:t>
      </w:r>
      <w:r>
        <w:tab/>
      </w:r>
      <w:r>
        <w:fldChar w:fldCharType="begin"/>
      </w:r>
      <w:r>
        <w:instrText xml:space="preserve"> PAGEREF _Toc8189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_Toc12330 </w:instrText>
      </w:r>
      <w:r>
        <w:fldChar w:fldCharType="separate"/>
      </w:r>
      <w:r>
        <w:rPr>
          <w:rFonts w:hint="default"/>
        </w:rPr>
        <w:t xml:space="preserve">5.3 </w:t>
      </w:r>
      <w:r>
        <w:rPr>
          <w:rFonts w:hint="eastAsia"/>
        </w:rPr>
        <w:t>测试对象质量评价</w:t>
      </w:r>
      <w:r>
        <w:tab/>
      </w:r>
      <w:r>
        <w:fldChar w:fldCharType="begin"/>
      </w:r>
      <w:r>
        <w:instrText xml:space="preserve"> PAGEREF _Toc12330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_Toc30054 </w:instrText>
      </w:r>
      <w:r>
        <w:fldChar w:fldCharType="separate"/>
      </w:r>
      <w:r>
        <w:rPr>
          <w:rFonts w:hint="eastAsia"/>
        </w:rPr>
        <w:t>6 附件</w:t>
      </w:r>
      <w:r>
        <w:tab/>
      </w:r>
      <w:r>
        <w:fldChar w:fldCharType="begin"/>
      </w:r>
      <w:r>
        <w:instrText xml:space="preserve"> PAGEREF _Toc30054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11969"/>
      <w:r>
        <w:rPr>
          <w:rFonts w:hint="eastAsia"/>
        </w:rPr>
        <w:t>目的</w:t>
      </w:r>
      <w:bookmarkEnd w:id="0"/>
      <w:bookmarkEnd w:id="1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woniuboss项目有关的管理者和项目成员，其主要阅读对象为公司高层、项目经理、开发部门、测试部门以及市场人员。通过本文档对系统测试执行阶段的总结，了解woniuboss软件的过程质量和产品质量，同时也可供公司其他项目借鉴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2" w:name="_Toc26766"/>
      <w:r>
        <w:rPr>
          <w:rFonts w:hint="eastAsia"/>
        </w:rPr>
        <w:t>概述</w:t>
      </w:r>
      <w:bookmarkEnd w:id="2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" w:name="_Toc29464"/>
      <w:r>
        <w:rPr>
          <w:rFonts w:hint="eastAsia"/>
        </w:rPr>
        <w:t>被测对象</w:t>
      </w:r>
      <w:bookmarkEnd w:id="3"/>
    </w:p>
    <w:p>
      <w:pPr>
        <w:tabs>
          <w:tab w:val="decimal" w:pos="0"/>
        </w:tabs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Cs w:val="21"/>
        </w:rPr>
        <w:tab/>
      </w:r>
      <w:r>
        <w:rPr>
          <w:rFonts w:hint="eastAsia"/>
          <w:sz w:val="32"/>
          <w:szCs w:val="32"/>
        </w:rPr>
        <w:t>WoniuBoss</w:t>
      </w:r>
    </w:p>
    <w:p>
      <w:pPr>
        <w:tabs>
          <w:tab w:val="decimal" w:pos="0"/>
        </w:tabs>
        <w:spacing w:line="360" w:lineRule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该项目包含如下图所示模块</w:t>
      </w:r>
      <w:r>
        <w:rPr>
          <w:rFonts w:hint="eastAsia"/>
          <w:sz w:val="28"/>
          <w:szCs w:val="28"/>
          <w:lang w:val="en-US" w:eastAsia="zh-CN"/>
        </w:rPr>
        <w:t>:</w:t>
      </w:r>
      <w:bookmarkStart w:id="33" w:name="_GoBack"/>
      <w:bookmarkEnd w:id="33"/>
    </w:p>
    <w:p>
      <w:pPr>
        <w:tabs>
          <w:tab w:val="decimal" w:pos="0"/>
        </w:tabs>
        <w:spacing w:line="360" w:lineRule="auto"/>
        <w:rPr>
          <w:sz w:val="32"/>
          <w:szCs w:val="32"/>
        </w:rPr>
      </w:pPr>
      <w:r>
        <w:rPr>
          <w:rFonts w:hint="eastAsia"/>
          <w:szCs w:val="21"/>
        </w:rPr>
        <w:drawing>
          <wp:inline distT="0" distB="0" distL="114300" distR="114300">
            <wp:extent cx="5274310" cy="2508250"/>
            <wp:effectExtent l="0" t="0" r="2540" b="6350"/>
            <wp:docPr id="5" name="图片 5" descr="woniuboss2.5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oniuboss2.5版本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4" w:name="_Toc9500"/>
      <w:r>
        <w:rPr>
          <w:rFonts w:hint="eastAsia"/>
        </w:rPr>
        <w:t>测试特性</w:t>
      </w:r>
      <w:bookmarkEnd w:id="4"/>
    </w:p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本报告是对woniuboss2.5版本系统测试活动的总结，整个活动进行了较全面的系统测试，测试内容包括以下几个特性：</w:t>
      </w:r>
    </w:p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</w:p>
    <w:tbl>
      <w:tblPr>
        <w:tblStyle w:val="21"/>
        <w:tblW w:w="7560" w:type="dxa"/>
        <w:tblInd w:w="4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6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  <w:t>功能名称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  <w:t>测试特性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报表中心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咨询部报表,市场部报表,教学部报表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市场营销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市场部人员录入网络资源,根据简历模板上传专属简历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培训资源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资源池分配,咨询师录入,网络资源,资源属性提交,更改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企业客户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记录企业各项信息,可以支持模糊搜索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学员管理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学员各项管理制度,考勤,作业,成绩,请假等功能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就业管理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技术面试,模拟面试,真实面试,入职情况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财务管理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记录公司流水,科目管理,账号管理,提供预支款结算功能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人事管理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员工的新增，查询，修改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4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行政综合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对公司的固定资产进行管理,物品领用和归还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spacing w:val="0"/>
                <w:sz w:val="22"/>
                <w:szCs w:val="22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  <w:t>用户管理,角色管理,菜单管理,字典管理,操作文档,系统公告</w:t>
            </w:r>
          </w:p>
        </w:tc>
      </w:tr>
    </w:tbl>
    <w:p/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" w:name="_Toc28124"/>
      <w:r>
        <w:rPr>
          <w:rFonts w:hint="eastAsia"/>
        </w:rPr>
        <w:t>测试结论</w:t>
      </w:r>
      <w:bookmarkEnd w:id="5"/>
    </w:p>
    <w:p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依据woniuboss测试计划中的通过标准，本次测试结论——</w:t>
      </w:r>
      <w:r>
        <w:rPr>
          <w:rFonts w:hint="eastAsia"/>
          <w:color w:val="FF0000"/>
          <w:szCs w:val="21"/>
        </w:rPr>
        <w:t>不通过</w:t>
      </w:r>
      <w:r>
        <w:rPr>
          <w:rFonts w:hint="eastAsia"/>
          <w:szCs w:val="21"/>
        </w:rPr>
        <w:t>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6" w:name="_Toc15397"/>
      <w:r>
        <w:rPr>
          <w:rFonts w:hint="eastAsia"/>
        </w:rPr>
        <w:t>测试时间、地点及人员</w:t>
      </w:r>
      <w:bookmarkEnd w:id="6"/>
    </w:p>
    <w:tbl>
      <w:tblPr>
        <w:tblStyle w:val="21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7"/>
        <w:gridCol w:w="1208"/>
        <w:gridCol w:w="1208"/>
        <w:gridCol w:w="2458"/>
        <w:gridCol w:w="2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测试版本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起始时间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结束时间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测试人员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" w:hRule="atLeast"/>
        </w:trPr>
        <w:tc>
          <w:tcPr>
            <w:tcW w:w="6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V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2.5</w:t>
            </w:r>
          </w:p>
        </w:tc>
        <w:tc>
          <w:tcPr>
            <w:tcW w:w="65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03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23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徐楠楠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刘帅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吴米珠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刘招旺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罗超凡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 w:themeFill="accent6" w:themeFillTint="99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18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0"/>
                <w:szCs w:val="20"/>
                <w:vertAlign w:val="baseline"/>
                <w:lang w:val="en-US" w:eastAsia="zh-CN"/>
              </w:rPr>
              <w:t>上海</w:t>
            </w:r>
          </w:p>
        </w:tc>
      </w:tr>
    </w:tbl>
    <w:p/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7" w:name="_Toc18652"/>
      <w:r>
        <w:rPr>
          <w:rFonts w:hint="eastAsia"/>
        </w:rPr>
        <w:t>环境描述</w:t>
      </w:r>
      <w:bookmarkEnd w:id="7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8" w:name="_Toc10358"/>
      <w:r>
        <w:rPr>
          <w:rFonts w:hint="eastAsia"/>
        </w:rPr>
        <w:t>硬件环境</w:t>
      </w:r>
      <w:bookmarkEnd w:id="8"/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Lenovo T420s</w:t>
      </w:r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处理器:</w:t>
      </w:r>
      <w:r>
        <w:t>Intel(R) Core(TM) i5-2520M CPU @ 2.50GHz 2.50 GHz</w:t>
      </w:r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安装内存(RAM):4.00GB,128GB固态硬盘</w:t>
      </w:r>
    </w:p>
    <w:p>
      <w:pPr>
        <w:pStyle w:val="41"/>
        <w:numPr>
          <w:ilvl w:val="0"/>
          <w:numId w:val="2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以及</w:t>
      </w:r>
    </w:p>
    <w:p>
      <w:pPr>
        <w:pStyle w:val="41"/>
        <w:numPr>
          <w:ilvl w:val="0"/>
          <w:numId w:val="2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Dell</w:t>
      </w:r>
    </w:p>
    <w:p>
      <w:pPr>
        <w:pStyle w:val="41"/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处理器 Intel(R) Core(TM) i7-4500U CPU @ 1.80GHz 2.40 GHz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9" w:name="_Toc29465"/>
      <w:r>
        <w:rPr>
          <w:rFonts w:hint="eastAsia"/>
        </w:rPr>
        <w:t>软件环境</w:t>
      </w:r>
      <w:bookmarkEnd w:id="9"/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服务器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Windows 7旗舰版/家庭版64位,windows 8.1专业版64位 或者 Linux 操作系统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Java Runtime Environment（JRE）运行环境：1.8 以上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Tomcat 应用服务器：8.0 以上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MySQL 数据库：5.6 以上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客户端</w:t>
      </w:r>
    </w:p>
    <w:p>
      <w:pPr>
        <w:pStyle w:val="4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安装有主流浏览器即可，比如 ie6 以上、chrome、firefox、edge 等最新版。</w:t>
      </w:r>
    </w:p>
    <w:p>
      <w:pPr>
        <w:spacing w:line="360" w:lineRule="auto"/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0" w:name="_Toc9928"/>
      <w:r>
        <w:rPr>
          <w:rFonts w:hint="eastAsia"/>
        </w:rPr>
        <w:t>总结和评价</w:t>
      </w:r>
      <w:bookmarkEnd w:id="10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1" w:name="_Toc8488"/>
      <w:r>
        <w:rPr>
          <w:rFonts w:hint="eastAsia"/>
        </w:rPr>
        <w:t>过程质量统计评估</w:t>
      </w:r>
      <w:bookmarkEnd w:id="11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2" w:name="_Toc16688"/>
      <w:r>
        <w:rPr>
          <w:rFonts w:hint="eastAsia"/>
        </w:rPr>
        <w:t>工作量统计</w:t>
      </w:r>
      <w:bookmarkEnd w:id="12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078730" cy="3449955"/>
            <wp:effectExtent l="19050" t="0" r="26239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13" w:name="_Toc317718166"/>
      <w:r>
        <w:rPr>
          <w:rFonts w:hint="eastAsia"/>
        </w:rPr>
        <w:t>图表 1工作量（按功能模块）统计饼图</w:t>
      </w:r>
      <w:bookmarkEnd w:id="13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4" w:name="_Toc1360"/>
      <w:r>
        <w:rPr>
          <w:rFonts w:hint="eastAsia"/>
        </w:rPr>
        <w:t>用例数统计</w:t>
      </w:r>
      <w:bookmarkEnd w:id="14"/>
    </w:p>
    <w:tbl>
      <w:tblPr>
        <w:tblStyle w:val="28"/>
        <w:tblW w:w="494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25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功能模块</w:t>
            </w:r>
          </w:p>
        </w:tc>
        <w:tc>
          <w:tcPr>
            <w:tcW w:w="257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登录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报表中心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市场营销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培训资源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企业客户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学员管理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就业管理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财务管理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人事管理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行政综合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后台管理</w:t>
            </w:r>
          </w:p>
        </w:tc>
        <w:tc>
          <w:tcPr>
            <w:tcW w:w="257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370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 w:val="0"/>
                <w:bCs w:val="0"/>
                <w:color w:val="664E82" w:themeColor="accent4" w:themeShade="CC"/>
              </w:rPr>
            </w:pPr>
            <w:r>
              <w:rPr>
                <w:rFonts w:hint="eastAsia"/>
                <w:b/>
                <w:bCs/>
                <w:color w:val="664E82" w:themeColor="accent4" w:themeShade="CC"/>
              </w:rPr>
              <w:t>合计</w:t>
            </w:r>
          </w:p>
        </w:tc>
        <w:tc>
          <w:tcPr>
            <w:tcW w:w="257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E82" w:themeColor="accent4" w:themeShade="CC"/>
              </w:rPr>
            </w:pP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begin"/>
            </w:r>
            <w:r>
              <w:rPr>
                <w:rFonts w:hint="default"/>
                <w:b/>
                <w:bCs/>
                <w:color w:val="664E82" w:themeColor="accent4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664E82" w:themeColor="accent4" w:themeShade="CC"/>
              </w:rPr>
              <w:t>554</w: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end"/>
            </w:r>
          </w:p>
        </w:tc>
      </w:tr>
    </w:tbl>
    <w:p>
      <w:pPr>
        <w:pStyle w:val="6"/>
        <w:spacing w:line="360" w:lineRule="auto"/>
        <w:jc w:val="center"/>
      </w:pPr>
      <w:bookmarkStart w:id="15" w:name="_Toc317718169"/>
      <w:r>
        <w:rPr>
          <w:rFonts w:hint="eastAsia"/>
        </w:rPr>
        <w:t>图表 2用例数（按功能模块）统计表</w:t>
      </w:r>
      <w:bookmarkEnd w:id="15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080000" cy="3810000"/>
            <wp:effectExtent l="4445" t="4445" r="20955" b="1460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16" w:name="_Toc317718170"/>
      <w:r>
        <w:rPr>
          <w:rFonts w:hint="eastAsia"/>
        </w:rPr>
        <w:t>图表 3用例数（按功能模块）百分比统计饼图</w:t>
      </w:r>
      <w:bookmarkEnd w:id="16"/>
    </w:p>
    <w:p/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7" w:name="_Toc5949"/>
      <w:r>
        <w:rPr>
          <w:rFonts w:hint="eastAsia"/>
        </w:rPr>
        <w:t>需求覆盖率</w:t>
      </w:r>
      <w:bookmarkEnd w:id="17"/>
    </w:p>
    <w:p>
      <w:pPr>
        <w:rPr>
          <w:szCs w:val="21"/>
        </w:rPr>
      </w:pPr>
      <w:r>
        <w:rPr>
          <w:rFonts w:hint="eastAsia"/>
          <w:szCs w:val="21"/>
        </w:rPr>
        <w:t>100%</w:t>
      </w: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8" w:name="_Ref317698285"/>
      <w:bookmarkStart w:id="19" w:name="_Toc9659"/>
      <w:r>
        <w:rPr>
          <w:rFonts w:hint="eastAsia"/>
        </w:rPr>
        <w:t>用例有效性</w:t>
      </w:r>
      <w:bookmarkEnd w:id="18"/>
      <w:bookmarkEnd w:id="19"/>
    </w:p>
    <w:tbl>
      <w:tblPr>
        <w:tblStyle w:val="28"/>
        <w:tblW w:w="719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701"/>
        <w:gridCol w:w="1559"/>
        <w:gridCol w:w="23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功能模块</w:t>
            </w:r>
          </w:p>
        </w:tc>
        <w:tc>
          <w:tcPr>
            <w:tcW w:w="170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用例数</w:t>
            </w:r>
          </w:p>
        </w:tc>
        <w:tc>
          <w:tcPr>
            <w:tcW w:w="155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发现缺陷数</w:t>
            </w:r>
          </w:p>
        </w:tc>
        <w:tc>
          <w:tcPr>
            <w:tcW w:w="236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发现缺陷数/用例数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报表中心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ind w:firstLine="630" w:firstLineChars="3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46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登录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市场营销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62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8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培训资源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109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11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企业客户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17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学员管理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101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13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就业管理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color w:val="000000" w:themeColor="text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财务管理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75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25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人事管理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24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行政综合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3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后台管理</w:t>
            </w: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15</w:t>
            </w: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363" w:type="dxa"/>
            <w:shd w:val="clear" w:color="auto" w:fill="F5F8EE" w:themeFill="accent3" w:themeFillTint="1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 w:val="0"/>
                <w:bCs w:val="0"/>
                <w:color w:val="664E82" w:themeColor="accent4" w:themeShade="CC"/>
              </w:rPr>
            </w:pPr>
            <w:r>
              <w:rPr>
                <w:rFonts w:hint="eastAsia"/>
                <w:b/>
                <w:bCs/>
                <w:color w:val="664E82" w:themeColor="accent4" w:themeShade="CC"/>
              </w:rPr>
              <w:t>合计</w:t>
            </w:r>
          </w:p>
        </w:tc>
        <w:tc>
          <w:tcPr>
            <w:tcW w:w="170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E82" w:themeColor="accent4" w:themeShade="CC"/>
              </w:rPr>
            </w:pP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begin"/>
            </w:r>
            <w:r>
              <w:rPr>
                <w:rFonts w:hint="default"/>
                <w:b/>
                <w:bCs/>
                <w:color w:val="664E82" w:themeColor="accent4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664E82" w:themeColor="accent4" w:themeShade="CC"/>
              </w:rPr>
              <w:t>554</w: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end"/>
            </w:r>
          </w:p>
        </w:tc>
        <w:tc>
          <w:tcPr>
            <w:tcW w:w="155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E82" w:themeColor="accent4" w:themeShade="CC"/>
              </w:rPr>
            </w:pP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begin"/>
            </w:r>
            <w:r>
              <w:rPr>
                <w:rFonts w:hint="default"/>
                <w:b/>
                <w:bCs/>
                <w:color w:val="664E82" w:themeColor="accent4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664E82" w:themeColor="accent4" w:themeShade="CC"/>
              </w:rPr>
              <w:t>79</w:t>
            </w:r>
            <w:r>
              <w:rPr>
                <w:rFonts w:hint="default"/>
                <w:b/>
                <w:bCs/>
                <w:color w:val="664E82" w:themeColor="accent4" w:themeShade="CC"/>
              </w:rPr>
              <w:fldChar w:fldCharType="end"/>
            </w:r>
          </w:p>
        </w:tc>
        <w:tc>
          <w:tcPr>
            <w:tcW w:w="236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664E82" w:themeColor="accent4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20" w:name="_Toc317718173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用例有效性统计表</w:t>
      </w:r>
      <w:bookmarkEnd w:id="20"/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121910" cy="3528060"/>
            <wp:effectExtent l="19050" t="0" r="21207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21" w:name="_Toc317718174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用例有效性统计条形图</w:t>
      </w:r>
      <w:bookmarkEnd w:id="21"/>
    </w:p>
    <w:p>
      <w:pPr>
        <w:jc w:val="center"/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22" w:name="_Toc20447"/>
      <w:r>
        <w:rPr>
          <w:rFonts w:hint="eastAsia"/>
        </w:rPr>
        <w:t>产品质量统计评估</w:t>
      </w:r>
      <w:bookmarkEnd w:id="22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3" w:name="_Toc10568"/>
      <w:r>
        <w:rPr>
          <w:rFonts w:hint="eastAsia"/>
        </w:rPr>
        <w:t>缺陷数分布</w:t>
      </w:r>
      <w:bookmarkEnd w:id="23"/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080000" cy="3810000"/>
            <wp:effectExtent l="4445" t="4445" r="20955" b="1460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24" w:name="_Toc317718177"/>
      <w:r>
        <w:rPr>
          <w:rFonts w:hint="eastAsia"/>
        </w:rPr>
        <w:t>图表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缺陷数分布（按测试模块）统计饼图</w:t>
      </w:r>
      <w:bookmarkEnd w:id="24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5" w:name="_Toc19328"/>
      <w:r>
        <w:rPr>
          <w:rFonts w:hint="eastAsia"/>
        </w:rPr>
        <w:t>缺陷等级统计</w:t>
      </w:r>
      <w:bookmarkEnd w:id="25"/>
    </w:p>
    <w:tbl>
      <w:tblPr>
        <w:tblStyle w:val="27"/>
        <w:tblW w:w="7230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3644"/>
      </w:tblGrid>
      <w:tr>
        <w:trPr>
          <w:trHeight w:val="373" w:hRule="atLeast"/>
        </w:trPr>
        <w:tc>
          <w:tcPr>
            <w:tcW w:w="358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缺陷等级</w:t>
            </w:r>
          </w:p>
        </w:tc>
        <w:tc>
          <w:tcPr>
            <w:tcW w:w="364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缺陷数</w:t>
            </w: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</w:t>
            </w: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</w:t>
            </w: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3级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58</w:t>
            </w: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4级</w:t>
            </w: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</w:rPr>
              <w:t>5</w:t>
            </w:r>
          </w:p>
        </w:tc>
      </w:tr>
    </w:tbl>
    <w:p>
      <w:pPr>
        <w:pStyle w:val="6"/>
        <w:spacing w:line="360" w:lineRule="auto"/>
        <w:jc w:val="center"/>
      </w:pPr>
      <w:bookmarkStart w:id="26" w:name="_Toc317718179"/>
      <w:r>
        <w:rPr>
          <w:rFonts w:hint="eastAsia"/>
        </w:rPr>
        <w:t>图表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缺陷等级统计表</w:t>
      </w:r>
      <w:bookmarkEnd w:id="26"/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5080000" cy="3810000"/>
            <wp:effectExtent l="4445" t="4445" r="20955" b="1460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6"/>
        <w:spacing w:line="360" w:lineRule="auto"/>
        <w:jc w:val="center"/>
      </w:pPr>
      <w:bookmarkStart w:id="27" w:name="_Toc317718181"/>
      <w:r>
        <w:rPr>
          <w:rFonts w:hint="eastAsia"/>
        </w:rPr>
        <w:t>图表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缺陷严重程度分布饼图</w:t>
      </w:r>
      <w:bookmarkEnd w:id="27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8" w:name="_Toc30642"/>
      <w:r>
        <w:rPr>
          <w:rFonts w:hint="eastAsia"/>
        </w:rPr>
        <w:t>每人发现的缺陷数</w:t>
      </w:r>
      <w:bookmarkEnd w:id="28"/>
    </w:p>
    <w:tbl>
      <w:tblPr>
        <w:tblStyle w:val="27"/>
        <w:tblW w:w="723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841"/>
        <w:gridCol w:w="22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测试工程师</w:t>
            </w:r>
          </w:p>
        </w:tc>
        <w:tc>
          <w:tcPr>
            <w:tcW w:w="284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缺陷数</w:t>
            </w:r>
          </w:p>
        </w:tc>
        <w:tc>
          <w:tcPr>
            <w:tcW w:w="222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rPr>
                <w:b w:val="0"/>
                <w:bCs w:val="0"/>
                <w:color w:val="FFFFFF" w:themeColor="background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徐楠楠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11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刘帅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14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罗超凡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49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刘招旺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 w:val="0"/>
                <w:bCs w:val="0"/>
                <w:color w:val="000000" w:themeColor="text1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eastAsia="zh-CN"/>
              </w:rPr>
              <w:t>吴米珠</w:t>
            </w: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0</w:t>
            </w: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30" w:type="dxa"/>
            <w:gridSpan w:val="3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lang w:val="en-US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</w:rPr>
              <w:t>注:因吴米珠去写框架和接口文档了,所以并未创建bug.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5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 w:val="0"/>
                <w:bCs w:val="0"/>
                <w:color w:val="9E3A38" w:themeColor="accent2" w:themeShade="CC"/>
              </w:rPr>
            </w:pPr>
            <w:r>
              <w:rPr>
                <w:rFonts w:hint="eastAsia"/>
                <w:b/>
                <w:bCs/>
                <w:color w:val="9E3A38" w:themeColor="accent2" w:themeShade="CC"/>
              </w:rPr>
              <w:t>合计</w:t>
            </w:r>
          </w:p>
        </w:tc>
        <w:tc>
          <w:tcPr>
            <w:tcW w:w="2841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  <w:r>
              <w:rPr>
                <w:rFonts w:hint="default"/>
                <w:b/>
                <w:bCs/>
                <w:color w:val="9E3A38" w:themeColor="accent2" w:themeShade="CC"/>
              </w:rPr>
              <w:fldChar w:fldCharType="begin"/>
            </w:r>
            <w:r>
              <w:rPr>
                <w:rFonts w:hint="default"/>
                <w:b/>
                <w:bCs/>
                <w:color w:val="9E3A38" w:themeColor="accent2" w:themeShade="CC"/>
              </w:rPr>
              <w:instrText xml:space="preserve"> =SUM(above) \* MERGEFORMAT </w:instrText>
            </w:r>
            <w:r>
              <w:rPr>
                <w:rFonts w:hint="default"/>
                <w:b/>
                <w:bCs/>
                <w:color w:val="9E3A38" w:themeColor="accent2" w:themeShade="CC"/>
              </w:rPr>
              <w:fldChar w:fldCharType="separate"/>
            </w:r>
            <w:r>
              <w:rPr>
                <w:rFonts w:hint="default"/>
                <w:b/>
                <w:bCs/>
                <w:color w:val="9E3A38" w:themeColor="accent2" w:themeShade="CC"/>
              </w:rPr>
              <w:t>79</w:t>
            </w:r>
            <w:r>
              <w:rPr>
                <w:rFonts w:hint="default"/>
                <w:b/>
                <w:bCs/>
                <w:color w:val="9E3A38" w:themeColor="accent2" w:themeShade="CC"/>
              </w:rPr>
              <w:fldChar w:fldCharType="end"/>
            </w:r>
          </w:p>
        </w:tc>
        <w:tc>
          <w:tcPr>
            <w:tcW w:w="2224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29" w:name="_Toc317718184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每人发现的缺陷数统计表</w:t>
      </w:r>
      <w:bookmarkEnd w:id="29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0" w:name="_Toc8189"/>
      <w:r>
        <w:rPr>
          <w:rFonts w:hint="eastAsia"/>
        </w:rPr>
        <w:t>用例通过率</w:t>
      </w:r>
      <w:bookmarkEnd w:id="30"/>
    </w:p>
    <w:tbl>
      <w:tblPr>
        <w:tblStyle w:val="27"/>
        <w:tblW w:w="731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2127"/>
        <w:gridCol w:w="12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测试类型</w:t>
            </w:r>
          </w:p>
        </w:tc>
        <w:tc>
          <w:tcPr>
            <w:tcW w:w="212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执行用例数</w:t>
            </w:r>
          </w:p>
        </w:tc>
        <w:tc>
          <w:tcPr>
            <w:tcW w:w="21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PASS数</w:t>
            </w:r>
          </w:p>
        </w:tc>
        <w:tc>
          <w:tcPr>
            <w:tcW w:w="125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通过率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功能测试</w:t>
            </w: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554</w:t>
            </w: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474</w:t>
            </w: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</w:rPr>
              <w:t>0.</w:t>
            </w:r>
            <w:r>
              <w:rPr>
                <w:rFonts w:hint="eastAsia"/>
                <w:color w:val="000000" w:themeColor="text1"/>
                <w:lang w:val="en-US" w:eastAsia="zh-CN"/>
              </w:rPr>
              <w:t>856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b w:val="0"/>
                <w:bCs w:val="0"/>
                <w:color w:val="9E3A38" w:themeColor="accent2" w:themeShade="CC"/>
              </w:rPr>
            </w:pPr>
          </w:p>
        </w:tc>
        <w:tc>
          <w:tcPr>
            <w:tcW w:w="2126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  <w:tc>
          <w:tcPr>
            <w:tcW w:w="2127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  <w:tc>
          <w:tcPr>
            <w:tcW w:w="125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1" w:name="_Toc12330"/>
      <w:r>
        <w:rPr>
          <w:rFonts w:hint="eastAsia"/>
        </w:rPr>
        <w:t>测试对象质量评价</w:t>
      </w:r>
      <w:bookmarkEnd w:id="31"/>
    </w:p>
    <w:p>
      <w:pPr>
        <w:spacing w:line="360" w:lineRule="auto"/>
        <w:ind w:firstLine="420"/>
      </w:pPr>
      <w:r>
        <w:rPr>
          <w:rFonts w:hint="eastAsia"/>
          <w:color w:val="FF0000"/>
        </w:rPr>
        <w:t>系统存在3级（含）以上的问题且一般问题在50-60个之间</w:t>
      </w:r>
      <w:r>
        <w:rPr>
          <w:rFonts w:hint="eastAsia"/>
        </w:rPr>
        <w:t>，</w:t>
      </w:r>
      <w:r>
        <w:rPr>
          <w:rFonts w:hint="eastAsia"/>
          <w:color w:val="FF0000"/>
        </w:rPr>
        <w:t>不符合</w:t>
      </w:r>
      <w:r>
        <w:rPr>
          <w:rFonts w:hint="eastAsia"/>
        </w:rPr>
        <w:t>系统测试计划中的通过标准。对以上软件过程质量和产品质量进行评估，该版本</w:t>
      </w:r>
      <w:r>
        <w:rPr>
          <w:rFonts w:hint="eastAsia"/>
          <w:color w:val="FF0000"/>
        </w:rPr>
        <w:t>不可以发布</w:t>
      </w:r>
      <w:r>
        <w:rPr>
          <w:rFonts w:hint="eastAsia"/>
        </w:rPr>
        <w:t>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32" w:name="_Toc30054"/>
      <w:r>
        <w:rPr>
          <w:rFonts w:hint="eastAsia"/>
        </w:rPr>
        <w:t>附件</w:t>
      </w:r>
      <w:bookmarkEnd w:id="32"/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《woniuboss系统需求说明书》</w:t>
      </w:r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《woniuboss系统测试计划》</w:t>
      </w:r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《woniuboss系统测试方案》</w:t>
      </w:r>
    </w:p>
    <w:p>
      <w:pPr>
        <w:pStyle w:val="4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《woniuboss系统测试用例》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91317"/>
    </w:sdtPr>
    <w:sdtContent>
      <w:sdt>
        <w:sdtPr>
          <w:id w:val="171357217"/>
        </w:sdtPr>
        <w:sdtContent>
          <w:p>
            <w:pPr>
              <w:pStyle w:val="12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共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multilevel"/>
    <w:tmpl w:val="3781143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BD03CDC"/>
    <w:multiLevelType w:val="multilevel"/>
    <w:tmpl w:val="4BD03CD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8472B04"/>
    <w:multiLevelType w:val="multilevel"/>
    <w:tmpl w:val="68472B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F3E"/>
    <w:rsid w:val="00005E85"/>
    <w:rsid w:val="00014A51"/>
    <w:rsid w:val="00017F8C"/>
    <w:rsid w:val="000678ED"/>
    <w:rsid w:val="000702C1"/>
    <w:rsid w:val="00070D00"/>
    <w:rsid w:val="0008179A"/>
    <w:rsid w:val="00085D82"/>
    <w:rsid w:val="00094066"/>
    <w:rsid w:val="00097CF5"/>
    <w:rsid w:val="000B507F"/>
    <w:rsid w:val="0011592E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A16FC"/>
    <w:rsid w:val="001B1907"/>
    <w:rsid w:val="001C1811"/>
    <w:rsid w:val="001C4613"/>
    <w:rsid w:val="001D734B"/>
    <w:rsid w:val="001D7A71"/>
    <w:rsid w:val="00205CB8"/>
    <w:rsid w:val="00214083"/>
    <w:rsid w:val="00226A58"/>
    <w:rsid w:val="00242CEF"/>
    <w:rsid w:val="0024357F"/>
    <w:rsid w:val="002460B7"/>
    <w:rsid w:val="00247482"/>
    <w:rsid w:val="002602D7"/>
    <w:rsid w:val="002803B3"/>
    <w:rsid w:val="00284C0B"/>
    <w:rsid w:val="002921BE"/>
    <w:rsid w:val="0029244D"/>
    <w:rsid w:val="00294598"/>
    <w:rsid w:val="002A38FC"/>
    <w:rsid w:val="002B003A"/>
    <w:rsid w:val="002B71AD"/>
    <w:rsid w:val="002B785D"/>
    <w:rsid w:val="002E2F97"/>
    <w:rsid w:val="00320F3E"/>
    <w:rsid w:val="003379B9"/>
    <w:rsid w:val="0034617A"/>
    <w:rsid w:val="00351B6A"/>
    <w:rsid w:val="00360C8A"/>
    <w:rsid w:val="00366603"/>
    <w:rsid w:val="003725F9"/>
    <w:rsid w:val="00391618"/>
    <w:rsid w:val="0039267D"/>
    <w:rsid w:val="00395A73"/>
    <w:rsid w:val="003A506D"/>
    <w:rsid w:val="003A7C07"/>
    <w:rsid w:val="003B244C"/>
    <w:rsid w:val="003C1AEC"/>
    <w:rsid w:val="003D5E2E"/>
    <w:rsid w:val="003E69F9"/>
    <w:rsid w:val="003F7673"/>
    <w:rsid w:val="00400290"/>
    <w:rsid w:val="00410B2C"/>
    <w:rsid w:val="00423ACE"/>
    <w:rsid w:val="00434B64"/>
    <w:rsid w:val="00435FF9"/>
    <w:rsid w:val="004467D6"/>
    <w:rsid w:val="00476F6C"/>
    <w:rsid w:val="004C25D6"/>
    <w:rsid w:val="004C4895"/>
    <w:rsid w:val="004D0AB5"/>
    <w:rsid w:val="004D2E82"/>
    <w:rsid w:val="004E7FB2"/>
    <w:rsid w:val="00533DD2"/>
    <w:rsid w:val="00547DB8"/>
    <w:rsid w:val="00551BE4"/>
    <w:rsid w:val="00553E9D"/>
    <w:rsid w:val="00553EFA"/>
    <w:rsid w:val="005628CA"/>
    <w:rsid w:val="005630DF"/>
    <w:rsid w:val="00567DDE"/>
    <w:rsid w:val="0058201D"/>
    <w:rsid w:val="0058442A"/>
    <w:rsid w:val="00591500"/>
    <w:rsid w:val="005C3109"/>
    <w:rsid w:val="005D1209"/>
    <w:rsid w:val="005D181B"/>
    <w:rsid w:val="005D532B"/>
    <w:rsid w:val="005D5924"/>
    <w:rsid w:val="005F3507"/>
    <w:rsid w:val="005F57ED"/>
    <w:rsid w:val="00602E0E"/>
    <w:rsid w:val="00606505"/>
    <w:rsid w:val="00612CC9"/>
    <w:rsid w:val="00622E88"/>
    <w:rsid w:val="00626699"/>
    <w:rsid w:val="00626B45"/>
    <w:rsid w:val="00633A30"/>
    <w:rsid w:val="00637BDB"/>
    <w:rsid w:val="006672FE"/>
    <w:rsid w:val="0067149B"/>
    <w:rsid w:val="00683C37"/>
    <w:rsid w:val="00692340"/>
    <w:rsid w:val="006931EA"/>
    <w:rsid w:val="006B1514"/>
    <w:rsid w:val="006D63A7"/>
    <w:rsid w:val="006F3119"/>
    <w:rsid w:val="00702CBC"/>
    <w:rsid w:val="00711FCD"/>
    <w:rsid w:val="0072081E"/>
    <w:rsid w:val="00721206"/>
    <w:rsid w:val="0073517D"/>
    <w:rsid w:val="007612A9"/>
    <w:rsid w:val="00773AFE"/>
    <w:rsid w:val="00777712"/>
    <w:rsid w:val="00793661"/>
    <w:rsid w:val="007B374C"/>
    <w:rsid w:val="007D28ED"/>
    <w:rsid w:val="007D77F4"/>
    <w:rsid w:val="007E1BDC"/>
    <w:rsid w:val="007E52A7"/>
    <w:rsid w:val="008030A0"/>
    <w:rsid w:val="0080318D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905887"/>
    <w:rsid w:val="00911335"/>
    <w:rsid w:val="009176EA"/>
    <w:rsid w:val="009239BC"/>
    <w:rsid w:val="00926F1E"/>
    <w:rsid w:val="00931B6A"/>
    <w:rsid w:val="00941A01"/>
    <w:rsid w:val="00941D77"/>
    <w:rsid w:val="009500F9"/>
    <w:rsid w:val="00950A82"/>
    <w:rsid w:val="00956FB3"/>
    <w:rsid w:val="00961297"/>
    <w:rsid w:val="0096772E"/>
    <w:rsid w:val="009701F4"/>
    <w:rsid w:val="00973F08"/>
    <w:rsid w:val="00977467"/>
    <w:rsid w:val="00991DF7"/>
    <w:rsid w:val="00993677"/>
    <w:rsid w:val="00997752"/>
    <w:rsid w:val="009A5506"/>
    <w:rsid w:val="009A7BC5"/>
    <w:rsid w:val="009C36F4"/>
    <w:rsid w:val="009C6CB9"/>
    <w:rsid w:val="009F18EE"/>
    <w:rsid w:val="00A008F1"/>
    <w:rsid w:val="00A03324"/>
    <w:rsid w:val="00A174BC"/>
    <w:rsid w:val="00A433E8"/>
    <w:rsid w:val="00A67DD5"/>
    <w:rsid w:val="00A71BE4"/>
    <w:rsid w:val="00A72C04"/>
    <w:rsid w:val="00AB0D44"/>
    <w:rsid w:val="00AD48FF"/>
    <w:rsid w:val="00AE495C"/>
    <w:rsid w:val="00B06A47"/>
    <w:rsid w:val="00B14954"/>
    <w:rsid w:val="00B2470D"/>
    <w:rsid w:val="00B359D4"/>
    <w:rsid w:val="00B3656C"/>
    <w:rsid w:val="00B7765D"/>
    <w:rsid w:val="00B87D30"/>
    <w:rsid w:val="00B9269B"/>
    <w:rsid w:val="00BB2456"/>
    <w:rsid w:val="00BB55A5"/>
    <w:rsid w:val="00BC0CD1"/>
    <w:rsid w:val="00BC24A4"/>
    <w:rsid w:val="00BC72B4"/>
    <w:rsid w:val="00BD497C"/>
    <w:rsid w:val="00BF531C"/>
    <w:rsid w:val="00BF619B"/>
    <w:rsid w:val="00C03DC3"/>
    <w:rsid w:val="00C11501"/>
    <w:rsid w:val="00C128EC"/>
    <w:rsid w:val="00C2708D"/>
    <w:rsid w:val="00C2775F"/>
    <w:rsid w:val="00C410B8"/>
    <w:rsid w:val="00C440E2"/>
    <w:rsid w:val="00C5082C"/>
    <w:rsid w:val="00C56A0B"/>
    <w:rsid w:val="00C60D4D"/>
    <w:rsid w:val="00C7257C"/>
    <w:rsid w:val="00C7682B"/>
    <w:rsid w:val="00CA165C"/>
    <w:rsid w:val="00CC3BB9"/>
    <w:rsid w:val="00CD3F6E"/>
    <w:rsid w:val="00CD4FB6"/>
    <w:rsid w:val="00CE690E"/>
    <w:rsid w:val="00D00759"/>
    <w:rsid w:val="00D00AD2"/>
    <w:rsid w:val="00D01A0B"/>
    <w:rsid w:val="00D053BC"/>
    <w:rsid w:val="00D3670B"/>
    <w:rsid w:val="00D54E98"/>
    <w:rsid w:val="00DA25D6"/>
    <w:rsid w:val="00DD4C35"/>
    <w:rsid w:val="00DD6352"/>
    <w:rsid w:val="00E004E8"/>
    <w:rsid w:val="00E027D0"/>
    <w:rsid w:val="00E17793"/>
    <w:rsid w:val="00E32C5C"/>
    <w:rsid w:val="00E351DE"/>
    <w:rsid w:val="00E461C1"/>
    <w:rsid w:val="00EA2B6D"/>
    <w:rsid w:val="00EB1161"/>
    <w:rsid w:val="00EB3B77"/>
    <w:rsid w:val="00EC4033"/>
    <w:rsid w:val="00EC4DCE"/>
    <w:rsid w:val="00EC5DF7"/>
    <w:rsid w:val="00EE008D"/>
    <w:rsid w:val="00EE3330"/>
    <w:rsid w:val="00EE47BF"/>
    <w:rsid w:val="00EF087C"/>
    <w:rsid w:val="00EF7927"/>
    <w:rsid w:val="00F01839"/>
    <w:rsid w:val="00F143E9"/>
    <w:rsid w:val="00F354E5"/>
    <w:rsid w:val="00F35ED1"/>
    <w:rsid w:val="00F42C81"/>
    <w:rsid w:val="00F551ED"/>
    <w:rsid w:val="00F605FB"/>
    <w:rsid w:val="00F822DE"/>
    <w:rsid w:val="00FB2280"/>
    <w:rsid w:val="59662D47"/>
    <w:rsid w:val="5F767234"/>
    <w:rsid w:val="63B7157C"/>
    <w:rsid w:val="691C15B5"/>
    <w:rsid w:val="751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1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3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ody Text"/>
    <w:basedOn w:val="1"/>
    <w:link w:val="39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Plain Text"/>
    <w:basedOn w:val="1"/>
    <w:link w:val="50"/>
    <w:qFormat/>
    <w:uiPriority w:val="0"/>
    <w:rPr>
      <w:rFonts w:ascii="宋体" w:hAnsi="Courier New"/>
      <w:szCs w:val="24"/>
    </w:rPr>
  </w:style>
  <w:style w:type="paragraph" w:styleId="11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0">
    <w:name w:val="Body Text First Indent"/>
    <w:basedOn w:val="1"/>
    <w:link w:val="40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eastAsia="宋体" w:cs="Times New Roman"/>
      <w:kern w:val="0"/>
      <w:szCs w:val="21"/>
    </w:rPr>
  </w:style>
  <w:style w:type="table" w:styleId="22">
    <w:name w:val="Table Grid"/>
    <w:basedOn w:val="2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Medium List 2 Accent 1"/>
    <w:basedOn w:val="21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">
    <w:name w:val="Medium Grid 3 Accent 1"/>
    <w:basedOn w:val="21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5">
    <w:name w:val="Medium Grid 3 Accent 5"/>
    <w:basedOn w:val="21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6">
    <w:name w:val="Dark List Accent 1"/>
    <w:basedOn w:val="21"/>
    <w:qFormat/>
    <w:uiPriority w:val="70"/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7">
    <w:name w:val="Colorful List Accent 1"/>
    <w:basedOn w:val="21"/>
    <w:qFormat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8">
    <w:name w:val="Colorful List Accent 3"/>
    <w:basedOn w:val="21"/>
    <w:qFormat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9">
    <w:name w:val="Colorful List Accent 4"/>
    <w:basedOn w:val="21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30">
    <w:name w:val="Colorful List Accent 5"/>
    <w:basedOn w:val="21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unhideWhenUsed/>
    <w:qFormat/>
    <w:uiPriority w:val="99"/>
    <w:rPr>
      <w:color w:val="0000FF" w:themeColor="hyperlink"/>
      <w:u w:val="single"/>
    </w:rPr>
  </w:style>
  <w:style w:type="character" w:customStyle="1" w:styleId="35">
    <w:name w:val="批注框文本 Char"/>
    <w:basedOn w:val="31"/>
    <w:link w:val="11"/>
    <w:semiHidden/>
    <w:uiPriority w:val="99"/>
    <w:rPr>
      <w:sz w:val="18"/>
      <w:szCs w:val="18"/>
    </w:rPr>
  </w:style>
  <w:style w:type="character" w:customStyle="1" w:styleId="36">
    <w:name w:val="标题 1 Char"/>
    <w:basedOn w:val="3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7">
    <w:name w:val="文档结构图 Char"/>
    <w:basedOn w:val="31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38">
    <w:name w:val="标题 2 Char"/>
    <w:basedOn w:val="3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正文文本 Char"/>
    <w:basedOn w:val="31"/>
    <w:link w:val="8"/>
    <w:semiHidden/>
    <w:qFormat/>
    <w:uiPriority w:val="99"/>
  </w:style>
  <w:style w:type="character" w:customStyle="1" w:styleId="40">
    <w:name w:val="正文首行缩进 Char"/>
    <w:basedOn w:val="39"/>
    <w:link w:val="20"/>
    <w:qFormat/>
    <w:uiPriority w:val="0"/>
    <w:rPr>
      <w:rFonts w:ascii="Arial" w:hAnsi="Arial" w:eastAsia="宋体" w:cs="Times New Roman"/>
      <w:kern w:val="0"/>
      <w:szCs w:val="21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页眉 Char"/>
    <w:basedOn w:val="31"/>
    <w:link w:val="13"/>
    <w:qFormat/>
    <w:uiPriority w:val="99"/>
    <w:rPr>
      <w:sz w:val="18"/>
      <w:szCs w:val="18"/>
    </w:rPr>
  </w:style>
  <w:style w:type="character" w:customStyle="1" w:styleId="43">
    <w:name w:val="页脚 Char"/>
    <w:basedOn w:val="31"/>
    <w:link w:val="12"/>
    <w:qFormat/>
    <w:uiPriority w:val="99"/>
    <w:rPr>
      <w:sz w:val="18"/>
      <w:szCs w:val="18"/>
    </w:rPr>
  </w:style>
  <w:style w:type="character" w:customStyle="1" w:styleId="44">
    <w:name w:val="标题 3 Char"/>
    <w:basedOn w:val="31"/>
    <w:link w:val="4"/>
    <w:qFormat/>
    <w:uiPriority w:val="9"/>
    <w:rPr>
      <w:b/>
      <w:bCs/>
      <w:sz w:val="32"/>
      <w:szCs w:val="32"/>
    </w:rPr>
  </w:style>
  <w:style w:type="table" w:customStyle="1" w:styleId="45">
    <w:name w:val="中等深浅底纹 2 - 强调文字颜色 11"/>
    <w:basedOn w:val="21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46">
    <w:name w:val="标题 4 Char"/>
    <w:basedOn w:val="3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47">
    <w:name w:val="彩色列表1"/>
    <w:basedOn w:val="21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48">
    <w:name w:val="标题 Char"/>
    <w:basedOn w:val="31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9">
    <w:name w:val="副标题 Char"/>
    <w:basedOn w:val="31"/>
    <w:link w:val="1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0">
    <w:name w:val="纯文本 Char"/>
    <w:basedOn w:val="31"/>
    <w:link w:val="10"/>
    <w:uiPriority w:val="0"/>
    <w:rPr>
      <w:rFonts w:ascii="宋体" w:hAnsi="Courier New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5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3.bin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2.bin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4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投入人时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登录</c:v>
                </c:pt>
                <c:pt idx="1">
                  <c:v>报表中心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用例数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登录</c:v>
                </c:pt>
                <c:pt idx="1">
                  <c:v>报表中心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59</c:v>
                </c:pt>
                <c:pt idx="1">
                  <c:v>46</c:v>
                </c:pt>
                <c:pt idx="2">
                  <c:v>62</c:v>
                </c:pt>
                <c:pt idx="3">
                  <c:v>109</c:v>
                </c:pt>
                <c:pt idx="4">
                  <c:v>45</c:v>
                </c:pt>
                <c:pt idx="5">
                  <c:v>101</c:v>
                </c:pt>
                <c:pt idx="6">
                  <c:v>15</c:v>
                </c:pt>
                <c:pt idx="7">
                  <c:v>75</c:v>
                </c:pt>
                <c:pt idx="8">
                  <c:v>24</c:v>
                </c:pt>
                <c:pt idx="9">
                  <c:v>3</c:v>
                </c:pt>
                <c:pt idx="10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用例有效性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用例数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报表中心</c:v>
                </c:pt>
                <c:pt idx="1">
                  <c:v>登录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46</c:v>
                </c:pt>
                <c:pt idx="1">
                  <c:v>59</c:v>
                </c:pt>
                <c:pt idx="2">
                  <c:v>62</c:v>
                </c:pt>
                <c:pt idx="3">
                  <c:v>109</c:v>
                </c:pt>
                <c:pt idx="4">
                  <c:v>45</c:v>
                </c:pt>
                <c:pt idx="5">
                  <c:v>101</c:v>
                </c:pt>
                <c:pt idx="6">
                  <c:v>15</c:v>
                </c:pt>
                <c:pt idx="7">
                  <c:v>75</c:v>
                </c:pt>
                <c:pt idx="8">
                  <c:v>24</c:v>
                </c:pt>
                <c:pt idx="9">
                  <c:v>3</c:v>
                </c:pt>
                <c:pt idx="10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发现缺陷数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报表中心</c:v>
                </c:pt>
                <c:pt idx="1">
                  <c:v>登录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11</c:v>
                </c:pt>
                <c:pt idx="4">
                  <c:v>17</c:v>
                </c:pt>
                <c:pt idx="5">
                  <c:v>13</c:v>
                </c:pt>
                <c:pt idx="6">
                  <c:v>0</c:v>
                </c:pt>
                <c:pt idx="7">
                  <c:v>25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228637696"/>
        <c:axId val="228647680"/>
      </c:barChart>
      <c:catAx>
        <c:axId val="22863769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647680"/>
        <c:crosses val="autoZero"/>
        <c:auto val="1"/>
        <c:lblAlgn val="ctr"/>
        <c:lblOffset val="100"/>
        <c:noMultiLvlLbl val="0"/>
      </c:catAx>
      <c:valAx>
        <c:axId val="22864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863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缺陷统计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发现缺陷数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报表中心</c:v>
                </c:pt>
                <c:pt idx="1">
                  <c:v>登录</c:v>
                </c:pt>
                <c:pt idx="2">
                  <c:v>市场营销</c:v>
                </c:pt>
                <c:pt idx="3">
                  <c:v>培训资源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后台管理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11</c:v>
                </c:pt>
                <c:pt idx="4">
                  <c:v>17</c:v>
                </c:pt>
                <c:pt idx="5">
                  <c:v>13</c:v>
                </c:pt>
                <c:pt idx="6">
                  <c:v>0</c:v>
                </c:pt>
                <c:pt idx="7">
                  <c:v>25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缺陷严重程度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1级</c:v>
                </c:pt>
                <c:pt idx="1">
                  <c:v>2级</c:v>
                </c:pt>
                <c:pt idx="2">
                  <c:v>3级</c:v>
                </c:pt>
                <c:pt idx="3">
                  <c:v>4级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58</c:v>
                </c:pt>
                <c:pt idx="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</a:gradFill>
    <a:ln w="9525" cap="flat" cmpd="sng" algn="ctr">
      <a:solidFill>
        <a:schemeClr val="dk1">
          <a:lumMod val="25000"/>
          <a:lumOff val="7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92F4EE-08CF-4D50-8190-A48BF6100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557</Words>
  <Characters>3177</Characters>
  <Lines>26</Lines>
  <Paragraphs>7</Paragraphs>
  <TotalTime>1</TotalTime>
  <ScaleCrop>false</ScaleCrop>
  <LinksUpToDate>false</LinksUpToDate>
  <CharactersWithSpaces>3727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2020-03-24T11:40:00Z</dcterms:created>
  <dc:creator>tv</dc:creator>
  <cp:lastModifiedBy>Administrator</cp:lastModifiedBy>
  <dcterms:modified xsi:type="dcterms:W3CDTF">2020-03-24T14:19:54Z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