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D70BB">
      <w:pPr>
        <w:spacing w:before="3000"/>
      </w:pPr>
    </w:p>
    <w:p w14:paraId="09F7B6BC">
      <w:pPr>
        <w:spacing w:after="600"/>
        <w:jc w:val="center"/>
      </w:pPr>
      <w:r>
        <w:rPr>
          <w:rFonts w:hint="eastAsia"/>
          <w:b/>
          <w:bCs/>
          <w:sz w:val="52"/>
          <w:szCs w:val="52"/>
          <w:lang w:val="en-US" w:eastAsia="zh-CN"/>
        </w:rPr>
        <w:t>国有资产</w:t>
      </w:r>
      <w:r>
        <w:rPr>
          <w:rFonts w:ascii="Arial" w:hAnsi="Arial" w:eastAsia="微软雅黑"/>
          <w:b/>
          <w:bCs/>
          <w:sz w:val="52"/>
          <w:szCs w:val="52"/>
        </w:rPr>
        <w:t>监督 · 需求说明书</w:t>
      </w:r>
    </w:p>
    <w:p w14:paraId="6E6107C6">
      <w:pPr>
        <w:spacing w:after="200"/>
        <w:jc w:val="center"/>
      </w:pPr>
    </w:p>
    <w:p w14:paraId="3ED68755">
      <w:pPr>
        <w:spacing w:before="1500"/>
      </w:pPr>
    </w:p>
    <w:p w14:paraId="6205D223">
      <w:pPr>
        <w:jc w:val="center"/>
      </w:pPr>
      <w:r>
        <w:rPr>
          <w:rFonts w:ascii="Arial" w:hAnsi="Arial" w:eastAsia="微软雅黑"/>
          <w:sz w:val="24"/>
          <w:szCs w:val="24"/>
        </w:rPr>
        <w:t>版本：V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ascii="Arial" w:hAnsi="Arial" w:eastAsia="微软雅黑"/>
          <w:sz w:val="24"/>
          <w:szCs w:val="24"/>
        </w:rPr>
        <w:t>.0</w:t>
      </w:r>
    </w:p>
    <w:p w14:paraId="2C129997">
      <w:pPr>
        <w:spacing w:after="200"/>
        <w:jc w:val="center"/>
      </w:pPr>
      <w:r>
        <w:rPr>
          <w:rFonts w:ascii="Arial" w:hAnsi="Arial" w:eastAsia="微软雅黑"/>
          <w:sz w:val="24"/>
          <w:szCs w:val="24"/>
        </w:rPr>
        <w:t>日期：2026年6月2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ascii="Arial" w:hAnsi="Arial" w:eastAsia="微软雅黑"/>
          <w:sz w:val="24"/>
          <w:szCs w:val="24"/>
        </w:rPr>
        <w:t>日</w:t>
      </w:r>
    </w:p>
    <w:p w14:paraId="7D4B471F">
      <w:r>
        <w:br w:type="page"/>
      </w:r>
    </w:p>
    <w:p w14:paraId="5764A7C3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一、文档概述</w:t>
      </w:r>
    </w:p>
    <w:p w14:paraId="0D27ABC5">
      <w:pPr>
        <w:pStyle w:val="3"/>
        <w:spacing w:before="250" w:after="160"/>
      </w:pPr>
      <w:r>
        <w:rPr>
          <w:rFonts w:ascii="Arial" w:hAnsi="Arial" w:eastAsia="微软雅黑"/>
          <w:b/>
          <w:bCs/>
          <w:sz w:val="28"/>
          <w:szCs w:val="28"/>
        </w:rPr>
        <w:t>1.1 编写目的</w:t>
      </w:r>
    </w:p>
    <w:p w14:paraId="51E2E9F0">
      <w:pPr>
        <w:spacing w:after="120" w:line="360" w:lineRule="auto"/>
        <w:jc w:val="left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本文档详细描述了“湖南省人大预算联网审查监督智能平台”中“国有资产监督”模块的功能需求、交互逻辑、页面结构和数据元素。本说明书旨在为开发团队、测试团队及业务方提供统一的需求理解基础，确保系统开发与实际业务需求一致，同时为后续的验收、测试和上线部署提供依据。</w:t>
      </w:r>
    </w:p>
    <w:p w14:paraId="3016CD88">
      <w:pPr>
        <w:pStyle w:val="3"/>
        <w:spacing w:before="250" w:after="160"/>
      </w:pPr>
      <w:r>
        <w:rPr>
          <w:rFonts w:ascii="Arial" w:hAnsi="Arial" w:eastAsia="微软雅黑"/>
          <w:b/>
          <w:bCs/>
          <w:sz w:val="28"/>
          <w:szCs w:val="28"/>
        </w:rPr>
        <w:t>1.2 适用范围</w:t>
      </w:r>
    </w:p>
    <w:p w14:paraId="0DE8DD58">
      <w:pPr>
        <w:spacing w:after="120"/>
      </w:pPr>
      <w:r>
        <w:rPr>
          <w:rFonts w:ascii="Arial" w:hAnsi="Arial" w:eastAsia="微软雅黑"/>
          <w:sz w:val="22"/>
          <w:szCs w:val="22"/>
        </w:rPr>
        <w:t>本模块主要服务于人大</w:t>
      </w:r>
      <w:r>
        <w:rPr>
          <w:rFonts w:hint="eastAsia"/>
          <w:sz w:val="22"/>
          <w:szCs w:val="22"/>
          <w:lang w:val="en-US" w:eastAsia="zh-CN"/>
        </w:rPr>
        <w:t>预算工委、财经委和</w:t>
      </w:r>
      <w:r>
        <w:rPr>
          <w:rFonts w:ascii="Arial" w:hAnsi="Arial" w:eastAsia="微软雅黑"/>
          <w:sz w:val="22"/>
          <w:szCs w:val="22"/>
        </w:rPr>
        <w:t>常委会相关工作，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用于对湖南省国有资产管理情况进行全面监督。主要包括企业国有资产、行政事业性国有资产、金融企业国有资产、文化企业国有资产、国有自然资源资产等全口径国有资产的报告审议、日常监督等工作。</w:t>
      </w:r>
    </w:p>
    <w:p w14:paraId="43794F8D">
      <w:pPr>
        <w:pStyle w:val="3"/>
        <w:spacing w:before="250" w:after="160"/>
      </w:pPr>
      <w:r>
        <w:rPr>
          <w:rFonts w:ascii="Arial" w:hAnsi="Arial" w:eastAsia="微软雅黑"/>
          <w:b/>
          <w:bCs/>
          <w:sz w:val="28"/>
          <w:szCs w:val="28"/>
        </w:rPr>
        <w:t>1.3 术语定义</w:t>
      </w:r>
    </w:p>
    <w:tbl>
      <w:tblPr>
        <w:tblStyle w:val="11"/>
        <w:tblW w:w="47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1"/>
        <w:gridCol w:w="4408"/>
      </w:tblGrid>
      <w:tr w14:paraId="795A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DEB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D06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3C4D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8A3A">
            <w:r>
              <w:rPr>
                <w:rFonts w:ascii="Arial" w:hAnsi="Arial" w:eastAsia="微软雅黑"/>
                <w:sz w:val="21"/>
                <w:szCs w:val="21"/>
              </w:rPr>
              <w:t>国有资产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1BCB">
            <w:r>
              <w:rPr>
                <w:rFonts w:ascii="Arial" w:hAnsi="Arial" w:eastAsia="微软雅黑"/>
                <w:sz w:val="21"/>
                <w:szCs w:val="21"/>
              </w:rPr>
              <w:t>指国家依法拥有所有权或占有、使用、收益和处置权的各类资产，包括企业国有资产、金融企业国有资产、行政事业性国有资产、文化企业国有资产、国有自然资源资产五大类</w:t>
            </w:r>
          </w:p>
        </w:tc>
      </w:tr>
      <w:tr w14:paraId="4883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BFD">
            <w:r>
              <w:rPr>
                <w:rFonts w:ascii="Arial" w:hAnsi="Arial" w:eastAsia="微软雅黑"/>
                <w:sz w:val="21"/>
                <w:szCs w:val="21"/>
              </w:rPr>
              <w:t>全口径国有资产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0145">
            <w:r>
              <w:rPr>
                <w:rFonts w:ascii="Arial" w:hAnsi="Arial" w:eastAsia="微软雅黑"/>
                <w:sz w:val="21"/>
                <w:szCs w:val="21"/>
              </w:rPr>
              <w:t>涵盖上述五大类国有资产的全面管理口径</w:t>
            </w:r>
          </w:p>
        </w:tc>
      </w:tr>
      <w:tr w14:paraId="32FB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B23E">
            <w:r>
              <w:rPr>
                <w:rFonts w:ascii="Arial" w:hAnsi="Arial" w:eastAsia="微软雅黑"/>
                <w:sz w:val="21"/>
                <w:szCs w:val="21"/>
              </w:rPr>
              <w:t>报告审议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AC1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人大对政府国有资产管理情况进行审议的完整流程</w:t>
            </w:r>
          </w:p>
        </w:tc>
      </w:tr>
      <w:tr w14:paraId="0239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8419">
            <w:r>
              <w:rPr>
                <w:rFonts w:ascii="Arial" w:hAnsi="Arial" w:eastAsia="微软雅黑"/>
                <w:sz w:val="21"/>
                <w:szCs w:val="21"/>
              </w:rPr>
              <w:t>日常监督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C957">
            <w:r>
              <w:rPr>
                <w:rFonts w:ascii="Arial" w:hAnsi="Arial" w:eastAsia="微软雅黑"/>
                <w:sz w:val="21"/>
                <w:szCs w:val="21"/>
              </w:rPr>
              <w:t>日常国有资产管理的监督流程</w:t>
            </w:r>
          </w:p>
        </w:tc>
      </w:tr>
      <w:tr w14:paraId="6D5B5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F8B9">
            <w:r>
              <w:rPr>
                <w:rFonts w:ascii="Arial" w:hAnsi="Arial" w:eastAsia="微软雅黑"/>
                <w:sz w:val="21"/>
                <w:szCs w:val="21"/>
              </w:rPr>
              <w:t>工作流步骤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B608">
            <w:r>
              <w:rPr>
                <w:rFonts w:ascii="Arial" w:hAnsi="Arial" w:eastAsia="微软雅黑"/>
                <w:sz w:val="21"/>
                <w:szCs w:val="21"/>
              </w:rPr>
              <w:t>报告审议业务流转的各个环节，每个步骤包含独立的功能内容</w:t>
            </w:r>
          </w:p>
        </w:tc>
      </w:tr>
      <w:tr w14:paraId="24FC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4D3F">
            <w:r>
              <w:rPr>
                <w:rFonts w:ascii="Arial" w:hAnsi="Arial" w:eastAsia="微软雅黑"/>
                <w:sz w:val="21"/>
                <w:szCs w:val="21"/>
              </w:rPr>
              <w:t>AI智能分析</w:t>
            </w:r>
          </w:p>
        </w:tc>
        <w:tc>
          <w:tcPr>
            <w:tcW w:w="44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529B">
            <w:r>
              <w:rPr>
                <w:rFonts w:ascii="Arial" w:hAnsi="Arial" w:eastAsia="微软雅黑"/>
                <w:sz w:val="21"/>
                <w:szCs w:val="21"/>
              </w:rPr>
              <w:t>基于AI技术自动对国有资产数据和报告进行分析、比对和生成</w:t>
            </w:r>
          </w:p>
        </w:tc>
      </w:tr>
    </w:tbl>
    <w:p w14:paraId="40E973AD">
      <w:pPr>
        <w:pStyle w:val="2"/>
        <w:spacing w:before="300" w:after="200"/>
      </w:pPr>
      <w:r>
        <w:rPr>
          <w:rFonts w:ascii="Arial" w:hAnsi="Arial" w:eastAsia="微软雅黑"/>
          <w:b/>
          <w:bCs/>
          <w:sz w:val="32"/>
          <w:szCs w:val="32"/>
        </w:rPr>
        <w:t>二、功能模块详细需求</w:t>
      </w:r>
    </w:p>
    <w:p w14:paraId="52134504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ascii="Arial" w:hAnsi="Arial" w:eastAsia="微软雅黑"/>
          <w:b/>
          <w:bCs/>
          <w:sz w:val="28"/>
          <w:szCs w:val="28"/>
        </w:rPr>
        <w:t xml:space="preserve">.1 </w:t>
      </w:r>
      <w:r>
        <w:rPr>
          <w:rFonts w:hint="eastAsia"/>
          <w:b/>
          <w:bCs/>
          <w:sz w:val="28"/>
          <w:szCs w:val="28"/>
          <w:lang w:val="en-US" w:eastAsia="zh-CN"/>
        </w:rPr>
        <w:t>国有资产监督</w:t>
      </w:r>
      <w:r>
        <w:rPr>
          <w:rFonts w:ascii="Arial" w:hAnsi="Arial" w:eastAsia="微软雅黑"/>
          <w:b/>
          <w:bCs/>
          <w:sz w:val="28"/>
          <w:szCs w:val="28"/>
        </w:rPr>
        <w:t>工作台</w:t>
      </w:r>
    </w:p>
    <w:p w14:paraId="07343273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国有资产监督</w:t>
      </w:r>
      <w:r>
        <w:rPr>
          <w:rFonts w:ascii="Arial" w:hAnsi="Arial" w:eastAsia="微软雅黑"/>
          <w:sz w:val="22"/>
          <w:szCs w:val="22"/>
        </w:rPr>
        <w:t>工作台以卡片式布局展示国有资产</w:t>
      </w:r>
      <w:r>
        <w:rPr>
          <w:rFonts w:hint="eastAsia"/>
          <w:sz w:val="22"/>
          <w:szCs w:val="22"/>
          <w:lang w:val="en-US" w:eastAsia="zh-CN"/>
        </w:rPr>
        <w:t>监督业务</w:t>
      </w:r>
      <w:r>
        <w:rPr>
          <w:rFonts w:ascii="Arial" w:hAnsi="Arial" w:eastAsia="微软雅黑"/>
          <w:sz w:val="22"/>
          <w:szCs w:val="22"/>
        </w:rPr>
        <w:t>全貌概览和快捷入口。</w:t>
      </w:r>
    </w:p>
    <w:p w14:paraId="46202A55">
      <w:pPr>
        <w:spacing w:after="120"/>
        <w:rPr>
          <w:rFonts w:ascii="Arial" w:hAnsi="Arial" w:eastAsia="微软雅黑"/>
          <w:sz w:val="22"/>
          <w:szCs w:val="22"/>
        </w:rPr>
      </w:pPr>
      <w:r>
        <w:drawing>
          <wp:inline distT="0" distB="0" distL="114300" distR="114300">
            <wp:extent cx="5723890" cy="3085465"/>
            <wp:effectExtent l="0" t="0" r="6350" b="8255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6C02">
      <w:pPr>
        <w:pStyle w:val="4"/>
        <w:spacing w:before="200" w:after="120"/>
      </w:pPr>
      <w:r>
        <w:rPr>
          <w:rFonts w:hint="eastAsia"/>
          <w:b/>
          <w:bCs/>
          <w:sz w:val="24"/>
          <w:szCs w:val="24"/>
          <w:lang w:eastAsia="zh-CN"/>
        </w:rPr>
        <w:t>2.1</w:t>
      </w:r>
      <w:r>
        <w:rPr>
          <w:rFonts w:ascii="Arial" w:hAnsi="Arial" w:eastAsia="微软雅黑"/>
          <w:b/>
          <w:bCs/>
          <w:sz w:val="24"/>
          <w:szCs w:val="24"/>
        </w:rPr>
        <w:t>.1 页面布局</w:t>
      </w:r>
    </w:p>
    <w:p w14:paraId="6E600555">
      <w:pPr>
        <w:spacing w:after="120"/>
      </w:pPr>
      <w:r>
        <w:rPr>
          <w:rFonts w:ascii="Arial" w:hAnsi="Arial" w:eastAsia="微软雅黑"/>
          <w:sz w:val="22"/>
          <w:szCs w:val="22"/>
        </w:rPr>
        <w:t>工作台页面包含三</w:t>
      </w:r>
      <w:r>
        <w:rPr>
          <w:rFonts w:hint="eastAsia"/>
          <w:sz w:val="22"/>
          <w:szCs w:val="22"/>
          <w:lang w:val="en-US" w:eastAsia="zh-CN"/>
        </w:rPr>
        <w:t>部分</w:t>
      </w:r>
      <w:r>
        <w:rPr>
          <w:rFonts w:ascii="Arial" w:hAnsi="Arial" w:eastAsia="微软雅黑"/>
          <w:sz w:val="22"/>
          <w:szCs w:val="22"/>
        </w:rPr>
        <w:t>核心</w:t>
      </w:r>
      <w:r>
        <w:rPr>
          <w:rFonts w:hint="eastAsia"/>
          <w:sz w:val="22"/>
          <w:szCs w:val="22"/>
          <w:lang w:val="en-US" w:eastAsia="zh-CN"/>
        </w:rPr>
        <w:t>功能</w:t>
      </w:r>
      <w:r>
        <w:rPr>
          <w:rFonts w:ascii="Arial" w:hAnsi="Arial" w:eastAsia="微软雅黑"/>
          <w:sz w:val="22"/>
          <w:szCs w:val="22"/>
        </w:rPr>
        <w:t>：</w:t>
      </w:r>
      <w:r>
        <w:rPr>
          <w:rFonts w:hint="eastAsia"/>
          <w:sz w:val="22"/>
          <w:szCs w:val="22"/>
          <w:lang w:val="en-US" w:eastAsia="zh-CN"/>
        </w:rPr>
        <w:t>审议指引</w:t>
      </w:r>
      <w:r>
        <w:rPr>
          <w:rFonts w:ascii="Arial" w:hAnsi="Arial" w:eastAsia="微软雅黑"/>
          <w:sz w:val="22"/>
          <w:szCs w:val="22"/>
        </w:rPr>
        <w:t>、</w:t>
      </w:r>
      <w:r>
        <w:rPr>
          <w:rFonts w:hint="eastAsia"/>
          <w:sz w:val="22"/>
          <w:szCs w:val="22"/>
          <w:lang w:val="en-US" w:eastAsia="zh-CN"/>
        </w:rPr>
        <w:t>业务模块</w:t>
      </w:r>
      <w:r>
        <w:rPr>
          <w:rFonts w:ascii="Arial" w:hAnsi="Arial" w:eastAsia="微软雅黑"/>
          <w:sz w:val="22"/>
          <w:szCs w:val="22"/>
        </w:rPr>
        <w:t>卡片、服务中心快捷入口。</w:t>
      </w:r>
    </w:p>
    <w:p w14:paraId="74C49481">
      <w:pPr>
        <w:pStyle w:val="4"/>
        <w:spacing w:before="200" w:after="1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2.1</w:t>
      </w:r>
      <w:r>
        <w:rPr>
          <w:rFonts w:ascii="Arial" w:hAnsi="Arial" w:eastAsia="微软雅黑"/>
          <w:b/>
          <w:bCs/>
          <w:sz w:val="24"/>
          <w:szCs w:val="24"/>
        </w:rPr>
        <w:t xml:space="preserve">.2 </w:t>
      </w:r>
      <w:r>
        <w:rPr>
          <w:rFonts w:hint="eastAsia"/>
          <w:b/>
          <w:bCs/>
          <w:sz w:val="24"/>
          <w:szCs w:val="24"/>
          <w:lang w:val="en-US" w:eastAsia="zh-CN"/>
        </w:rPr>
        <w:t>审议指引</w:t>
      </w:r>
    </w:p>
    <w:p w14:paraId="602F4E6A">
      <w:pPr>
        <w:spacing w:after="120"/>
        <w:rPr>
          <w:rFonts w:hint="default" w:ascii="Arial" w:hAnsi="Arial" w:eastAsia="微软雅黑" w:cs="Times New Roman"/>
          <w:sz w:val="22"/>
          <w:szCs w:val="22"/>
          <w:lang w:val="en-US" w:eastAsia="zh-CN"/>
        </w:rPr>
      </w:pPr>
      <w:r>
        <w:rPr>
          <w:rFonts w:hint="eastAsia" w:ascii="Arial" w:hAnsi="Arial" w:eastAsia="微软雅黑" w:cs="Times New Roman"/>
          <w:sz w:val="22"/>
          <w:szCs w:val="22"/>
          <w:lang w:val="en-US" w:eastAsia="zh-CN"/>
        </w:rPr>
        <w:t>审议指引</w:t>
      </w:r>
      <w:r>
        <w:rPr>
          <w:rFonts w:ascii="Arial" w:hAnsi="Arial" w:eastAsia="微软雅黑"/>
          <w:sz w:val="22"/>
          <w:szCs w:val="22"/>
        </w:rPr>
        <w:t>提供五年规划选择器、年度议题时间线和审议重点指南。</w:t>
      </w:r>
      <w:r>
        <w:rPr>
          <w:rFonts w:hint="eastAsia" w:ascii="Arial" w:hAnsi="Arial" w:cs="Times New Roman"/>
          <w:sz w:val="22"/>
          <w:szCs w:val="22"/>
          <w:lang w:val="en-US" w:eastAsia="zh-CN"/>
        </w:rPr>
        <w:t>根据</w:t>
      </w:r>
      <w:r>
        <w:rPr>
          <w:rFonts w:hint="eastAsia" w:ascii="Arial" w:hAnsi="Arial" w:eastAsia="微软雅黑" w:cs="Times New Roman"/>
          <w:sz w:val="22"/>
          <w:szCs w:val="22"/>
          <w:lang w:val="en-US" w:eastAsia="zh-CN"/>
        </w:rPr>
        <w:t>全国人大常委会关于国有资产管理情况监督工作的五年规划</w:t>
      </w:r>
      <w:r>
        <w:rPr>
          <w:rFonts w:hint="eastAsia" w:ascii="Arial" w:hAnsi="Arial" w:cs="Times New Roman"/>
          <w:sz w:val="22"/>
          <w:szCs w:val="22"/>
          <w:lang w:val="en-US" w:eastAsia="zh-CN"/>
        </w:rPr>
        <w:t>，以时间轴展示每年</w:t>
      </w:r>
      <w:r>
        <w:rPr>
          <w:rFonts w:hint="eastAsia" w:ascii="Arial" w:hAnsi="Arial" w:eastAsia="微软雅黑" w:cs="Times New Roman"/>
          <w:sz w:val="22"/>
          <w:szCs w:val="22"/>
          <w:lang w:val="en-US" w:eastAsia="zh-CN"/>
        </w:rPr>
        <w:t>省人大常委会任期内听取和审议国有资产管理情况报告年度议题</w:t>
      </w:r>
      <w:r>
        <w:rPr>
          <w:rFonts w:hint="eastAsia" w:ascii="Arial" w:hAnsi="Arial" w:cs="Times New Roman"/>
          <w:sz w:val="22"/>
          <w:szCs w:val="22"/>
          <w:lang w:val="en-US" w:eastAsia="zh-CN"/>
        </w:rPr>
        <w:t>，同时列示综合报告审议重点和专项报告审议重点，为国有资产管理情况审议工作做出指引。</w:t>
      </w:r>
    </w:p>
    <w:p w14:paraId="22657A77">
      <w:r>
        <w:drawing>
          <wp:inline distT="0" distB="0" distL="114300" distR="114300">
            <wp:extent cx="5727065" cy="309245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CB1F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五年规划选择器</w:t>
      </w:r>
    </w:p>
    <w:p w14:paraId="4A8E4996">
      <w:pPr>
        <w:spacing w:after="120"/>
      </w:pPr>
      <w:r>
        <w:rPr>
          <w:rFonts w:ascii="Arial" w:hAnsi="Arial" w:eastAsia="微软雅黑"/>
          <w:sz w:val="22"/>
          <w:szCs w:val="22"/>
        </w:rPr>
        <w:t>顶部提供五年规划下拉选择器，选项包括“2023年-2027年”和“2018年-2022年”。选择后更新年度议题时间线。</w:t>
      </w:r>
    </w:p>
    <w:p w14:paraId="5BD0B447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年度议题时间线</w:t>
      </w:r>
    </w:p>
    <w:p w14:paraId="204B9E3B">
      <w:pPr>
        <w:spacing w:after="120"/>
      </w:pPr>
      <w:r>
        <w:rPr>
          <w:rFonts w:ascii="Arial" w:hAnsi="Arial" w:eastAsia="微软雅黑"/>
          <w:sz w:val="22"/>
          <w:szCs w:val="22"/>
        </w:rPr>
        <w:t>以5列网格布局展示五年规划中各年度的议题安排，每个年度包含时间轴圆点标记和蓝色连接线：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3"/>
        <w:gridCol w:w="4613"/>
      </w:tblGrid>
      <w:tr w14:paraId="3668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E75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年度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838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审议内容</w:t>
            </w:r>
          </w:p>
        </w:tc>
      </w:tr>
      <w:tr w14:paraId="54F6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52B7">
            <w:r>
              <w:rPr>
                <w:rFonts w:ascii="Arial" w:hAnsi="Arial" w:eastAsia="微软雅黑"/>
                <w:sz w:val="21"/>
                <w:szCs w:val="21"/>
              </w:rPr>
              <w:t>2023年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F78D">
            <w:r>
              <w:rPr>
                <w:rFonts w:ascii="Arial" w:hAnsi="Arial" w:eastAsia="微软雅黑"/>
                <w:sz w:val="21"/>
                <w:szCs w:val="21"/>
              </w:rPr>
              <w:t>综合报告 + 金融企业国有资产专项报告</w:t>
            </w:r>
          </w:p>
        </w:tc>
      </w:tr>
      <w:tr w14:paraId="1C0B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FAF0">
            <w:r>
              <w:rPr>
                <w:rFonts w:ascii="Arial" w:hAnsi="Arial" w:eastAsia="微软雅黑"/>
                <w:sz w:val="21"/>
                <w:szCs w:val="21"/>
              </w:rPr>
              <w:t>2024年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8687">
            <w:r>
              <w:rPr>
                <w:rFonts w:ascii="Arial" w:hAnsi="Arial" w:eastAsia="微软雅黑"/>
                <w:sz w:val="21"/>
                <w:szCs w:val="21"/>
              </w:rPr>
              <w:t>综合报告 + 行政事业性国有资产专项报告</w:t>
            </w:r>
          </w:p>
        </w:tc>
      </w:tr>
      <w:tr w14:paraId="3669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8B93">
            <w:r>
              <w:rPr>
                <w:rFonts w:ascii="Arial" w:hAnsi="Arial" w:eastAsia="微软雅黑"/>
                <w:sz w:val="21"/>
                <w:szCs w:val="21"/>
              </w:rPr>
              <w:t>2025年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FFE5">
            <w:r>
              <w:rPr>
                <w:rFonts w:ascii="Arial" w:hAnsi="Arial" w:eastAsia="微软雅黑"/>
                <w:sz w:val="21"/>
                <w:szCs w:val="21"/>
              </w:rPr>
              <w:t>综合报告 + 企业国有资产（不含金融企业）专项报告</w:t>
            </w:r>
          </w:p>
        </w:tc>
      </w:tr>
      <w:tr w14:paraId="4882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0776">
            <w:r>
              <w:rPr>
                <w:rFonts w:ascii="Arial" w:hAnsi="Arial" w:eastAsia="微软雅黑"/>
                <w:sz w:val="21"/>
                <w:szCs w:val="21"/>
              </w:rPr>
              <w:t>2026年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C47A">
            <w:r>
              <w:rPr>
                <w:rFonts w:ascii="Arial" w:hAnsi="Arial" w:eastAsia="微软雅黑"/>
                <w:sz w:val="21"/>
                <w:szCs w:val="21"/>
              </w:rPr>
              <w:t>综合报告 + 国有自然资源资产专项报告</w:t>
            </w:r>
          </w:p>
        </w:tc>
      </w:tr>
      <w:tr w14:paraId="3B89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232F">
            <w:r>
              <w:rPr>
                <w:rFonts w:ascii="Arial" w:hAnsi="Arial" w:eastAsia="微软雅黑"/>
                <w:sz w:val="21"/>
                <w:szCs w:val="21"/>
              </w:rPr>
              <w:t>2027年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00D2">
            <w:r>
              <w:rPr>
                <w:rFonts w:ascii="Arial" w:hAnsi="Arial" w:eastAsia="微软雅黑"/>
                <w:sz w:val="21"/>
                <w:szCs w:val="21"/>
              </w:rPr>
              <w:t xml:space="preserve">综合报告 </w:t>
            </w:r>
          </w:p>
        </w:tc>
      </w:tr>
    </w:tbl>
    <w:p w14:paraId="10FF6920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综合报告审议重点</w:t>
      </w:r>
    </w:p>
    <w:p w14:paraId="17632DDD">
      <w:pPr>
        <w:spacing w:after="120"/>
      </w:pPr>
      <w:r>
        <w:rPr>
          <w:rFonts w:ascii="Arial" w:hAnsi="Arial" w:eastAsia="微软雅黑"/>
          <w:sz w:val="22"/>
          <w:szCs w:val="22"/>
        </w:rPr>
        <w:t>展示10项审议重点，涵盖贯彻党中央方针政策、法律法规实施、落实常委会决议、改革完善体制、服务国家战略、行政事业性资产保障、资源支持经济社会发展、资本保值增值、审计整改等方面。每项以绿色序号圆圈（01-10）标识。</w:t>
      </w:r>
    </w:p>
    <w:p w14:paraId="08A780AD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专项报告审议重点</w:t>
      </w:r>
    </w:p>
    <w:p w14:paraId="5DB34E4D">
      <w:pPr>
        <w:spacing w:after="120"/>
      </w:pPr>
      <w:r>
        <w:rPr>
          <w:rFonts w:ascii="Arial" w:hAnsi="Arial" w:eastAsia="微软雅黑"/>
          <w:sz w:val="22"/>
          <w:szCs w:val="22"/>
        </w:rPr>
        <w:t>展示4项专项报告的审议重点，每项以左侧彩色边框标识：</w:t>
      </w:r>
    </w:p>
    <w:p w14:paraId="061BA66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企业国有资产（蓝色）：涵盖企业布局与结构、国有资本运作、经营效益等3项要点。</w:t>
      </w:r>
    </w:p>
    <w:p w14:paraId="5E1D4BD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金融企业国有资产（绿色）：涵盖金融企业服务实体经济与风险防控等1项要点。</w:t>
      </w:r>
    </w:p>
    <w:p w14:paraId="0F277D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行政事业性国有资产（橙色）：涵盖资产配置、使用、处置等3项要点。</w:t>
      </w:r>
    </w:p>
    <w:p w14:paraId="3D588D2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国有自然资源资产（紫色）：涵盖资源分布、开发利用、生态保护等6项要点。</w:t>
      </w:r>
    </w:p>
    <w:p w14:paraId="7AEA8554">
      <w:pPr>
        <w:pStyle w:val="4"/>
        <w:spacing w:before="200" w:after="120"/>
      </w:pPr>
      <w:r>
        <w:rPr>
          <w:rFonts w:hint="eastAsia"/>
          <w:b/>
          <w:bCs/>
          <w:sz w:val="24"/>
          <w:szCs w:val="24"/>
          <w:lang w:eastAsia="zh-CN"/>
        </w:rPr>
        <w:t>2.1</w:t>
      </w:r>
      <w:r>
        <w:rPr>
          <w:rFonts w:ascii="Arial" w:hAnsi="Arial" w:eastAsia="微软雅黑"/>
          <w:b/>
          <w:bCs/>
          <w:sz w:val="24"/>
          <w:szCs w:val="24"/>
        </w:rPr>
        <w:t>.</w:t>
      </w:r>
      <w:r>
        <w:rPr>
          <w:rFonts w:hint="eastAsia" w:ascii="Arial" w:hAnsi="Arial"/>
          <w:b/>
          <w:bCs/>
          <w:sz w:val="24"/>
          <w:szCs w:val="24"/>
          <w:lang w:val="en-US" w:eastAsia="zh-CN"/>
        </w:rPr>
        <w:t>3</w:t>
      </w:r>
      <w:r>
        <w:rPr>
          <w:rFonts w:ascii="Arial" w:hAnsi="Arial" w:eastAsia="微软雅黑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业务模块</w:t>
      </w:r>
      <w:r>
        <w:rPr>
          <w:rFonts w:ascii="Arial" w:hAnsi="Arial" w:eastAsia="微软雅黑"/>
          <w:b/>
          <w:bCs/>
          <w:sz w:val="24"/>
          <w:szCs w:val="24"/>
        </w:rPr>
        <w:t>卡片</w:t>
      </w:r>
    </w:p>
    <w:p w14:paraId="7F1EBDEB">
      <w:pPr>
        <w:spacing w:after="120"/>
      </w:pPr>
      <w:r>
        <w:rPr>
          <w:rFonts w:hint="eastAsia"/>
          <w:sz w:val="22"/>
          <w:szCs w:val="22"/>
          <w:lang w:val="en-US" w:eastAsia="zh-CN"/>
        </w:rPr>
        <w:t>国有资产监督主要分“报告审议”和“日常监督”两部分业务</w:t>
      </w:r>
      <w:r>
        <w:rPr>
          <w:rFonts w:ascii="Arial" w:hAnsi="Arial" w:eastAsia="微软雅黑"/>
          <w:sz w:val="22"/>
          <w:szCs w:val="22"/>
        </w:rPr>
        <w:t>。</w:t>
      </w:r>
    </w:p>
    <w:p w14:paraId="0854352C">
      <w:pPr>
        <w:pStyle w:val="4"/>
        <w:spacing w:before="200" w:after="120"/>
      </w:pPr>
      <w:r>
        <w:rPr>
          <w:rFonts w:hint="eastAsia"/>
          <w:b/>
          <w:bCs/>
          <w:sz w:val="24"/>
          <w:szCs w:val="24"/>
          <w:lang w:eastAsia="zh-CN"/>
        </w:rPr>
        <w:t>2.1</w:t>
      </w:r>
      <w:r>
        <w:rPr>
          <w:rFonts w:ascii="Arial" w:hAnsi="Arial" w:eastAsia="微软雅黑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ascii="Arial" w:hAnsi="Arial" w:eastAsia="微软雅黑"/>
          <w:b/>
          <w:bCs/>
          <w:sz w:val="24"/>
          <w:szCs w:val="24"/>
        </w:rPr>
        <w:t xml:space="preserve"> 服务中心</w:t>
      </w:r>
    </w:p>
    <w:p w14:paraId="6F6609D1">
      <w:pPr>
        <w:spacing w:after="120"/>
        <w:rPr>
          <w:rFonts w:hint="eastAsia" w:ascii="Arial" w:hAnsi="Arial" w:eastAsia="微软雅黑"/>
          <w:sz w:val="22"/>
          <w:szCs w:val="22"/>
          <w:lang w:val="en-US" w:eastAsia="zh-CN"/>
        </w:rPr>
      </w:pPr>
      <w:r>
        <w:rPr>
          <w:rFonts w:ascii="Arial" w:hAnsi="Arial" w:eastAsia="微软雅黑"/>
          <w:sz w:val="22"/>
          <w:szCs w:val="22"/>
        </w:rPr>
        <w:t>服务中心位于卡片区下方，提供快捷功能入口图标。</w:t>
      </w:r>
      <w:r>
        <w:rPr>
          <w:rFonts w:hint="eastAsia"/>
          <w:sz w:val="22"/>
          <w:szCs w:val="22"/>
          <w:lang w:val="en-US" w:eastAsia="zh-CN"/>
        </w:rPr>
        <w:t>包含</w:t>
      </w:r>
      <w:r>
        <w:rPr>
          <w:rFonts w:ascii="Arial" w:hAnsi="Arial" w:eastAsia="微软雅黑"/>
          <w:sz w:val="22"/>
          <w:szCs w:val="22"/>
        </w:rPr>
        <w:t>法律法规</w:t>
      </w:r>
      <w:r>
        <w:rPr>
          <w:rFonts w:hint="eastAsia" w:ascii="Arial" w:hAnsi="Arial" w:eastAsia="微软雅黑"/>
          <w:sz w:val="22"/>
          <w:szCs w:val="22"/>
          <w:lang w:eastAsia="zh-CN"/>
        </w:rPr>
        <w:t>、</w:t>
      </w:r>
      <w:r>
        <w:rPr>
          <w:rFonts w:ascii="Arial" w:hAnsi="Arial" w:eastAsia="微软雅黑"/>
          <w:sz w:val="22"/>
          <w:szCs w:val="22"/>
        </w:rPr>
        <w:t>政策文件</w:t>
      </w:r>
      <w:r>
        <w:rPr>
          <w:rFonts w:hint="eastAsia" w:ascii="Arial" w:hAnsi="Arial" w:eastAsia="微软雅黑"/>
          <w:sz w:val="22"/>
          <w:szCs w:val="22"/>
          <w:lang w:eastAsia="zh-CN"/>
        </w:rPr>
        <w:t>、</w:t>
      </w:r>
      <w:r>
        <w:rPr>
          <w:rFonts w:ascii="Arial" w:hAnsi="Arial" w:eastAsia="微软雅黑"/>
          <w:sz w:val="22"/>
          <w:szCs w:val="22"/>
        </w:rPr>
        <w:t>审查监督指标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ascii="Arial" w:hAnsi="Arial" w:eastAsia="微软雅黑"/>
          <w:sz w:val="22"/>
          <w:szCs w:val="22"/>
        </w:rPr>
        <w:t>联网专报</w:t>
      </w:r>
      <w:r>
        <w:rPr>
          <w:rFonts w:hint="eastAsia" w:ascii="Arial" w:hAnsi="Arial" w:eastAsia="微软雅黑"/>
          <w:sz w:val="22"/>
          <w:szCs w:val="22"/>
          <w:lang w:eastAsia="zh-CN"/>
        </w:rPr>
        <w:t>、</w:t>
      </w:r>
      <w:r>
        <w:rPr>
          <w:rFonts w:ascii="Arial" w:hAnsi="Arial" w:eastAsia="微软雅黑"/>
          <w:sz w:val="22"/>
          <w:szCs w:val="22"/>
        </w:rPr>
        <w:t>工作资料</w:t>
      </w:r>
      <w:r>
        <w:rPr>
          <w:rFonts w:hint="eastAsia" w:ascii="Arial" w:hAnsi="Arial" w:eastAsia="微软雅黑"/>
          <w:sz w:val="22"/>
          <w:szCs w:val="22"/>
          <w:lang w:eastAsia="zh-CN"/>
        </w:rPr>
        <w:t>、</w:t>
      </w:r>
      <w:r>
        <w:rPr>
          <w:rFonts w:ascii="Arial" w:hAnsi="Arial" w:eastAsia="微软雅黑"/>
          <w:sz w:val="22"/>
          <w:szCs w:val="22"/>
        </w:rPr>
        <w:t>审查监督指南</w:t>
      </w:r>
      <w:r>
        <w:rPr>
          <w:rFonts w:hint="eastAsia" w:ascii="Arial" w:hAnsi="Arial" w:eastAsia="微软雅黑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val="en-US" w:eastAsia="zh-CN"/>
        </w:rPr>
        <w:t>联网数据、数据分析</w:t>
      </w:r>
      <w:r>
        <w:rPr>
          <w:rFonts w:hint="eastAsia" w:ascii="Arial" w:hAnsi="Arial" w:eastAsia="微软雅黑"/>
          <w:sz w:val="22"/>
          <w:szCs w:val="22"/>
          <w:lang w:val="en-US" w:eastAsia="zh-CN"/>
        </w:rPr>
        <w:t>。</w:t>
      </w:r>
      <w:bookmarkStart w:id="0" w:name="_GoBack"/>
      <w:bookmarkEnd w:id="0"/>
    </w:p>
    <w:p w14:paraId="5359DC45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eastAsia="zh-CN"/>
        </w:rPr>
        <w:t>2.2</w:t>
      </w:r>
      <w:r>
        <w:rPr>
          <w:rFonts w:ascii="Arial" w:hAnsi="Arial" w:eastAsia="微软雅黑"/>
          <w:b/>
          <w:bCs/>
          <w:sz w:val="28"/>
          <w:szCs w:val="28"/>
        </w:rPr>
        <w:t xml:space="preserve"> 报告审议</w:t>
      </w:r>
    </w:p>
    <w:p w14:paraId="1819210B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报告审议</w:t>
      </w:r>
      <w:r>
        <w:rPr>
          <w:rFonts w:ascii="Arial" w:hAnsi="Arial" w:eastAsia="微软雅黑"/>
          <w:sz w:val="22"/>
          <w:szCs w:val="22"/>
        </w:rPr>
        <w:t>是</w:t>
      </w:r>
      <w:r>
        <w:rPr>
          <w:rFonts w:hint="eastAsia"/>
          <w:sz w:val="22"/>
          <w:szCs w:val="22"/>
          <w:lang w:val="en-US" w:eastAsia="zh-CN"/>
        </w:rPr>
        <w:t>国有资产监督模块的</w:t>
      </w:r>
      <w:r>
        <w:rPr>
          <w:rFonts w:ascii="Arial" w:hAnsi="Arial" w:eastAsia="微软雅黑"/>
          <w:sz w:val="22"/>
          <w:szCs w:val="22"/>
        </w:rPr>
        <w:t>核心功能，</w:t>
      </w:r>
      <w:r>
        <w:rPr>
          <w:rFonts w:hint="eastAsia"/>
          <w:sz w:val="22"/>
          <w:szCs w:val="22"/>
          <w:lang w:val="en-US" w:eastAsia="zh-CN"/>
        </w:rPr>
        <w:t>点击工作台“报告审议”卡片，进入”</w:t>
      </w:r>
      <w:r>
        <w:rPr>
          <w:rFonts w:hint="eastAsia"/>
          <w:sz w:val="22"/>
          <w:szCs w:val="22"/>
          <w:lang w:eastAsia="zh-CN"/>
        </w:rPr>
        <w:t>报告审议”</w:t>
      </w:r>
      <w:r>
        <w:rPr>
          <w:rFonts w:hint="eastAsia"/>
          <w:sz w:val="22"/>
          <w:szCs w:val="22"/>
          <w:lang w:val="en-US" w:eastAsia="zh-CN"/>
        </w:rPr>
        <w:t>流程</w:t>
      </w:r>
      <w:r>
        <w:rPr>
          <w:rFonts w:ascii="Arial" w:hAnsi="Arial" w:eastAsia="微软雅黑"/>
          <w:sz w:val="22"/>
          <w:szCs w:val="22"/>
        </w:rPr>
        <w:t>。</w:t>
      </w:r>
    </w:p>
    <w:p w14:paraId="7CF0CF4F">
      <w:pPr>
        <w:spacing w:after="120"/>
        <w:rPr>
          <w:rFonts w:ascii="Arial" w:hAnsi="Arial" w:eastAsia="微软雅黑"/>
          <w:sz w:val="22"/>
          <w:szCs w:val="22"/>
        </w:rPr>
      </w:pPr>
      <w:r>
        <w:drawing>
          <wp:inline distT="0" distB="0" distL="114300" distR="114300">
            <wp:extent cx="5723890" cy="3216910"/>
            <wp:effectExtent l="0" t="0" r="6350" b="1397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503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3606"/>
        <w:gridCol w:w="4016"/>
      </w:tblGrid>
      <w:tr w14:paraId="2FF8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F4E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步骤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D1A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步骤名称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0A4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功能说明</w:t>
            </w:r>
          </w:p>
        </w:tc>
      </w:tr>
      <w:tr w14:paraId="61E9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908B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E922">
            <w:r>
              <w:rPr>
                <w:rFonts w:ascii="Arial" w:hAnsi="Arial" w:eastAsia="微软雅黑"/>
                <w:sz w:val="21"/>
                <w:szCs w:val="21"/>
              </w:rPr>
              <w:t>审议资料检查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4B56">
            <w:r>
              <w:rPr>
                <w:rFonts w:ascii="Arial" w:hAnsi="Arial" w:eastAsia="微软雅黑"/>
                <w:sz w:val="21"/>
                <w:szCs w:val="21"/>
              </w:rPr>
              <w:t>对政府汇报材料和其他汇报材料进行检查、上传和确认</w:t>
            </w:r>
          </w:p>
        </w:tc>
      </w:tr>
      <w:tr w14:paraId="005B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05B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2C70">
            <w:r>
              <w:rPr>
                <w:rFonts w:ascii="Arial" w:hAnsi="Arial" w:eastAsia="微软雅黑"/>
                <w:sz w:val="21"/>
                <w:szCs w:val="21"/>
              </w:rPr>
              <w:t>审议意见报告生成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4F39">
            <w:r>
              <w:rPr>
                <w:rFonts w:ascii="Arial" w:hAnsi="Arial" w:eastAsia="微软雅黑"/>
                <w:sz w:val="21"/>
                <w:szCs w:val="21"/>
              </w:rPr>
              <w:t>AI生成审议意见报告，支持智能比对</w:t>
            </w:r>
          </w:p>
        </w:tc>
      </w:tr>
      <w:tr w14:paraId="5135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880C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B0A3">
            <w:r>
              <w:rPr>
                <w:rFonts w:ascii="Arial" w:hAnsi="Arial" w:eastAsia="微软雅黑"/>
                <w:sz w:val="21"/>
                <w:szCs w:val="21"/>
              </w:rPr>
              <w:t>财经委全会审议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D64E">
            <w:r>
              <w:rPr>
                <w:rFonts w:ascii="Arial" w:hAnsi="Arial" w:eastAsia="微软雅黑"/>
                <w:sz w:val="21"/>
                <w:szCs w:val="21"/>
              </w:rPr>
              <w:t>会议资料管理、委员意见收集、AI生成与定稿</w:t>
            </w:r>
          </w:p>
        </w:tc>
      </w:tr>
      <w:tr w14:paraId="0F3F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43A5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2269">
            <w:r>
              <w:rPr>
                <w:rFonts w:ascii="Arial" w:hAnsi="Arial" w:eastAsia="微软雅黑"/>
                <w:sz w:val="21"/>
                <w:szCs w:val="21"/>
              </w:rPr>
              <w:t>常委会审议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C22E">
            <w:r>
              <w:rPr>
                <w:rFonts w:ascii="Arial" w:hAnsi="Arial" w:eastAsia="微软雅黑"/>
                <w:sz w:val="21"/>
                <w:szCs w:val="21"/>
              </w:rPr>
              <w:t>会议资料管理、常委意见收集、AI生成与定稿</w:t>
            </w:r>
          </w:p>
        </w:tc>
      </w:tr>
      <w:tr w14:paraId="7C51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3A2D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951F">
            <w:r>
              <w:rPr>
                <w:rFonts w:ascii="Arial" w:hAnsi="Arial" w:eastAsia="微软雅黑"/>
                <w:sz w:val="21"/>
                <w:szCs w:val="21"/>
              </w:rPr>
              <w:t>意见交办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65A9">
            <w:r>
              <w:rPr>
                <w:rFonts w:ascii="Arial" w:hAnsi="Arial" w:eastAsia="微软雅黑"/>
                <w:sz w:val="21"/>
                <w:szCs w:val="21"/>
              </w:rPr>
              <w:t>对审议意见进行交办处理，生成函件</w:t>
            </w:r>
          </w:p>
        </w:tc>
      </w:tr>
      <w:tr w14:paraId="7389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A1C5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1B44">
            <w:r>
              <w:rPr>
                <w:rFonts w:ascii="Arial" w:hAnsi="Arial" w:eastAsia="微软雅黑"/>
                <w:sz w:val="21"/>
                <w:szCs w:val="21"/>
              </w:rPr>
              <w:t>研究处理情况</w:t>
            </w:r>
          </w:p>
        </w:tc>
        <w:tc>
          <w:tcPr>
            <w:tcW w:w="4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0308">
            <w:r>
              <w:rPr>
                <w:rFonts w:ascii="Arial" w:hAnsi="Arial" w:eastAsia="微软雅黑"/>
                <w:sz w:val="21"/>
                <w:szCs w:val="21"/>
              </w:rPr>
              <w:t>跟踪反馈文件与状态</w:t>
            </w:r>
          </w:p>
        </w:tc>
      </w:tr>
    </w:tbl>
    <w:p w14:paraId="763FAEA6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步骤1：审议资料检查</w:t>
      </w:r>
    </w:p>
    <w:p w14:paraId="2258E592">
      <w:pPr>
        <w:spacing w:after="120"/>
      </w:pPr>
      <w:r>
        <w:rPr>
          <w:rFonts w:ascii="Arial" w:hAnsi="Arial" w:eastAsia="微软雅黑"/>
          <w:sz w:val="22"/>
          <w:szCs w:val="22"/>
        </w:rPr>
        <w:t>审议资料检查分为两部分：</w:t>
      </w:r>
    </w:p>
    <w:p w14:paraId="2E261DF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政府及相关部门资料</w:t>
      </w:r>
      <w:r>
        <w:rPr>
          <w:rFonts w:ascii="Arial" w:hAnsi="Arial" w:eastAsia="微软雅黑"/>
          <w:sz w:val="22"/>
          <w:szCs w:val="22"/>
        </w:rPr>
        <w:t>检查：展示</w:t>
      </w:r>
      <w:r>
        <w:rPr>
          <w:rFonts w:hint="eastAsia"/>
          <w:sz w:val="22"/>
          <w:szCs w:val="22"/>
          <w:lang w:val="en-US" w:eastAsia="zh-CN"/>
        </w:rPr>
        <w:t>省人民政府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及相关部门</w:t>
      </w:r>
      <w:r>
        <w:rPr>
          <w:rFonts w:ascii="Arial" w:hAnsi="Arial" w:eastAsia="微软雅黑"/>
          <w:sz w:val="22"/>
          <w:szCs w:val="22"/>
        </w:rPr>
        <w:t>已上传的综合报告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val="en-US" w:eastAsia="zh-CN"/>
        </w:rPr>
        <w:t>专项报告</w:t>
      </w:r>
      <w:r>
        <w:rPr>
          <w:rFonts w:ascii="Arial" w:hAnsi="Arial" w:eastAsia="微软雅黑"/>
          <w:sz w:val="22"/>
          <w:szCs w:val="22"/>
        </w:rPr>
        <w:t>文件</w:t>
      </w:r>
      <w:r>
        <w:rPr>
          <w:rFonts w:hint="eastAsia"/>
          <w:sz w:val="22"/>
          <w:szCs w:val="22"/>
          <w:lang w:eastAsia="zh-CN"/>
        </w:rPr>
        <w:t>。</w:t>
      </w:r>
      <w:r>
        <w:rPr>
          <w:rFonts w:ascii="Arial" w:hAnsi="Arial" w:eastAsia="微软雅黑"/>
          <w:sz w:val="22"/>
          <w:szCs w:val="22"/>
        </w:rPr>
        <w:t>显示文件大小、上传时间。审核通过后显示绿色确认提示。提供“查看”和“下载”按钮。</w:t>
      </w:r>
    </w:p>
    <w:p w14:paraId="011E14F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其他汇报材料上传：提供拖拽上传区域，支持PDF、Word、Excel格式。包含选择文件按钮和格式说明文字。</w:t>
      </w:r>
    </w:p>
    <w:p w14:paraId="3B677610">
      <w:pPr>
        <w:pStyle w:val="16"/>
        <w:numPr>
          <w:ilvl w:val="0"/>
          <w:numId w:val="0"/>
        </w:numPr>
        <w:spacing w:after="60"/>
      </w:pPr>
      <w:r>
        <w:drawing>
          <wp:inline distT="0" distB="0" distL="114300" distR="114300">
            <wp:extent cx="5727700" cy="3215005"/>
            <wp:effectExtent l="0" t="0" r="2540" b="6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11C4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步骤2：审议意见报告生成</w:t>
      </w:r>
    </w:p>
    <w:p w14:paraId="2421BFFF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结构与步骤2类似，AI对话中的智能审议助手生成审议意见报告</w:t>
      </w:r>
      <w:r>
        <w:rPr>
          <w:rFonts w:hint="eastAsia"/>
          <w:sz w:val="22"/>
          <w:szCs w:val="22"/>
          <w:lang w:val="en-US" w:eastAsia="zh-CN"/>
        </w:rPr>
        <w:t>并支持</w:t>
      </w:r>
      <w:r>
        <w:rPr>
          <w:rFonts w:ascii="Arial" w:hAnsi="Arial" w:eastAsia="微软雅黑"/>
          <w:sz w:val="22"/>
          <w:szCs w:val="22"/>
        </w:rPr>
        <w:t>报告智能比对。报告结构包括：总体评价→存在的主要问题→审议意见建议。</w:t>
      </w:r>
    </w:p>
    <w:p w14:paraId="0F24A811">
      <w:pPr>
        <w:spacing w:after="120"/>
        <w:rPr>
          <w:rFonts w:ascii="Arial" w:hAnsi="Arial" w:eastAsia="微软雅黑"/>
          <w:sz w:val="22"/>
          <w:szCs w:val="22"/>
        </w:rPr>
      </w:pPr>
      <w:r>
        <w:drawing>
          <wp:inline distT="0" distB="0" distL="114300" distR="114300">
            <wp:extent cx="5723890" cy="3208020"/>
            <wp:effectExtent l="0" t="0" r="6350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0117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</w:t>
      </w:r>
      <w:r>
        <w:rPr>
          <w:rFonts w:hint="eastAsia"/>
          <w:b/>
          <w:bCs/>
          <w:sz w:val="22"/>
          <w:szCs w:val="22"/>
          <w:lang w:val="en-US" w:eastAsia="zh-CN"/>
        </w:rPr>
        <w:t>3</w:t>
      </w:r>
      <w:r>
        <w:rPr>
          <w:rFonts w:ascii="Arial" w:hAnsi="Arial" w:eastAsia="微软雅黑"/>
          <w:b/>
          <w:bCs/>
          <w:sz w:val="22"/>
          <w:szCs w:val="22"/>
        </w:rPr>
        <w:t>：财经委全会审议</w:t>
      </w:r>
    </w:p>
    <w:p w14:paraId="4AB07895">
      <w:pPr>
        <w:spacing w:after="120"/>
      </w:pPr>
      <w:r>
        <w:rPr>
          <w:rFonts w:ascii="Arial" w:hAnsi="Arial" w:eastAsia="微软雅黑"/>
          <w:sz w:val="22"/>
          <w:szCs w:val="22"/>
        </w:rPr>
        <w:t>包含三个子页签：</w:t>
      </w:r>
    </w:p>
    <w:p w14:paraId="2B0BA31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意见收集：会议资料提供综合报告、参阅资料、审议意见报告、专题调研报告四类文件的上传区。</w:t>
      </w:r>
      <w:r>
        <w:rPr>
          <w:rFonts w:hint="eastAsia"/>
          <w:sz w:val="22"/>
          <w:szCs w:val="22"/>
          <w:lang w:val="en-US" w:eastAsia="zh-CN"/>
        </w:rPr>
        <w:t>意见收集</w:t>
      </w:r>
      <w:r>
        <w:rPr>
          <w:rFonts w:ascii="Arial" w:hAnsi="Arial" w:eastAsia="微软雅黑"/>
          <w:sz w:val="22"/>
          <w:szCs w:val="22"/>
        </w:rPr>
        <w:t>支持拖拽批量上传委员意见文件。已上传文件列表展示文件名并提供删除按钮。</w:t>
      </w:r>
    </w:p>
    <w:p w14:paraId="561FF117">
      <w:pPr>
        <w:pStyle w:val="16"/>
        <w:numPr>
          <w:ilvl w:val="0"/>
          <w:numId w:val="0"/>
        </w:numPr>
        <w:spacing w:after="60"/>
      </w:pPr>
      <w:r>
        <w:drawing>
          <wp:inline distT="0" distB="0" distL="114300" distR="114300">
            <wp:extent cx="5724525" cy="2968625"/>
            <wp:effectExtent l="0" t="0" r="5715" b="317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1BC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2"/>
          <w:szCs w:val="22"/>
        </w:rPr>
        <w:t>AI生成与定稿：基于委员意见和历史模板AI生成审议意见报告。支持上传财经委全会</w:t>
      </w:r>
      <w:r>
        <w:rPr>
          <w:rFonts w:hint="eastAsia"/>
          <w:sz w:val="22"/>
          <w:szCs w:val="22"/>
          <w:lang w:val="en-US" w:eastAsia="zh-CN"/>
        </w:rPr>
        <w:t>审议意见报告的</w:t>
      </w:r>
      <w:r>
        <w:rPr>
          <w:rFonts w:ascii="Arial" w:hAnsi="Arial" w:eastAsia="微软雅黑"/>
          <w:sz w:val="22"/>
          <w:szCs w:val="22"/>
        </w:rPr>
        <w:t>定稿，已上传文件提供查看和删除操作。</w:t>
      </w:r>
    </w:p>
    <w:p w14:paraId="1B197D02">
      <w:pPr>
        <w:pStyle w:val="16"/>
        <w:numPr>
          <w:ilvl w:val="0"/>
          <w:numId w:val="0"/>
        </w:numPr>
        <w:spacing w:after="60"/>
      </w:pPr>
      <w:r>
        <w:drawing>
          <wp:inline distT="0" distB="0" distL="114300" distR="114300">
            <wp:extent cx="5721350" cy="2879090"/>
            <wp:effectExtent l="0" t="0" r="8890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2F77">
      <w:pPr>
        <w:pStyle w:val="16"/>
        <w:numPr>
          <w:ilvl w:val="0"/>
          <w:numId w:val="0"/>
        </w:numPr>
        <w:spacing w:after="60"/>
      </w:pPr>
    </w:p>
    <w:p w14:paraId="147C3ED6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</w:t>
      </w:r>
      <w:r>
        <w:rPr>
          <w:rFonts w:hint="eastAsia"/>
          <w:b/>
          <w:bCs/>
          <w:sz w:val="22"/>
          <w:szCs w:val="22"/>
          <w:lang w:val="en-US" w:eastAsia="zh-CN"/>
        </w:rPr>
        <w:t>4</w:t>
      </w:r>
      <w:r>
        <w:rPr>
          <w:rFonts w:ascii="Arial" w:hAnsi="Arial" w:eastAsia="微软雅黑"/>
          <w:b/>
          <w:bCs/>
          <w:sz w:val="22"/>
          <w:szCs w:val="22"/>
        </w:rPr>
        <w:t>：常委会审议</w:t>
      </w:r>
    </w:p>
    <w:p w14:paraId="576FE712">
      <w:pPr>
        <w:spacing w:after="120"/>
        <w:rPr>
          <w:rFonts w:hint="default" w:ascii="Arial" w:hAnsi="Arial" w:eastAsia="微软雅黑"/>
          <w:sz w:val="22"/>
          <w:szCs w:val="22"/>
          <w:lang w:val="en-US" w:eastAsia="zh-CN"/>
        </w:rPr>
      </w:pPr>
      <w:r>
        <w:rPr>
          <w:rFonts w:ascii="Arial" w:hAnsi="Arial" w:eastAsia="微软雅黑"/>
          <w:sz w:val="22"/>
          <w:szCs w:val="22"/>
        </w:rPr>
        <w:t>结构与财经委全会审议一致，区别在于为常委会审议资料和</w:t>
      </w:r>
      <w:r>
        <w:rPr>
          <w:rFonts w:hint="eastAsia"/>
          <w:sz w:val="22"/>
          <w:szCs w:val="22"/>
          <w:lang w:val="en-US" w:eastAsia="zh-CN"/>
        </w:rPr>
        <w:t>常委会期间代表和委员</w:t>
      </w:r>
      <w:r>
        <w:rPr>
          <w:rFonts w:ascii="Arial" w:hAnsi="Arial" w:eastAsia="微软雅黑"/>
          <w:sz w:val="22"/>
          <w:szCs w:val="22"/>
        </w:rPr>
        <w:t>意见</w:t>
      </w:r>
      <w:r>
        <w:rPr>
          <w:rFonts w:hint="eastAsia"/>
          <w:sz w:val="22"/>
          <w:szCs w:val="22"/>
          <w:lang w:eastAsia="zh-CN"/>
        </w:rPr>
        <w:t>的</w:t>
      </w:r>
      <w:r>
        <w:rPr>
          <w:rFonts w:ascii="Arial" w:hAnsi="Arial" w:eastAsia="微软雅黑"/>
          <w:sz w:val="22"/>
          <w:szCs w:val="22"/>
        </w:rPr>
        <w:t>收集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val="en-US" w:eastAsia="zh-CN"/>
        </w:rPr>
        <w:t>一般是以会议简报的形式上传，并且上传后需通过AI进行智能整理。</w:t>
      </w:r>
    </w:p>
    <w:p w14:paraId="55B7B78F">
      <w:pPr>
        <w:spacing w:after="120"/>
      </w:pPr>
      <w:r>
        <w:drawing>
          <wp:inline distT="0" distB="0" distL="114300" distR="114300">
            <wp:extent cx="5725795" cy="2891790"/>
            <wp:effectExtent l="0" t="0" r="4445" b="381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9250">
      <w:pPr>
        <w:spacing w:after="120"/>
      </w:pPr>
      <w:r>
        <w:drawing>
          <wp:inline distT="0" distB="0" distL="114300" distR="114300">
            <wp:extent cx="5727700" cy="1157605"/>
            <wp:effectExtent l="0" t="0" r="2540" b="63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2AA7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</w:t>
      </w:r>
      <w:r>
        <w:rPr>
          <w:rFonts w:hint="eastAsia"/>
          <w:b/>
          <w:bCs/>
          <w:sz w:val="22"/>
          <w:szCs w:val="22"/>
          <w:lang w:val="en-US" w:eastAsia="zh-CN"/>
        </w:rPr>
        <w:t>5</w:t>
      </w:r>
      <w:r>
        <w:rPr>
          <w:rFonts w:ascii="Arial" w:hAnsi="Arial" w:eastAsia="微软雅黑"/>
          <w:b/>
          <w:bCs/>
          <w:sz w:val="22"/>
          <w:szCs w:val="22"/>
        </w:rPr>
        <w:t>：意见交办</w:t>
      </w:r>
    </w:p>
    <w:p w14:paraId="5ABC4A8A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以表格形式展示审议意见报告列表，列包含：审议意见报告名称、附件名称、状态、操作。状态标签“未交办”以橙色显示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ascii="Arial" w:hAnsi="Arial" w:eastAsia="微软雅黑"/>
          <w:sz w:val="22"/>
          <w:szCs w:val="22"/>
        </w:rPr>
        <w:t>“</w:t>
      </w:r>
      <w:r>
        <w:rPr>
          <w:rFonts w:hint="eastAsia"/>
          <w:sz w:val="22"/>
          <w:szCs w:val="22"/>
          <w:lang w:val="en-US" w:eastAsia="zh-CN"/>
        </w:rPr>
        <w:t>已</w:t>
      </w:r>
      <w:r>
        <w:rPr>
          <w:rFonts w:ascii="Arial" w:hAnsi="Arial" w:eastAsia="微软雅黑"/>
          <w:sz w:val="22"/>
          <w:szCs w:val="22"/>
        </w:rPr>
        <w:t>交办”以</w:t>
      </w:r>
      <w:r>
        <w:rPr>
          <w:rFonts w:hint="eastAsia"/>
          <w:sz w:val="22"/>
          <w:szCs w:val="22"/>
          <w:lang w:val="en-US" w:eastAsia="zh-CN"/>
        </w:rPr>
        <w:t>绿色</w:t>
      </w:r>
      <w:r>
        <w:rPr>
          <w:rFonts w:ascii="Arial" w:hAnsi="Arial" w:eastAsia="微软雅黑"/>
          <w:sz w:val="22"/>
          <w:szCs w:val="22"/>
        </w:rPr>
        <w:t>显示。操作包含“生成函件”和“交办”按钮。</w:t>
      </w:r>
    </w:p>
    <w:p w14:paraId="1C3B214C">
      <w:pPr>
        <w:spacing w:after="120"/>
        <w:rPr>
          <w:rFonts w:ascii="Arial" w:hAnsi="Arial" w:eastAsia="微软雅黑"/>
          <w:b/>
          <w:bCs/>
          <w:sz w:val="22"/>
          <w:szCs w:val="22"/>
        </w:rPr>
      </w:pPr>
      <w:r>
        <w:rPr>
          <w:rFonts w:ascii="Arial" w:hAnsi="Arial" w:eastAsia="微软雅黑"/>
          <w:b/>
          <w:bCs/>
          <w:sz w:val="22"/>
          <w:szCs w:val="22"/>
        </w:rPr>
        <w:t>生成函件</w:t>
      </w:r>
    </w:p>
    <w:p w14:paraId="59141885">
      <w:pPr>
        <w:spacing w:after="120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对话框内容：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主送部门（必填，标签按钮式，默认湖南省人民政府）、抄送部门（选填）、AI辅助生成提示区、函件预览区（含标准交办函格式预览）</w:t>
      </w:r>
    </w:p>
    <w:p w14:paraId="62E6D943">
      <w:pPr>
        <w:spacing w:after="120"/>
        <w:rPr>
          <w:rFonts w:hint="eastAsia" w:ascii="Arial" w:hAnsi="Arial" w:eastAsia="微软雅黑"/>
          <w:b w:val="0"/>
          <w:bCs w:val="0"/>
          <w:sz w:val="22"/>
          <w:szCs w:val="22"/>
          <w:lang w:eastAsia="zh-CN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底部三个按钮：保存草稿、生成函件</w:t>
      </w:r>
      <w:r>
        <w:rPr>
          <w:rFonts w:hint="eastAsia"/>
          <w:b w:val="0"/>
          <w:bCs w:val="0"/>
          <w:sz w:val="22"/>
          <w:szCs w:val="22"/>
          <w:lang w:eastAsia="zh-CN"/>
        </w:rPr>
        <w:t>、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取消</w:t>
      </w:r>
      <w:r>
        <w:rPr>
          <w:rFonts w:hint="eastAsia"/>
          <w:b w:val="0"/>
          <w:bCs w:val="0"/>
          <w:sz w:val="22"/>
          <w:szCs w:val="22"/>
          <w:lang w:eastAsia="zh-CN"/>
        </w:rPr>
        <w:t>。</w:t>
      </w:r>
    </w:p>
    <w:p w14:paraId="12F33986">
      <w:pPr>
        <w:spacing w:after="120"/>
        <w:rPr>
          <w:rFonts w:ascii="Arial" w:hAnsi="Arial" w:eastAsia="微软雅黑"/>
          <w:b/>
          <w:bCs/>
          <w:sz w:val="22"/>
          <w:szCs w:val="22"/>
        </w:rPr>
      </w:pPr>
      <w:r>
        <w:rPr>
          <w:rFonts w:ascii="Arial" w:hAnsi="Arial" w:eastAsia="微软雅黑"/>
          <w:b/>
          <w:bCs/>
          <w:sz w:val="22"/>
          <w:szCs w:val="22"/>
        </w:rPr>
        <w:t>交办</w:t>
      </w:r>
    </w:p>
    <w:p w14:paraId="2982F9BB">
      <w:pPr>
        <w:spacing w:after="120"/>
        <w:rPr>
          <w:rFonts w:hint="eastAsia" w:ascii="Arial" w:hAnsi="Arial" w:eastAsia="微软雅黑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对话框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内容：主送部门（必填）、抄送部门（选填）、交办日期（必填，日期选择器）、交办说明（选填，多行文本域）、交办附件（PDF卡片展示）</w:t>
      </w:r>
    </w:p>
    <w:p w14:paraId="31BF52AE">
      <w:pPr>
        <w:spacing w:after="120"/>
        <w:rPr>
          <w:rFonts w:hint="eastAsia" w:ascii="Arial" w:hAnsi="Arial" w:eastAsia="微软雅黑"/>
          <w:b w:val="0"/>
          <w:bCs w:val="0"/>
          <w:sz w:val="22"/>
          <w:szCs w:val="22"/>
          <w:lang w:eastAsia="zh-CN"/>
        </w:rPr>
      </w:pPr>
      <w:r>
        <w:rPr>
          <w:rFonts w:hint="eastAsia" w:ascii="Arial" w:hAnsi="Arial" w:eastAsia="微软雅黑"/>
          <w:b w:val="0"/>
          <w:bCs w:val="0"/>
          <w:sz w:val="22"/>
          <w:szCs w:val="22"/>
        </w:rPr>
        <w:t>底部两个按钮：确认交办</w:t>
      </w:r>
      <w:r>
        <w:rPr>
          <w:rFonts w:hint="eastAsia"/>
          <w:b w:val="0"/>
          <w:bCs w:val="0"/>
          <w:sz w:val="22"/>
          <w:szCs w:val="22"/>
          <w:lang w:eastAsia="zh-CN"/>
        </w:rPr>
        <w:t>、</w:t>
      </w:r>
      <w:r>
        <w:rPr>
          <w:rFonts w:hint="eastAsia" w:ascii="Arial" w:hAnsi="Arial" w:eastAsia="微软雅黑"/>
          <w:b w:val="0"/>
          <w:bCs w:val="0"/>
          <w:sz w:val="22"/>
          <w:szCs w:val="22"/>
        </w:rPr>
        <w:t>取消</w:t>
      </w:r>
      <w:r>
        <w:rPr>
          <w:rFonts w:hint="eastAsia"/>
          <w:b w:val="0"/>
          <w:bCs w:val="0"/>
          <w:sz w:val="22"/>
          <w:szCs w:val="22"/>
          <w:lang w:eastAsia="zh-CN"/>
        </w:rPr>
        <w:t>。</w:t>
      </w:r>
    </w:p>
    <w:p w14:paraId="74C60EFD">
      <w:pPr>
        <w:spacing w:after="120"/>
      </w:pPr>
      <w:r>
        <w:drawing>
          <wp:inline distT="0" distB="0" distL="114300" distR="114300">
            <wp:extent cx="5723255" cy="1527175"/>
            <wp:effectExtent l="0" t="0" r="6985" b="1206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4B75">
      <w:pPr>
        <w:spacing w:after="120"/>
      </w:pPr>
    </w:p>
    <w:p w14:paraId="3D4885A1">
      <w:pPr>
        <w:pStyle w:val="5"/>
        <w:spacing w:before="150" w:after="100"/>
      </w:pPr>
      <w:r>
        <w:rPr>
          <w:rFonts w:ascii="Arial" w:hAnsi="Arial" w:eastAsia="微软雅黑"/>
          <w:b/>
          <w:bCs/>
          <w:sz w:val="22"/>
          <w:szCs w:val="22"/>
        </w:rPr>
        <w:t>步骤</w:t>
      </w:r>
      <w:r>
        <w:rPr>
          <w:rFonts w:hint="eastAsia"/>
          <w:b/>
          <w:bCs/>
          <w:sz w:val="22"/>
          <w:szCs w:val="22"/>
          <w:lang w:val="en-US" w:eastAsia="zh-CN"/>
        </w:rPr>
        <w:t>6</w:t>
      </w:r>
      <w:r>
        <w:rPr>
          <w:rFonts w:ascii="Arial" w:hAnsi="Arial" w:eastAsia="微软雅黑"/>
          <w:b/>
          <w:bCs/>
          <w:sz w:val="22"/>
          <w:szCs w:val="22"/>
        </w:rPr>
        <w:t>：研究处理情况</w:t>
      </w:r>
    </w:p>
    <w:p w14:paraId="28A7D8A1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以表格形式展示交办意见的研究处理情况，列包含：单位名称、交办名称、交办文件、</w:t>
      </w:r>
      <w:r>
        <w:rPr>
          <w:rFonts w:hint="eastAsia"/>
          <w:sz w:val="22"/>
          <w:szCs w:val="22"/>
          <w:lang w:val="en-US" w:eastAsia="zh-CN"/>
        </w:rPr>
        <w:t>交办附件、</w:t>
      </w:r>
      <w:r>
        <w:rPr>
          <w:rFonts w:ascii="Arial" w:hAnsi="Arial" w:eastAsia="微软雅黑"/>
          <w:sz w:val="22"/>
          <w:szCs w:val="22"/>
        </w:rPr>
        <w:t>反馈文件、</w:t>
      </w:r>
      <w:r>
        <w:rPr>
          <w:rFonts w:hint="eastAsia"/>
          <w:sz w:val="22"/>
          <w:szCs w:val="22"/>
          <w:lang w:val="en-US" w:eastAsia="zh-CN"/>
        </w:rPr>
        <w:t>反馈日期、</w:t>
      </w:r>
      <w:r>
        <w:rPr>
          <w:rFonts w:ascii="Arial" w:hAnsi="Arial" w:eastAsia="微软雅黑"/>
          <w:sz w:val="22"/>
          <w:szCs w:val="22"/>
        </w:rPr>
        <w:t>状态。状态标签如“未反馈”以橙色显示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ascii="Arial" w:hAnsi="Arial" w:eastAsia="微软雅黑"/>
          <w:sz w:val="22"/>
          <w:szCs w:val="22"/>
        </w:rPr>
        <w:t>“</w:t>
      </w:r>
      <w:r>
        <w:rPr>
          <w:rFonts w:hint="eastAsia"/>
          <w:sz w:val="22"/>
          <w:szCs w:val="22"/>
          <w:lang w:val="en-US" w:eastAsia="zh-CN"/>
        </w:rPr>
        <w:t>已</w:t>
      </w:r>
      <w:r>
        <w:rPr>
          <w:rFonts w:ascii="Arial" w:hAnsi="Arial" w:eastAsia="微软雅黑"/>
          <w:sz w:val="22"/>
          <w:szCs w:val="22"/>
        </w:rPr>
        <w:t>反馈”以</w:t>
      </w:r>
      <w:r>
        <w:rPr>
          <w:rFonts w:hint="eastAsia"/>
          <w:sz w:val="22"/>
          <w:szCs w:val="22"/>
          <w:lang w:val="en-US" w:eastAsia="zh-CN"/>
        </w:rPr>
        <w:t>绿</w:t>
      </w:r>
      <w:r>
        <w:rPr>
          <w:rFonts w:ascii="Arial" w:hAnsi="Arial" w:eastAsia="微软雅黑"/>
          <w:sz w:val="22"/>
          <w:szCs w:val="22"/>
        </w:rPr>
        <w:t>色显示。</w:t>
      </w:r>
    </w:p>
    <w:p w14:paraId="3B795E9C">
      <w:pPr>
        <w:spacing w:after="120"/>
      </w:pPr>
      <w:r>
        <w:drawing>
          <wp:inline distT="0" distB="0" distL="114300" distR="114300">
            <wp:extent cx="5730875" cy="1852930"/>
            <wp:effectExtent l="0" t="0" r="14605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ADC9">
      <w:pPr>
        <w:pStyle w:val="3"/>
        <w:spacing w:before="250" w:after="160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2.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lang w:eastAsia="zh-CN"/>
        </w:rPr>
        <w:t>日常监督</w:t>
      </w:r>
    </w:p>
    <w:p w14:paraId="3069DAF4">
      <w:pPr>
        <w:spacing w:after="12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日常监督流程包含4</w:t>
      </w:r>
      <w:r>
        <w:rPr>
          <w:rFonts w:hint="eastAsia" w:ascii="微软雅黑" w:hAnsi="微软雅黑" w:cs="微软雅黑"/>
          <w:color w:val="333333"/>
          <w:sz w:val="22"/>
          <w:szCs w:val="22"/>
          <w:lang w:val="en-US" w:eastAsia="zh-CN"/>
        </w:rPr>
        <w:t>个模块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。</w:t>
      </w:r>
      <w:r>
        <w:rPr>
          <w:rFonts w:hint="eastAsia"/>
          <w:sz w:val="22"/>
          <w:szCs w:val="22"/>
          <w:lang w:val="en-US" w:eastAsia="zh-CN"/>
        </w:rPr>
        <w:t>点击工作台“日常监督”卡片，进入”日常监督</w:t>
      </w:r>
      <w:r>
        <w:rPr>
          <w:rFonts w:hint="eastAsia"/>
          <w:sz w:val="22"/>
          <w:szCs w:val="22"/>
          <w:lang w:eastAsia="zh-CN"/>
        </w:rPr>
        <w:t>”</w:t>
      </w:r>
      <w:r>
        <w:rPr>
          <w:rFonts w:hint="eastAsia"/>
          <w:sz w:val="22"/>
          <w:szCs w:val="22"/>
          <w:lang w:val="en-US" w:eastAsia="zh-CN"/>
        </w:rPr>
        <w:t>功能模块</w:t>
      </w:r>
      <w:r>
        <w:rPr>
          <w:rFonts w:ascii="Arial" w:hAnsi="Arial" w:eastAsia="微软雅黑"/>
          <w:sz w:val="22"/>
          <w:szCs w:val="22"/>
        </w:rPr>
        <w:t>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5300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shd w:val="solid" w:color="E3F2FD" w:fill="E3F2FD"/>
            <w:vAlign w:val="center"/>
          </w:tcPr>
          <w:p w14:paraId="685A6ADE">
            <w:pPr>
              <w:spacing w:before="40"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7000" w:type="dxa"/>
            <w:shd w:val="solid" w:color="E3F2FD" w:fill="E3F2FD"/>
            <w:vAlign w:val="center"/>
          </w:tcPr>
          <w:p w14:paraId="51DFCC4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565C0"/>
                <w:sz w:val="20"/>
                <w:szCs w:val="20"/>
              </w:rPr>
              <w:t>名称</w:t>
            </w:r>
          </w:p>
        </w:tc>
      </w:tr>
      <w:tr w14:paraId="24CA9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7373DE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7000" w:type="dxa"/>
            <w:vAlign w:val="center"/>
          </w:tcPr>
          <w:p w14:paraId="4CFE52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监督资料检查</w:t>
            </w:r>
          </w:p>
        </w:tc>
      </w:tr>
      <w:tr w14:paraId="6ED1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solid" w:color="F5F5F5" w:fill="F5F5F5"/>
            <w:vAlign w:val="center"/>
          </w:tcPr>
          <w:p w14:paraId="1EBE735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7000" w:type="dxa"/>
            <w:shd w:val="solid" w:color="F5F5F5" w:fill="F5F5F5"/>
            <w:vAlign w:val="center"/>
          </w:tcPr>
          <w:p w14:paraId="378F19D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评价报告生成</w:t>
            </w:r>
          </w:p>
        </w:tc>
      </w:tr>
      <w:tr w14:paraId="0F33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6F2B54A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7000" w:type="dxa"/>
            <w:vAlign w:val="center"/>
          </w:tcPr>
          <w:p w14:paraId="1225F0F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分析报告生成</w:t>
            </w:r>
          </w:p>
        </w:tc>
      </w:tr>
      <w:tr w14:paraId="00EC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solid" w:color="F5F5F5" w:fill="F5F5F5"/>
            <w:vAlign w:val="center"/>
          </w:tcPr>
          <w:p w14:paraId="44C805E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7000" w:type="dxa"/>
            <w:shd w:val="solid" w:color="F5F5F5" w:fill="F5F5F5"/>
            <w:vAlign w:val="center"/>
          </w:tcPr>
          <w:p w14:paraId="677D63B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调研报告生成</w:t>
            </w:r>
          </w:p>
        </w:tc>
      </w:tr>
    </w:tbl>
    <w:p w14:paraId="2A7ED8D9">
      <w:pPr>
        <w:spacing w:after="120"/>
      </w:pPr>
    </w:p>
    <w:p w14:paraId="6BB0F339">
      <w:pPr>
        <w:pStyle w:val="2"/>
        <w:spacing w:before="300" w:after="200"/>
      </w:pPr>
      <w:r>
        <w:rPr>
          <w:rFonts w:hint="eastAsia"/>
          <w:b/>
          <w:bCs/>
          <w:sz w:val="32"/>
          <w:szCs w:val="32"/>
          <w:lang w:val="en-US" w:eastAsia="zh-CN"/>
        </w:rPr>
        <w:t>三</w:t>
      </w:r>
      <w:r>
        <w:rPr>
          <w:rFonts w:ascii="Arial" w:hAnsi="Arial" w:eastAsia="微软雅黑"/>
          <w:b/>
          <w:bCs/>
          <w:sz w:val="32"/>
          <w:szCs w:val="32"/>
        </w:rPr>
        <w:t>、交互行为</w:t>
      </w:r>
    </w:p>
    <w:p w14:paraId="5D602457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ascii="Arial" w:hAnsi="Arial" w:eastAsia="微软雅黑"/>
          <w:b/>
          <w:bCs/>
          <w:sz w:val="28"/>
          <w:szCs w:val="28"/>
        </w:rPr>
        <w:t>.1 导航切换</w:t>
      </w:r>
    </w:p>
    <w:p w14:paraId="3461FF18">
      <w:pPr>
        <w:spacing w:after="120"/>
      </w:pPr>
      <w:r>
        <w:rPr>
          <w:rFonts w:ascii="Arial" w:hAnsi="Arial" w:eastAsia="微软雅黑"/>
          <w:sz w:val="22"/>
          <w:szCs w:val="22"/>
        </w:rPr>
        <w:t>点击左侧导航项时，右侧内容区切换到对应模块。当前导航项高亮显示（蓝色背景+深蓝文字）。父级导航项点击展开/收起子菜单，箭头图标旋转180度。</w:t>
      </w:r>
    </w:p>
    <w:p w14:paraId="6381B8A1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ascii="Arial" w:hAnsi="Arial" w:eastAsia="微软雅黑"/>
          <w:b/>
          <w:bCs/>
          <w:sz w:val="28"/>
          <w:szCs w:val="28"/>
        </w:rPr>
        <w:t>.2 工作流步骤切换</w:t>
      </w:r>
    </w:p>
    <w:p w14:paraId="72A36187">
      <w:pPr>
        <w:spacing w:after="120"/>
      </w:pPr>
      <w:r>
        <w:rPr>
          <w:rFonts w:ascii="Arial" w:hAnsi="Arial" w:eastAsia="微软雅黑"/>
          <w:sz w:val="22"/>
          <w:szCs w:val="22"/>
        </w:rPr>
        <w:t>在</w:t>
      </w:r>
      <w:r>
        <w:rPr>
          <w:rFonts w:hint="eastAsia"/>
          <w:sz w:val="22"/>
          <w:szCs w:val="22"/>
          <w:lang w:eastAsia="zh-CN"/>
        </w:rPr>
        <w:t>报告审议</w:t>
      </w:r>
      <w:r>
        <w:rPr>
          <w:rFonts w:ascii="Arial" w:hAnsi="Arial" w:eastAsia="微软雅黑"/>
          <w:sz w:val="22"/>
          <w:szCs w:val="22"/>
        </w:rPr>
        <w:t>模块中，点击顶部步骤指示器的步骤圆圈时切换对应的内容面板。步骤圆圈：激活态蓝色(#2a5fe6)背景+白色数字，未激活态灰色(#e9ecf3)背景；步骤间以连接线串联。</w:t>
      </w:r>
    </w:p>
    <w:p w14:paraId="087A00BC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ascii="Arial" w:hAnsi="Arial" w:eastAsia="微软雅黑"/>
          <w:b/>
          <w:bCs/>
          <w:sz w:val="28"/>
          <w:szCs w:val="28"/>
        </w:rPr>
        <w:t>.3 Tab页签切换</w:t>
      </w:r>
    </w:p>
    <w:p w14:paraId="5C148845">
      <w:pPr>
        <w:spacing w:after="120"/>
      </w:pPr>
      <w:r>
        <w:rPr>
          <w:rFonts w:ascii="Arial" w:hAnsi="Arial" w:eastAsia="微软雅黑"/>
          <w:sz w:val="22"/>
          <w:szCs w:val="22"/>
        </w:rPr>
        <w:t>系统中多处使用Tab页签导航。点击Tab按钮切换内容面板。激活态：品牌蓝色(#2a5fe6)下划线(2.5px)+深色文字；非激活态：灰色文字+透明下划线。</w:t>
      </w:r>
    </w:p>
    <w:p w14:paraId="2E1E7120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ascii="Arial" w:hAnsi="Arial" w:eastAsia="微软雅黑"/>
          <w:b/>
          <w:bCs/>
          <w:sz w:val="28"/>
          <w:szCs w:val="28"/>
        </w:rPr>
        <w:t>.4 AI对话交互</w:t>
      </w:r>
    </w:p>
    <w:p w14:paraId="2A9DA30B">
      <w:pPr>
        <w:spacing w:after="120"/>
      </w:pPr>
      <w:r>
        <w:rPr>
          <w:rFonts w:ascii="Arial" w:hAnsi="Arial" w:eastAsia="微软雅黑"/>
          <w:sz w:val="22"/>
          <w:szCs w:val="22"/>
        </w:rPr>
        <w:t>AI对话界面中，用户在输入框描述需求并发送，AI响应后在对话列表展示分析/报告内容。支持快捷指令按钮一键触发常见分析需求。AI生成报告后以卡片形式在对话中展示报告预览，提供导出、下载、保存等操作。</w:t>
      </w:r>
    </w:p>
    <w:p w14:paraId="1CEE3F1F">
      <w:pPr>
        <w:pStyle w:val="3"/>
        <w:spacing w:before="250" w:after="160"/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ascii="Arial" w:hAnsi="Arial" w:eastAsia="微软雅黑"/>
          <w:b/>
          <w:bCs/>
          <w:sz w:val="28"/>
          <w:szCs w:val="28"/>
        </w:rPr>
        <w:t>.5 其他交互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3"/>
        <w:gridCol w:w="4613"/>
      </w:tblGrid>
      <w:tr w14:paraId="42FF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C95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交互元素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622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行为描述</w:t>
            </w:r>
          </w:p>
        </w:tc>
      </w:tr>
      <w:tr w14:paraId="4DA8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7777">
            <w:r>
              <w:rPr>
                <w:rFonts w:ascii="Arial" w:hAnsi="Arial" w:eastAsia="微软雅黑"/>
                <w:sz w:val="21"/>
                <w:szCs w:val="21"/>
              </w:rPr>
              <w:t>国资分类卡片悬停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E4B8">
            <w:r>
              <w:rPr>
                <w:rFonts w:ascii="Arial" w:hAnsi="Arial" w:eastAsia="微软雅黑"/>
                <w:sz w:val="21"/>
                <w:szCs w:val="21"/>
              </w:rPr>
              <w:t>卡片上移3px并加深阴影</w:t>
            </w:r>
          </w:p>
        </w:tc>
      </w:tr>
      <w:tr w14:paraId="4D7B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9224">
            <w:r>
              <w:rPr>
                <w:rFonts w:ascii="Arial" w:hAnsi="Arial" w:eastAsia="微软雅黑"/>
                <w:sz w:val="21"/>
                <w:szCs w:val="21"/>
              </w:rPr>
              <w:t>表格行悬停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2D0C">
            <w:r>
              <w:rPr>
                <w:rFonts w:ascii="Arial" w:hAnsi="Arial" w:eastAsia="微软雅黑"/>
                <w:sz w:val="21"/>
                <w:szCs w:val="21"/>
              </w:rPr>
              <w:t>行背景变为浅灰色(#f7f9fc)</w:t>
            </w:r>
          </w:p>
        </w:tc>
      </w:tr>
      <w:tr w14:paraId="028A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315C">
            <w:r>
              <w:rPr>
                <w:rFonts w:ascii="Arial" w:hAnsi="Arial" w:eastAsia="微软雅黑"/>
                <w:sz w:val="21"/>
                <w:szCs w:val="21"/>
              </w:rPr>
              <w:t>按钮悬停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4A22">
            <w:r>
              <w:rPr>
                <w:rFonts w:ascii="Arial" w:hAnsi="Arial" w:eastAsia="微软雅黑"/>
                <w:sz w:val="21"/>
                <w:szCs w:val="21"/>
              </w:rPr>
              <w:t>主按钮加深背景色和阴影</w:t>
            </w:r>
          </w:p>
        </w:tc>
      </w:tr>
      <w:tr w14:paraId="4303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E7ED">
            <w:r>
              <w:rPr>
                <w:rFonts w:ascii="Arial" w:hAnsi="Arial" w:eastAsia="微软雅黑"/>
                <w:sz w:val="21"/>
                <w:szCs w:val="21"/>
              </w:rPr>
              <w:t>上传区域悬停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3944">
            <w:r>
              <w:rPr>
                <w:rFonts w:ascii="Arial" w:hAnsi="Arial" w:eastAsia="微软雅黑"/>
                <w:sz w:val="21"/>
                <w:szCs w:val="21"/>
              </w:rPr>
              <w:t>边框变蓝色(#2a5fe6)，背景变浅蓝</w:t>
            </w:r>
          </w:p>
        </w:tc>
      </w:tr>
      <w:tr w14:paraId="2644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543A">
            <w:r>
              <w:rPr>
                <w:rFonts w:ascii="Arial" w:hAnsi="Arial" w:eastAsia="微软雅黑"/>
                <w:sz w:val="21"/>
                <w:szCs w:val="21"/>
              </w:rPr>
              <w:t>查询/重置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9BB5">
            <w:r>
              <w:rPr>
                <w:rFonts w:ascii="Arial" w:hAnsi="Arial" w:eastAsia="微软雅黑"/>
                <w:sz w:val="21"/>
                <w:szCs w:val="21"/>
              </w:rPr>
              <w:t>查询触发筛选，重置清空条件</w:t>
            </w:r>
          </w:p>
        </w:tc>
      </w:tr>
      <w:tr w14:paraId="3C17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A742">
            <w:r>
              <w:rPr>
                <w:rFonts w:ascii="Arial" w:hAnsi="Arial" w:eastAsia="微软雅黑"/>
                <w:sz w:val="21"/>
                <w:szCs w:val="21"/>
              </w:rPr>
              <w:t>分页切换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C789">
            <w:r>
              <w:rPr>
                <w:rFonts w:ascii="Arial" w:hAnsi="Arial" w:eastAsia="微软雅黑"/>
                <w:sz w:val="21"/>
                <w:szCs w:val="21"/>
              </w:rPr>
              <w:t>支持首页/上一页/下一页/末页跳转</w:t>
            </w:r>
          </w:p>
        </w:tc>
      </w:tr>
      <w:tr w14:paraId="4D33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31B3">
            <w:r>
              <w:rPr>
                <w:rFonts w:ascii="Arial" w:hAnsi="Arial" w:eastAsia="微软雅黑"/>
                <w:sz w:val="21"/>
                <w:szCs w:val="21"/>
              </w:rPr>
              <w:t>弹窗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E5ED">
            <w:r>
              <w:rPr>
                <w:rFonts w:ascii="Arial" w:hAnsi="Arial" w:eastAsia="微软雅黑"/>
                <w:sz w:val="21"/>
                <w:szCs w:val="21"/>
              </w:rPr>
              <w:t>表单弹窗含取消和确认，支持文件上传</w:t>
            </w:r>
          </w:p>
        </w:tc>
      </w:tr>
      <w:tr w14:paraId="7F7B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6F4D">
            <w:r>
              <w:rPr>
                <w:rFonts w:ascii="Arial" w:hAnsi="Arial" w:eastAsia="微软雅黑"/>
                <w:sz w:val="21"/>
                <w:szCs w:val="21"/>
              </w:rPr>
              <w:t>指标卡片切换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38C8">
            <w:r>
              <w:rPr>
                <w:rFonts w:ascii="Arial" w:hAnsi="Arial" w:eastAsia="微软雅黑"/>
                <w:sz w:val="21"/>
                <w:szCs w:val="21"/>
              </w:rPr>
              <w:t>选中高亮，未选中变灰</w:t>
            </w:r>
          </w:p>
        </w:tc>
      </w:tr>
      <w:tr w14:paraId="6C9C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35F9">
            <w:r>
              <w:rPr>
                <w:rFonts w:ascii="Arial" w:hAnsi="Arial" w:eastAsia="微软雅黑"/>
                <w:sz w:val="21"/>
                <w:szCs w:val="21"/>
              </w:rPr>
              <w:t>报告比对操作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2687">
            <w:r>
              <w:rPr>
                <w:rFonts w:ascii="Arial" w:hAnsi="Arial" w:eastAsia="微软雅黑"/>
                <w:sz w:val="21"/>
                <w:szCs w:val="21"/>
              </w:rPr>
              <w:t>逐条采纳/删除/修改差异内容</w:t>
            </w:r>
          </w:p>
        </w:tc>
      </w:tr>
    </w:tbl>
    <w:p w14:paraId="57066BA5">
      <w:pPr>
        <w:rPr>
          <w:rFonts w:ascii="Arial" w:hAnsi="Arial" w:eastAsia="微软雅黑"/>
          <w:b/>
          <w:bCs/>
          <w:sz w:val="32"/>
          <w:szCs w:val="32"/>
        </w:rPr>
      </w:pPr>
      <w:r>
        <w:rPr>
          <w:rFonts w:ascii="Arial" w:hAnsi="Arial" w:eastAsia="微软雅黑"/>
          <w:b/>
          <w:bCs/>
          <w:sz w:val="32"/>
          <w:szCs w:val="32"/>
        </w:rPr>
        <w:br w:type="page"/>
      </w:r>
    </w:p>
    <w:p w14:paraId="3D9E92A3">
      <w:pPr>
        <w:pStyle w:val="2"/>
        <w:spacing w:before="300" w:after="200"/>
      </w:pPr>
      <w:r>
        <w:rPr>
          <w:rFonts w:hint="eastAsia"/>
          <w:b/>
          <w:bCs/>
          <w:sz w:val="32"/>
          <w:szCs w:val="32"/>
          <w:lang w:val="en-US" w:eastAsia="zh-CN"/>
        </w:rPr>
        <w:t>四</w:t>
      </w:r>
      <w:r>
        <w:rPr>
          <w:rFonts w:ascii="Arial" w:hAnsi="Arial" w:eastAsia="微软雅黑"/>
          <w:b/>
          <w:bCs/>
          <w:sz w:val="32"/>
          <w:szCs w:val="32"/>
        </w:rPr>
        <w:t>、签字确认</w:t>
      </w:r>
    </w:p>
    <w:p w14:paraId="70F95A12">
      <w:pPr>
        <w:spacing w:before="600"/>
      </w:pPr>
    </w:p>
    <w:p w14:paraId="0F0147B3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甲方（需求方）确认</w:t>
      </w:r>
    </w:p>
    <w:p w14:paraId="3333A979">
      <w:pPr>
        <w:spacing w:before="200"/>
      </w:pPr>
    </w:p>
    <w:p w14:paraId="579FF989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负责人签字：                          </w:t>
      </w:r>
    </w:p>
    <w:p w14:paraId="6AE1C359">
      <w:pPr>
        <w:spacing w:before="200"/>
      </w:pPr>
    </w:p>
    <w:p w14:paraId="15E20730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日期：                                </w:t>
      </w:r>
    </w:p>
    <w:p w14:paraId="70F75494">
      <w:pPr>
        <w:spacing w:before="600"/>
      </w:pPr>
    </w:p>
    <w:p w14:paraId="06E9F72C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乙方（开发方）确认</w:t>
      </w:r>
    </w:p>
    <w:p w14:paraId="1EE9937A">
      <w:pPr>
        <w:spacing w:before="200"/>
      </w:pPr>
    </w:p>
    <w:p w14:paraId="56898267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负责人签字：                          </w:t>
      </w:r>
    </w:p>
    <w:p w14:paraId="6D1786AF">
      <w:pPr>
        <w:spacing w:before="200"/>
      </w:pPr>
    </w:p>
    <w:p w14:paraId="13315E12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日期：                                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C9DCF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C5D0DDF"/>
    <w:rsid w:val="0C8F0C13"/>
    <w:rsid w:val="0FF54858"/>
    <w:rsid w:val="1050722C"/>
    <w:rsid w:val="16430793"/>
    <w:rsid w:val="17CF299D"/>
    <w:rsid w:val="214A44E5"/>
    <w:rsid w:val="28B34192"/>
    <w:rsid w:val="2A587A65"/>
    <w:rsid w:val="2DF80608"/>
    <w:rsid w:val="2EDA79B1"/>
    <w:rsid w:val="3515212D"/>
    <w:rsid w:val="37D921E5"/>
    <w:rsid w:val="417250EA"/>
    <w:rsid w:val="42C02DCF"/>
    <w:rsid w:val="470D0DA4"/>
    <w:rsid w:val="49A12AC4"/>
    <w:rsid w:val="4B2D45CE"/>
    <w:rsid w:val="4D78603B"/>
    <w:rsid w:val="4EE33F7B"/>
    <w:rsid w:val="500949D5"/>
    <w:rsid w:val="519531C9"/>
    <w:rsid w:val="59AC7302"/>
    <w:rsid w:val="5E325597"/>
    <w:rsid w:val="625E13B5"/>
    <w:rsid w:val="72FA0C86"/>
    <w:rsid w:val="73B87FE8"/>
    <w:rsid w:val="75625949"/>
    <w:rsid w:val="76114FAD"/>
    <w:rsid w:val="7682047B"/>
    <w:rsid w:val="780543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/>
      <w:outlineLvl w:val="0"/>
    </w:pPr>
    <w:rPr>
      <w:rFonts w:ascii="Arial" w:hAnsi="Arial" w:eastAsia="微软雅黑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200"/>
      <w:outlineLvl w:val="1"/>
    </w:pPr>
    <w:rPr>
      <w:rFonts w:ascii="Arial" w:hAnsi="Arial" w:eastAsia="微软雅黑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20" w:after="160"/>
      <w:outlineLvl w:val="2"/>
    </w:pPr>
    <w:rPr>
      <w:rFonts w:ascii="Arial" w:hAnsi="Arial" w:eastAsia="微软雅黑" w:cs="Times New Roman"/>
      <w:b/>
      <w:bCs/>
      <w:sz w:val="24"/>
      <w:szCs w:val="24"/>
    </w:rPr>
  </w:style>
  <w:style w:type="paragraph" w:styleId="5">
    <w:name w:val="heading 4"/>
    <w:next w:val="1"/>
    <w:qFormat/>
    <w:uiPriority w:val="0"/>
    <w:pPr>
      <w:keepNext w:val="0"/>
      <w:keepLines w:val="0"/>
      <w:spacing w:before="160" w:after="120"/>
      <w:outlineLvl w:val="3"/>
    </w:pPr>
    <w:rPr>
      <w:rFonts w:ascii="Arial" w:hAnsi="Arial" w:eastAsia="微软雅黑" w:cs="Times New Roman"/>
      <w:b/>
      <w:bCs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="Times New Roman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="Times New Roman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="Times New Roman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4753</Words>
  <Characters>5009</Characters>
  <TotalTime>1</TotalTime>
  <ScaleCrop>false</ScaleCrop>
  <LinksUpToDate>false</LinksUpToDate>
  <CharactersWithSpaces>5158</CharactersWithSpaces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2026-06-22T12:25:00Z</dcterms:created>
  <dc:creator>Un-named</dc:creator>
  <cp:lastModifiedBy>goodlucksun</cp:lastModifiedBy>
  <dcterms:modified xsi:type="dcterms:W3CDTF">2026-06-30T06:23:58Z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eyJoZGlkIjoiMDRjNjAwMmFlODVmMmNjNTNlZjg3MDQ4ZGJlNzkxZGQiLCJ1c2VySWQiOiI1NTU3ODM4ODgifQ==</vt:lpwstr>
  </property>
  <property fmtid="{D5CDD505-2E9C-101B-9397-08002B2CF9AE}" pid="3" name="KSOProductBuildVer">
    <vt:lpwstr>2052-12.8.2.19823</vt:lpwstr>
  </property>
  <property fmtid="{D5CDD505-2E9C-101B-9397-08002B2CF9AE}" pid="4" name="ICV">
    <vt:lpwstr>5C81AE1DC9AA4CA991C4B01B26D4090C_12</vt:lpwstr>
  </property>
</Properties>
</file>