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7CD6422D"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roofErr w:type="spellStart"/>
      <w:r w:rsidRPr="00D23188">
        <w:rPr>
          <w:rFonts w:ascii="Times New Roman" w:hAnsi="Times New Roman" w:cs="Times New Roman"/>
          <w:kern w:val="1"/>
        </w:rPr>
        <w:t>Wonji</w:t>
      </w:r>
      <w:proofErr w:type="spellEnd"/>
      <w:r w:rsidRPr="00D23188">
        <w:rPr>
          <w:rFonts w:ascii="Times New Roman" w:hAnsi="Times New Roman" w:cs="Times New Roman"/>
          <w:kern w:val="1"/>
        </w:rPr>
        <w:t xml:space="preserve">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proofErr w:type="spellStart"/>
      <w:r w:rsidRPr="00D23188">
        <w:rPr>
          <w:rFonts w:ascii="Times New Roman" w:hAnsi="Times New Roman" w:cs="Times New Roman"/>
          <w:kern w:val="1"/>
        </w:rPr>
        <w:t>Sungho</w:t>
      </w:r>
      <w:proofErr w:type="spellEnd"/>
      <w:r w:rsidRPr="00D23188">
        <w:rPr>
          <w:rFonts w:ascii="Times New Roman" w:hAnsi="Times New Roman" w:cs="Times New Roman"/>
          <w:kern w:val="1"/>
        </w:rPr>
        <w:t xml:space="preserve"> Won</w:t>
      </w:r>
      <w:r w:rsidR="00DA2C5F">
        <w:rPr>
          <w:rFonts w:ascii="Times New Roman" w:hAnsi="Times New Roman" w:cs="Times New Roman"/>
          <w:kern w:val="1"/>
          <w:vertAlign w:val="superscript"/>
        </w:rPr>
        <w:t>3,4,5</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6A9360AD" w14:textId="56B5CE68" w:rsidR="003B4AB7" w:rsidRPr="00D23188" w:rsidRDefault="003B4AB7" w:rsidP="003B4AB7">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1</w:t>
      </w:r>
      <w:r w:rsidRPr="001E61F1">
        <w:rPr>
          <w:rFonts w:ascii="Times New Roman" w:hAnsi="Times New Roman" w:cs="Times New Roman"/>
          <w:kern w:val="1"/>
        </w:rPr>
        <w:t>Channing Division of Network Medicine, Department of Medicine, Brigham and Women’s Hospital and Harvard Medical School, Boston, MA, 02115, USA</w:t>
      </w:r>
    </w:p>
    <w:p w14:paraId="2718D30F" w14:textId="20358C91" w:rsidR="00DA2C5F" w:rsidRPr="00D23188"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2</w:t>
      </w: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Korea</w:t>
      </w:r>
    </w:p>
    <w:p w14:paraId="07443CEA" w14:textId="68E2C282" w:rsidR="003B4AB7" w:rsidRPr="00DA2C5F" w:rsidRDefault="00DA2C5F"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3</w:t>
      </w:r>
      <w:r w:rsidRPr="00DA2C5F">
        <w:rPr>
          <w:rFonts w:ascii="Times New Roman" w:hAnsi="Times New Roman" w:cs="Times New Roman"/>
          <w:kern w:val="1"/>
        </w:rPr>
        <w:t>Interdisciplinary Program of Bioinformatics, Seoul National University, Seoul, Korea</w:t>
      </w:r>
    </w:p>
    <w:p w14:paraId="4D21E1CE" w14:textId="77777777"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4</w:t>
      </w:r>
      <w:r w:rsidRPr="00DA2C5F">
        <w:rPr>
          <w:rFonts w:ascii="Times New Roman" w:hAnsi="Times New Roman" w:cs="Times New Roman"/>
          <w:kern w:val="1"/>
        </w:rPr>
        <w:t>Department of Public Health Sciences, Seoul National University, Seoul, Korea</w:t>
      </w:r>
    </w:p>
    <w:p w14:paraId="264AE663" w14:textId="27E07108"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5</w:t>
      </w:r>
      <w:r w:rsidRPr="00DA2C5F">
        <w:rPr>
          <w:rFonts w:ascii="Times New Roman" w:hAnsi="Times New Roman" w:cs="Times New Roman"/>
          <w:kern w:val="1"/>
        </w:rPr>
        <w:t>Institute of Health and Environment, Seoul National University, Seoul,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w:t>
      </w:r>
      <w:proofErr w:type="spellStart"/>
      <w:r w:rsidRPr="00D23188">
        <w:rPr>
          <w:rFonts w:ascii="Times New Roman" w:hAnsi="Times New Roman" w:cs="Times New Roman"/>
          <w:kern w:val="1"/>
        </w:rPr>
        <w:t>ro</w:t>
      </w:r>
      <w:proofErr w:type="spellEnd"/>
      <w:r w:rsidRPr="00D23188">
        <w:rPr>
          <w:rFonts w:ascii="Times New Roman" w:hAnsi="Times New Roman" w:cs="Times New Roman"/>
          <w:kern w:val="1"/>
        </w:rPr>
        <w:t xml:space="preserve"> 173 </w:t>
      </w:r>
      <w:proofErr w:type="spellStart"/>
      <w:r w:rsidRPr="00D23188">
        <w:rPr>
          <w:rFonts w:ascii="Times New Roman" w:hAnsi="Times New Roman" w:cs="Times New Roman"/>
          <w:kern w:val="1"/>
        </w:rPr>
        <w:t>Beon-gil</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Bundang-gu</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Gyeonggi</w:t>
      </w:r>
      <w:proofErr w:type="spellEnd"/>
      <w:r w:rsidRPr="00D23188">
        <w:rPr>
          <w:rFonts w:ascii="Times New Roman" w:hAnsi="Times New Roman" w:cs="Times New Roman"/>
          <w:kern w:val="1"/>
        </w:rPr>
        <w:t>,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lastRenderedPageBreak/>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61DC0B8E"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 </w:instrText>
      </w:r>
      <w:r w:rsidR="00AC7C37">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EN.CITE.DATA </w:instrText>
      </w:r>
      <w:r w:rsidR="00AC7C37">
        <w:rPr>
          <w:rFonts w:ascii="Times New Roman" w:hAnsi="Times New Roman" w:cs="Times New Roman"/>
          <w:kern w:val="0"/>
        </w:rPr>
      </w:r>
      <w:r w:rsidR="00AC7C37">
        <w:rPr>
          <w:rFonts w:ascii="Times New Roman" w:hAnsi="Times New Roman" w:cs="Times New Roman"/>
          <w:kern w:val="0"/>
        </w:rPr>
        <w:fldChar w:fldCharType="end"/>
      </w:r>
      <w:r w:rsidRPr="00D23188">
        <w:rPr>
          <w:rFonts w:ascii="Times New Roman" w:hAnsi="Times New Roman" w:cs="Times New Roman"/>
          <w:kern w:val="0"/>
        </w:rPr>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AC7C37">
        <w:rPr>
          <w:rFonts w:ascii="Times New Roman" w:eastAsia="AppleMyungjo" w:hAnsi="Times New Roman" w:cs="Times New Roman"/>
          <w:kern w:val="0"/>
        </w:rPr>
        <w:instrText xml:space="preserve"> ADDIN EN.CITE &lt;EndNote&gt;&lt;Cite&gt;&lt;Author&gt;Guttmacher&lt;/Author&gt;&lt;Year&gt;2004&lt;/Year&gt;&lt;RecNum&gt;2&lt;/RecNum&gt;&lt;DisplayText&gt;(2)&lt;/DisplayText&gt;&lt;record&gt;&lt;rec-number&gt;2&lt;/rec-number&gt;&lt;foreign-keys&gt;&lt;key app="EN" db-id="0wze0xpwtxp9wuewx2o5r5a3xp9wzsvfrswf" timestamp="1552543145"&gt;2&lt;/key&gt;&lt;/foreign-keys&gt;&lt;ref-type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71BA4E5E"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 xml:space="preserve">Seoul National University Hospital and Seoul National University </w:t>
      </w:r>
      <w:proofErr w:type="spellStart"/>
      <w:r w:rsidR="00614B6D" w:rsidRPr="00D23188">
        <w:rPr>
          <w:rFonts w:ascii="Times New Roman" w:eastAsia="AppleMyungjo" w:hAnsi="Times New Roman" w:cs="Times New Roman"/>
          <w:kern w:val="1"/>
        </w:rPr>
        <w:t>Bundang</w:t>
      </w:r>
      <w:proofErr w:type="spellEnd"/>
      <w:r w:rsidR="00614B6D" w:rsidRPr="00D23188">
        <w:rPr>
          <w:rFonts w:ascii="Times New Roman" w:eastAsia="AppleMyungjo" w:hAnsi="Times New Roman" w:cs="Times New Roman"/>
          <w:kern w:val="1"/>
        </w:rPr>
        <w:t xml:space="preserve"> Hospital. Pedigrees</w:t>
      </w:r>
      <w:r w:rsidR="00194F6C" w:rsidRPr="00D23188">
        <w:rPr>
          <w:rFonts w:ascii="Times New Roman" w:eastAsia="AppleMyungjo" w:hAnsi="Times New Roman" w:cs="Times New Roman"/>
          <w:kern w:val="1"/>
        </w:rPr>
        <w:t xml:space="preserve"> were excluded from analysis if proven to be familial </w:t>
      </w:r>
      <w:proofErr w:type="spellStart"/>
      <w:r w:rsidR="00194F6C" w:rsidRPr="00D23188">
        <w:rPr>
          <w:rFonts w:ascii="Times New Roman" w:eastAsia="AppleMyungjo" w:hAnsi="Times New Roman" w:cs="Times New Roman"/>
          <w:kern w:val="1"/>
        </w:rPr>
        <w:t>adenomatosis</w:t>
      </w:r>
      <w:proofErr w:type="spellEnd"/>
      <w:r w:rsidR="00194F6C" w:rsidRPr="00D23188">
        <w:rPr>
          <w:rFonts w:ascii="Times New Roman" w:eastAsia="AppleMyungjo" w:hAnsi="Times New Roman" w:cs="Times New Roman"/>
          <w:kern w:val="1"/>
        </w:rPr>
        <w:t xml:space="preserve"> polyposis (FAP) or Lynch syndrome.</w:t>
      </w:r>
    </w:p>
    <w:p w14:paraId="137BBFA4" w14:textId="16914DD1" w:rsidR="00E511B8" w:rsidRPr="00D23188" w:rsidRDefault="00614B6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56DDEEEA" w14:textId="52CE3F1A"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4D57A43B" w14:textId="196CD9EE" w:rsidR="00FE3D61" w:rsidRPr="00FE3D61" w:rsidRDefault="00FE3D61"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Pedigree trimming</w:t>
      </w:r>
    </w:p>
    <w:p w14:paraId="6607B2A8" w14:textId="1677F630" w:rsidR="00FE3D61" w:rsidRPr="00D23188" w:rsidRDefault="00FE3D61" w:rsidP="00FE3D6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To reduce the chance of recall bias and increase the integrity of the findings we included only first-degree relatives (FDR) in the analysis. This is due to previous reports where there was a significant difference in the accuracy of the memory according to the distance of the </w:t>
      </w:r>
      <w:r w:rsidRPr="00D23188">
        <w:rPr>
          <w:rFonts w:ascii="Times New Roman" w:eastAsia="AppleMyungjo" w:hAnsi="Times New Roman" w:cs="Times New Roman"/>
          <w:bCs/>
          <w:iCs/>
          <w:kern w:val="1"/>
        </w:rPr>
        <w:lastRenderedPageBreak/>
        <w:t xml:space="preserve">relative </w:t>
      </w:r>
      <w:r w:rsidRPr="00D23188">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(6, 7)</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 xml:space="preserve">. We also excluded pedigrees if the age onset was over 80 years due to belief that more influence of lifestyle and environmental factors were at hand for these probands </w:t>
      </w:r>
      <w:r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(8)</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w:t>
      </w:r>
    </w:p>
    <w:p w14:paraId="1481CE26" w14:textId="77777777" w:rsidR="00FE3D61" w:rsidRDefault="00FE3D61"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69338D4C" w14:textId="6E76D5DC" w:rsidR="00A56A1D"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
          <w:bCs/>
          <w:i/>
          <w:iCs/>
          <w:kern w:val="1"/>
        </w:rPr>
        <w:t>Estimating narrow</w:t>
      </w:r>
      <w:r w:rsidR="003830E1">
        <w:rPr>
          <w:rFonts w:ascii="Times New Roman" w:eastAsia="AppleMyungjo" w:hAnsi="Times New Roman" w:cs="Times New Roman"/>
          <w:b/>
          <w:bCs/>
          <w:i/>
          <w:iCs/>
          <w:kern w:val="1"/>
        </w:rPr>
        <w:t>-sense</w:t>
      </w:r>
      <w:r>
        <w:rPr>
          <w:rFonts w:ascii="Times New Roman" w:eastAsia="AppleMyungjo" w:hAnsi="Times New Roman" w:cs="Times New Roman"/>
          <w:b/>
          <w:bCs/>
          <w:i/>
          <w:iCs/>
          <w:kern w:val="1"/>
        </w:rPr>
        <w:t xml:space="preserve"> heritability of CRC in Korea population</w:t>
      </w:r>
    </w:p>
    <w:p w14:paraId="6B7B9D3C" w14:textId="2CB56633" w:rsidR="00C752DF" w:rsidRDefault="003830E1" w:rsidP="00915EB2">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Narrow-sense heritability of CRC was estimated using </w:t>
      </w:r>
      <w:r w:rsidR="00933E99">
        <w:rPr>
          <w:rFonts w:ascii="Times New Roman" w:eastAsia="AppleMyungjo" w:hAnsi="Times New Roman" w:cs="Times New Roman"/>
          <w:bCs/>
          <w:iCs/>
          <w:kern w:val="1"/>
        </w:rPr>
        <w:t>the</w:t>
      </w:r>
      <w:r w:rsidR="004610F9">
        <w:rPr>
          <w:rFonts w:ascii="Times New Roman" w:eastAsia="AppleMyungjo" w:hAnsi="Times New Roman" w:cs="Times New Roman"/>
          <w:bCs/>
          <w:iCs/>
          <w:kern w:val="1"/>
        </w:rPr>
        <w:t xml:space="preserve"> liability threshold </w:t>
      </w:r>
      <w:commentRangeStart w:id="0"/>
      <w:r w:rsidR="004610F9">
        <w:rPr>
          <w:rFonts w:ascii="Times New Roman" w:eastAsia="AppleMyungjo" w:hAnsi="Times New Roman" w:cs="Times New Roman"/>
          <w:bCs/>
          <w:iCs/>
          <w:kern w:val="1"/>
        </w:rPr>
        <w:t>model</w:t>
      </w:r>
      <w:commentRangeEnd w:id="0"/>
      <w:r w:rsidR="00753ADF">
        <w:rPr>
          <w:rStyle w:val="CommentReference"/>
        </w:rPr>
        <w:commentReference w:id="0"/>
      </w:r>
      <w:r w:rsidR="003D32FB">
        <w:rPr>
          <w:rFonts w:ascii="Times New Roman" w:eastAsia="AppleMyungjo" w:hAnsi="Times New Roman" w:cs="Times New Roman"/>
          <w:bCs/>
          <w:iCs/>
          <w:kern w:val="1"/>
        </w:rPr>
        <w:t>.</w:t>
      </w:r>
      <w:r w:rsidR="00C21D04">
        <w:rPr>
          <w:rFonts w:ascii="Times New Roman" w:eastAsia="AppleMyungjo" w:hAnsi="Times New Roman" w:cs="Times New Roman"/>
          <w:bCs/>
          <w:iCs/>
          <w:kern w:val="1"/>
        </w:rPr>
        <w:t xml:space="preserve"> </w:t>
      </w:r>
      <w:r w:rsidR="0054778A">
        <w:rPr>
          <w:rFonts w:ascii="Times New Roman" w:eastAsia="AppleMyungjo" w:hAnsi="Times New Roman" w:cs="Times New Roman"/>
          <w:bCs/>
          <w:iCs/>
          <w:kern w:val="1"/>
        </w:rPr>
        <w:t xml:space="preserve">Under the </w:t>
      </w:r>
      <w:r w:rsidR="00933E99">
        <w:rPr>
          <w:rFonts w:ascii="Times New Roman" w:eastAsia="AppleMyungjo" w:hAnsi="Times New Roman" w:cs="Times New Roman"/>
          <w:bCs/>
          <w:iCs/>
          <w:kern w:val="1"/>
        </w:rPr>
        <w:t>liability threshold model</w:t>
      </w:r>
      <w:r w:rsidR="0054778A">
        <w:rPr>
          <w:rFonts w:ascii="Times New Roman" w:eastAsia="AppleMyungjo" w:hAnsi="Times New Roman" w:cs="Times New Roman"/>
          <w:bCs/>
          <w:iCs/>
          <w:kern w:val="1"/>
        </w:rPr>
        <w:t>,</w:t>
      </w:r>
      <w:r w:rsidR="00012E1C">
        <w:rPr>
          <w:rFonts w:ascii="Times New Roman" w:eastAsia="AppleMyungjo" w:hAnsi="Times New Roman" w:cs="Times New Roman"/>
          <w:bCs/>
          <w:iCs/>
          <w:kern w:val="1"/>
        </w:rPr>
        <w:t xml:space="preserve"> </w:t>
      </w:r>
      <w:r w:rsidR="00221090">
        <w:rPr>
          <w:rFonts w:ascii="Times New Roman" w:eastAsia="AppleMyungjo" w:hAnsi="Times New Roman" w:cs="Times New Roman"/>
          <w:bCs/>
          <w:iCs/>
          <w:kern w:val="1"/>
        </w:rPr>
        <w:t xml:space="preserve">disease status is determined by </w:t>
      </w:r>
      <w:r w:rsidR="0054778A">
        <w:rPr>
          <w:rFonts w:ascii="Times New Roman" w:eastAsia="AppleMyungjo" w:hAnsi="Times New Roman" w:cs="Times New Roman"/>
          <w:bCs/>
          <w:iCs/>
          <w:kern w:val="1"/>
        </w:rPr>
        <w:t xml:space="preserve">both </w:t>
      </w:r>
      <w:r w:rsidR="00B41C0E">
        <w:rPr>
          <w:rFonts w:ascii="Times New Roman" w:eastAsia="AppleMyungjo" w:hAnsi="Times New Roman" w:cs="Times New Roman"/>
          <w:bCs/>
          <w:iCs/>
          <w:kern w:val="1"/>
        </w:rPr>
        <w:t xml:space="preserve">the </w:t>
      </w:r>
      <w:r w:rsidR="009B4047">
        <w:rPr>
          <w:rFonts w:ascii="Times New Roman" w:eastAsia="AppleMyungjo" w:hAnsi="Times New Roman" w:cs="Times New Roman"/>
          <w:bCs/>
          <w:iCs/>
          <w:kern w:val="1"/>
        </w:rPr>
        <w:t>unobserved</w:t>
      </w:r>
      <w:r w:rsidR="00B41C0E">
        <w:rPr>
          <w:rFonts w:ascii="Times New Roman" w:eastAsia="AppleMyungjo" w:hAnsi="Times New Roman" w:cs="Times New Roman"/>
          <w:bCs/>
          <w:iCs/>
          <w:kern w:val="1"/>
        </w:rPr>
        <w:t xml:space="preserve"> continuous liability score and </w:t>
      </w:r>
      <w:r w:rsidR="008609CD">
        <w:rPr>
          <w:rFonts w:ascii="Times New Roman" w:eastAsia="AppleMyungjo" w:hAnsi="Times New Roman" w:cs="Times New Roman"/>
          <w:bCs/>
          <w:iCs/>
          <w:kern w:val="1"/>
        </w:rPr>
        <w:t>the threshold underlying the disease</w:t>
      </w:r>
      <w:r w:rsidR="005624BF">
        <w:rPr>
          <w:rFonts w:ascii="Times New Roman" w:eastAsia="AppleMyungjo" w:hAnsi="Times New Roman" w:cs="Times New Roman"/>
          <w:bCs/>
          <w:iCs/>
          <w:kern w:val="1"/>
        </w:rPr>
        <w:t xml:space="preserve">. </w:t>
      </w:r>
      <w:r w:rsidR="00003596">
        <w:rPr>
          <w:rFonts w:ascii="Times New Roman" w:eastAsia="AppleMyungjo" w:hAnsi="Times New Roman" w:cs="Times New Roman"/>
          <w:bCs/>
          <w:iCs/>
          <w:kern w:val="1"/>
        </w:rPr>
        <w:t xml:space="preserve">The threshold can be </w:t>
      </w:r>
      <w:r w:rsidR="008D062F">
        <w:rPr>
          <w:rFonts w:ascii="Times New Roman" w:eastAsia="AppleMyungjo" w:hAnsi="Times New Roman" w:cs="Times New Roman"/>
          <w:bCs/>
          <w:iCs/>
          <w:kern w:val="1"/>
        </w:rPr>
        <w:t xml:space="preserve">calculated as </w:t>
      </w:r>
      <m:oMath>
        <m:sSup>
          <m:sSupPr>
            <m:ctrlPr>
              <w:rPr>
                <w:rFonts w:ascii="Cambria Math" w:eastAsia="AppleMyungjo" w:hAnsi="Cambria Math" w:cs="Times New Roman"/>
                <w:bCs/>
                <w:i/>
                <w:iCs/>
                <w:kern w:val="1"/>
              </w:rPr>
            </m:ctrlPr>
          </m:sSupPr>
          <m:e>
            <m:r>
              <m:rPr>
                <m:sty m:val="p"/>
              </m:rPr>
              <w:rPr>
                <w:rFonts w:ascii="Cambria Math" w:eastAsia="AppleMyungjo" w:hAnsi="Cambria Math" w:cs="Times New Roman"/>
                <w:kern w:val="1"/>
              </w:rPr>
              <m:t>Φ</m:t>
            </m:r>
            <m:ctrlPr>
              <w:rPr>
                <w:rFonts w:ascii="Cambria Math" w:eastAsia="AppleMyungjo" w:hAnsi="Cambria Math" w:cs="Times New Roman"/>
                <w:bCs/>
                <w:iCs/>
                <w:kern w:val="1"/>
              </w:rPr>
            </m:ctrlPr>
          </m:e>
          <m:sup>
            <m:r>
              <w:rPr>
                <w:rFonts w:ascii="Cambria Math" w:eastAsia="AppleMyungjo" w:hAnsi="Cambria Math" w:cs="Times New Roman"/>
                <w:kern w:val="1"/>
              </w:rPr>
              <m:t>-1</m:t>
            </m:r>
          </m:sup>
        </m:sSup>
        <m:d>
          <m:dPr>
            <m:ctrlPr>
              <w:rPr>
                <w:rFonts w:ascii="Cambria Math" w:eastAsia="AppleMyungjo" w:hAnsi="Cambria Math" w:cs="Times New Roman"/>
                <w:bCs/>
                <w:i/>
                <w:iCs/>
                <w:kern w:val="1"/>
              </w:rPr>
            </m:ctrlPr>
          </m:dPr>
          <m:e>
            <m:r>
              <w:rPr>
                <w:rFonts w:ascii="Cambria Math" w:eastAsia="AppleMyungjo" w:hAnsi="Cambria Math" w:cs="Times New Roman"/>
                <w:kern w:val="1"/>
              </w:rPr>
              <m:t>1-q</m:t>
            </m:r>
          </m:e>
        </m:d>
      </m:oMath>
      <w:r w:rsidR="008D062F">
        <w:rPr>
          <w:rFonts w:ascii="Times New Roman" w:eastAsia="AppleMyungjo" w:hAnsi="Times New Roman" w:cs="Times New Roman"/>
          <w:bCs/>
          <w:iCs/>
          <w:kern w:val="1"/>
        </w:rPr>
        <w:t xml:space="preserve"> where </w:t>
      </w:r>
      <m:oMath>
        <m:r>
          <m:rPr>
            <m:sty m:val="p"/>
          </m:rPr>
          <w:rPr>
            <w:rFonts w:ascii="Cambria Math" w:eastAsia="AppleMyungjo" w:hAnsi="Cambria Math" w:cs="Times New Roman"/>
            <w:kern w:val="1"/>
          </w:rPr>
          <m:t>Φ</m:t>
        </m:r>
        <m:d>
          <m:dPr>
            <m:ctrlPr>
              <w:rPr>
                <w:rFonts w:ascii="Cambria Math" w:eastAsia="AppleMyungjo" w:hAnsi="Cambria Math" w:cs="Times New Roman"/>
                <w:bCs/>
                <w:i/>
                <w:iCs/>
                <w:kern w:val="1"/>
              </w:rPr>
            </m:ctrlPr>
          </m:dPr>
          <m:e>
            <m:r>
              <w:rPr>
                <w:rFonts w:ascii="Cambria Math" w:eastAsia="AppleMyungjo" w:hAnsi="Cambria Math" w:cs="Times New Roman"/>
                <w:kern w:val="1"/>
              </w:rPr>
              <m:t>∙</m:t>
            </m:r>
          </m:e>
        </m:d>
      </m:oMath>
      <w:r w:rsidR="008D062F">
        <w:rPr>
          <w:rFonts w:ascii="Times New Roman" w:eastAsia="AppleMyungjo" w:hAnsi="Times New Roman" w:cs="Times New Roman"/>
          <w:bCs/>
          <w:iCs/>
          <w:kern w:val="1"/>
        </w:rPr>
        <w:t xml:space="preserve"> is the cumulative distribution function of standard normal and </w:t>
      </w:r>
      <m:oMath>
        <m:r>
          <w:rPr>
            <w:rFonts w:ascii="Cambria Math" w:eastAsia="AppleMyungjo" w:hAnsi="Cambria Math" w:cs="Times New Roman"/>
            <w:kern w:val="1"/>
          </w:rPr>
          <m:t>q</m:t>
        </m:r>
      </m:oMath>
      <w:r w:rsidR="008D062F">
        <w:rPr>
          <w:rFonts w:ascii="Times New Roman" w:eastAsia="AppleMyungjo" w:hAnsi="Times New Roman" w:cs="Times New Roman"/>
          <w:bCs/>
          <w:iCs/>
          <w:kern w:val="1"/>
        </w:rPr>
        <w:t xml:space="preserve"> is the prevalence of the disease. </w:t>
      </w:r>
      <w:r w:rsidR="005624BF">
        <w:rPr>
          <w:rFonts w:ascii="Times New Roman" w:eastAsia="AppleMyungjo" w:hAnsi="Times New Roman" w:cs="Times New Roman"/>
          <w:bCs/>
          <w:iCs/>
          <w:kern w:val="1"/>
        </w:rPr>
        <w:t>I</w:t>
      </w:r>
      <w:r w:rsidR="00FC02C0">
        <w:rPr>
          <w:rFonts w:ascii="Times New Roman" w:eastAsia="AppleMyungjo" w:hAnsi="Times New Roman" w:cs="Times New Roman"/>
          <w:bCs/>
          <w:iCs/>
          <w:kern w:val="1"/>
        </w:rPr>
        <w:t>ndividuals whose liability score is larger than the threshold are affected by the disease, otherwise they are not affected by the disease.</w:t>
      </w:r>
      <w:r w:rsidR="00681CDE">
        <w:rPr>
          <w:rFonts w:ascii="Times New Roman" w:eastAsia="AppleMyungjo" w:hAnsi="Times New Roman" w:cs="Times New Roman"/>
          <w:bCs/>
          <w:iCs/>
          <w:kern w:val="1"/>
        </w:rPr>
        <w:t xml:space="preserve"> </w:t>
      </w:r>
      <w:r w:rsidR="00FC02C0">
        <w:rPr>
          <w:rFonts w:ascii="Times New Roman" w:eastAsia="AppleMyungjo" w:hAnsi="Times New Roman" w:cs="Times New Roman"/>
          <w:bCs/>
          <w:iCs/>
          <w:kern w:val="1"/>
        </w:rPr>
        <w:t>The liability score</w:t>
      </w:r>
      <w:r w:rsidR="00E122DB">
        <w:rPr>
          <w:rFonts w:ascii="Times New Roman" w:eastAsia="AppleMyungjo" w:hAnsi="Times New Roman" w:cs="Times New Roman"/>
          <w:bCs/>
          <w:iCs/>
          <w:kern w:val="1"/>
        </w:rPr>
        <w:t xml:space="preserve">s are presumed </w:t>
      </w:r>
      <w:r w:rsidR="00156488">
        <w:rPr>
          <w:rFonts w:ascii="Times New Roman" w:eastAsia="AppleMyungjo" w:hAnsi="Times New Roman" w:cs="Times New Roman"/>
          <w:bCs/>
          <w:iCs/>
          <w:kern w:val="1"/>
        </w:rPr>
        <w:t xml:space="preserve">to be followed </w:t>
      </w:r>
      <w:r w:rsidR="008C7D7E">
        <w:rPr>
          <w:rFonts w:ascii="Times New Roman" w:eastAsia="AppleMyungjo" w:hAnsi="Times New Roman" w:cs="Times New Roman"/>
          <w:bCs/>
          <w:iCs/>
          <w:kern w:val="1"/>
        </w:rPr>
        <w:t xml:space="preserve">the </w:t>
      </w:r>
      <w:r w:rsidR="00156488">
        <w:rPr>
          <w:rFonts w:ascii="Times New Roman" w:eastAsia="AppleMyungjo" w:hAnsi="Times New Roman" w:cs="Times New Roman"/>
          <w:bCs/>
          <w:iCs/>
          <w:kern w:val="1"/>
        </w:rPr>
        <w:t>multivariate normal distribution</w:t>
      </w:r>
      <w:r w:rsidR="00450A4C">
        <w:rPr>
          <w:rFonts w:ascii="Times New Roman" w:eastAsia="AppleMyungjo" w:hAnsi="Times New Roman" w:cs="Times New Roman"/>
          <w:bCs/>
          <w:iCs/>
          <w:kern w:val="1"/>
        </w:rPr>
        <w:t xml:space="preserve"> with a variance-covariance matrix of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m:rPr>
                <m:sty m:val="bi"/>
              </m:rPr>
              <w:rPr>
                <w:rFonts w:ascii="Cambria Math" w:eastAsia="AppleMyungjo" w:hAnsi="Cambria Math" w:cs="Times New Roman"/>
                <w:kern w:val="1"/>
              </w:rPr>
              <m:t>2</m:t>
            </m:r>
          </m:sup>
        </m:sSup>
        <m:r>
          <m:rPr>
            <m:sty m:val="b"/>
          </m:rPr>
          <w:rPr>
            <w:rFonts w:ascii="Cambria Math" w:eastAsia="AppleMyungjo" w:hAnsi="Cambria Math" w:cs="Times New Roman"/>
            <w:kern w:val="1"/>
          </w:rPr>
          <m:t>Ψ</m:t>
        </m:r>
        <m:r>
          <w:rPr>
            <w:rFonts w:ascii="Cambria Math" w:eastAsia="AppleMyungjo" w:hAnsi="Cambria Math" w:cs="Times New Roman"/>
            <w:kern w:val="1"/>
          </w:rPr>
          <m:t>+</m:t>
        </m:r>
        <m:d>
          <m:dPr>
            <m:ctrlPr>
              <w:rPr>
                <w:rFonts w:ascii="Cambria Math" w:eastAsia="AppleMyungjo" w:hAnsi="Cambria Math" w:cs="Times New Roman"/>
                <w:bCs/>
                <w:i/>
                <w:iCs/>
                <w:kern w:val="1"/>
              </w:rPr>
            </m:ctrlPr>
          </m:dPr>
          <m:e>
            <m:r>
              <w:rPr>
                <w:rFonts w:ascii="Cambria Math" w:eastAsia="AppleMyungjo" w:hAnsi="Cambria Math" w:cs="Times New Roman"/>
                <w:kern w:val="1"/>
              </w:rPr>
              <m:t>1-</m:t>
            </m:r>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e>
        </m:d>
        <m:r>
          <m:rPr>
            <m:sty m:val="b"/>
          </m:rPr>
          <w:rPr>
            <w:rFonts w:ascii="Cambria Math" w:eastAsia="AppleMyungjo" w:hAnsi="Cambria Math" w:cs="Times New Roman"/>
            <w:kern w:val="1"/>
          </w:rPr>
          <m:t>I</m:t>
        </m:r>
      </m:oMath>
      <w:r w:rsidR="002C75B3">
        <w:rPr>
          <w:rFonts w:ascii="Times New Roman" w:eastAsia="AppleMyungjo" w:hAnsi="Times New Roman" w:cs="Times New Roman"/>
          <w:bCs/>
          <w:iCs/>
          <w:kern w:val="1"/>
        </w:rPr>
        <w:t xml:space="preserve"> where</w:t>
      </w:r>
      <w:r w:rsidR="00530AAE">
        <w:rPr>
          <w:rFonts w:ascii="Times New Roman" w:eastAsia="AppleMyungjo" w:hAnsi="Times New Roman" w:cs="Times New Roman"/>
          <w:bCs/>
          <w:iCs/>
          <w:kern w:val="1"/>
        </w:rPr>
        <w:t xml:space="preserve">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oMath>
      <w:r w:rsidR="00530AAE">
        <w:rPr>
          <w:rFonts w:ascii="Times New Roman" w:eastAsia="AppleMyungjo" w:hAnsi="Times New Roman" w:cs="Times New Roman"/>
          <w:bCs/>
          <w:iCs/>
          <w:kern w:val="1"/>
        </w:rPr>
        <w:t xml:space="preserve"> is a heritability, </w:t>
      </w:r>
      <m:oMath>
        <m:r>
          <m:rPr>
            <m:sty m:val="b"/>
          </m:rPr>
          <w:rPr>
            <w:rFonts w:ascii="Cambria Math" w:eastAsia="AppleMyungjo" w:hAnsi="Cambria Math" w:cs="Times New Roman"/>
            <w:kern w:val="1"/>
          </w:rPr>
          <m:t>Ψ</m:t>
        </m:r>
      </m:oMath>
      <w:r w:rsidR="00530AAE">
        <w:rPr>
          <w:rFonts w:ascii="Times New Roman" w:eastAsia="AppleMyungjo" w:hAnsi="Times New Roman" w:cs="Times New Roman"/>
          <w:b/>
          <w:bCs/>
          <w:iCs/>
          <w:kern w:val="1"/>
        </w:rPr>
        <w:t xml:space="preserve"> </w:t>
      </w:r>
      <w:r w:rsidR="00530AAE">
        <w:rPr>
          <w:rFonts w:ascii="Times New Roman" w:eastAsia="AppleMyungjo" w:hAnsi="Times New Roman" w:cs="Times New Roman"/>
          <w:bCs/>
          <w:iCs/>
          <w:kern w:val="1"/>
        </w:rPr>
        <w:t xml:space="preserve">is a kinship coefficient matrix multiplied by two </w:t>
      </w:r>
      <w:r w:rsidR="00652F13">
        <w:rPr>
          <w:rFonts w:ascii="Times New Roman" w:eastAsia="AppleMyungjo" w:hAnsi="Times New Roman" w:cs="Times New Roman"/>
          <w:bCs/>
          <w:iCs/>
          <w:kern w:val="1"/>
        </w:rPr>
        <w:t xml:space="preserve">and </w:t>
      </w:r>
      <m:oMath>
        <m:r>
          <m:rPr>
            <m:sty m:val="b"/>
          </m:rPr>
          <w:rPr>
            <w:rFonts w:ascii="Cambria Math" w:eastAsia="AppleMyungjo" w:hAnsi="Cambria Math" w:cs="Times New Roman"/>
            <w:kern w:val="1"/>
          </w:rPr>
          <m:t>I</m:t>
        </m:r>
      </m:oMath>
      <w:r w:rsidR="00652F13">
        <w:rPr>
          <w:rFonts w:ascii="Times New Roman" w:eastAsia="AppleMyungjo" w:hAnsi="Times New Roman" w:cs="Times New Roman"/>
          <w:b/>
          <w:bCs/>
          <w:iCs/>
          <w:kern w:val="1"/>
        </w:rPr>
        <w:t xml:space="preserve"> </w:t>
      </w:r>
      <w:r w:rsidR="00652F13">
        <w:rPr>
          <w:rFonts w:ascii="Times New Roman" w:eastAsia="AppleMyungjo" w:hAnsi="Times New Roman" w:cs="Times New Roman"/>
          <w:bCs/>
          <w:iCs/>
          <w:kern w:val="1"/>
        </w:rPr>
        <w:t>is an identity matrix.</w:t>
      </w:r>
      <w:r w:rsidR="002C75B3">
        <w:rPr>
          <w:rFonts w:ascii="Times New Roman" w:eastAsia="AppleMyungjo" w:hAnsi="Times New Roman" w:cs="Times New Roman"/>
          <w:bCs/>
          <w:iCs/>
          <w:kern w:val="1"/>
        </w:rPr>
        <w:t xml:space="preserve"> </w:t>
      </w:r>
      <w:r w:rsidR="001758CF">
        <w:rPr>
          <w:rFonts w:ascii="Times New Roman" w:eastAsia="AppleMyungjo" w:hAnsi="Times New Roman" w:cs="Times New Roman"/>
          <w:bCs/>
          <w:iCs/>
          <w:kern w:val="1"/>
        </w:rPr>
        <w:t xml:space="preserve">If </w:t>
      </w:r>
      <w:r w:rsidR="00655158">
        <w:rPr>
          <w:rFonts w:ascii="Times New Roman" w:eastAsia="AppleMyungjo" w:hAnsi="Times New Roman" w:cs="Times New Roman"/>
          <w:bCs/>
          <w:iCs/>
          <w:kern w:val="1"/>
        </w:rPr>
        <w:t xml:space="preserve">we </w:t>
      </w:r>
      <w:r w:rsidR="005B4DE5">
        <w:rPr>
          <w:rFonts w:ascii="Times New Roman" w:eastAsia="AppleMyungjo" w:hAnsi="Times New Roman" w:cs="Times New Roman"/>
          <w:bCs/>
          <w:iCs/>
          <w:kern w:val="1"/>
        </w:rPr>
        <w:t xml:space="preserve">denote the covariates as </w:t>
      </w:r>
      <m:oMath>
        <m:r>
          <m:rPr>
            <m:sty m:val="b"/>
          </m:rPr>
          <w:rPr>
            <w:rFonts w:ascii="Cambria Math" w:eastAsia="AppleMyungjo" w:hAnsi="Cambria Math" w:cs="Times New Roman"/>
            <w:kern w:val="1"/>
          </w:rPr>
          <m:t>X</m:t>
        </m:r>
      </m:oMath>
      <w:r w:rsidR="005B4DE5">
        <w:rPr>
          <w:rFonts w:ascii="Times New Roman" w:eastAsia="AppleMyungjo" w:hAnsi="Times New Roman" w:cs="Times New Roman"/>
          <w:bCs/>
          <w:iCs/>
          <w:kern w:val="1"/>
        </w:rPr>
        <w:t xml:space="preserve">, then </w:t>
      </w:r>
      <w:r w:rsidR="00DD63BA">
        <w:rPr>
          <w:rFonts w:ascii="Times New Roman" w:eastAsia="AppleMyungjo" w:hAnsi="Times New Roman" w:cs="Times New Roman"/>
          <w:bCs/>
          <w:iCs/>
          <w:kern w:val="1"/>
        </w:rPr>
        <w:t xml:space="preserve">the mean of the liability scores will be </w:t>
      </w:r>
      <m:oMath>
        <m:r>
          <m:rPr>
            <m:sty m:val="b"/>
          </m:rPr>
          <w:rPr>
            <w:rFonts w:ascii="Cambria Math" w:eastAsia="AppleMyungjo" w:hAnsi="Cambria Math" w:cs="Times New Roman"/>
            <w:kern w:val="1"/>
          </w:rPr>
          <m:t>Xβ</m:t>
        </m:r>
      </m:oMath>
      <w:r w:rsidR="00DD63BA">
        <w:rPr>
          <w:rFonts w:ascii="Times New Roman" w:eastAsia="AppleMyungjo" w:hAnsi="Times New Roman" w:cs="Times New Roman"/>
          <w:bCs/>
          <w:iCs/>
          <w:kern w:val="1"/>
        </w:rPr>
        <w:t xml:space="preserve">. In this study, we </w:t>
      </w:r>
      <w:r w:rsidR="006E3D12">
        <w:rPr>
          <w:rFonts w:ascii="Times New Roman" w:eastAsia="AppleMyungjo" w:hAnsi="Times New Roman" w:cs="Times New Roman"/>
          <w:bCs/>
          <w:iCs/>
          <w:kern w:val="1"/>
        </w:rPr>
        <w:t xml:space="preserve">included </w:t>
      </w:r>
      <w:r w:rsidR="00766271">
        <w:rPr>
          <w:rFonts w:ascii="Times New Roman" w:eastAsia="AppleMyungjo" w:hAnsi="Times New Roman" w:cs="Times New Roman"/>
          <w:bCs/>
          <w:iCs/>
          <w:kern w:val="1"/>
        </w:rPr>
        <w:t xml:space="preserve">the </w:t>
      </w:r>
      <w:r w:rsidR="009751EA">
        <w:rPr>
          <w:rFonts w:ascii="Times New Roman" w:eastAsia="AppleMyungjo" w:hAnsi="Times New Roman" w:cs="Times New Roman"/>
          <w:bCs/>
          <w:iCs/>
          <w:kern w:val="1"/>
        </w:rPr>
        <w:t xml:space="preserve">standardized </w:t>
      </w:r>
      <w:r w:rsidR="00766271">
        <w:rPr>
          <w:rFonts w:ascii="Times New Roman" w:eastAsia="AppleMyungjo" w:hAnsi="Times New Roman" w:cs="Times New Roman"/>
          <w:bCs/>
          <w:iCs/>
          <w:kern w:val="1"/>
        </w:rPr>
        <w:t>age</w:t>
      </w:r>
      <w:r w:rsidR="009751EA">
        <w:rPr>
          <w:rFonts w:ascii="Times New Roman" w:eastAsia="AppleMyungjo" w:hAnsi="Times New Roman" w:cs="Times New Roman"/>
          <w:bCs/>
          <w:iCs/>
          <w:kern w:val="1"/>
        </w:rPr>
        <w:t xml:space="preserve"> (mean=0, variance=1) </w:t>
      </w:r>
      <w:r w:rsidR="00766271">
        <w:rPr>
          <w:rFonts w:ascii="Times New Roman" w:eastAsia="AppleMyungjo" w:hAnsi="Times New Roman" w:cs="Times New Roman"/>
          <w:bCs/>
          <w:iCs/>
          <w:kern w:val="1"/>
        </w:rPr>
        <w:t>as a covariate</w:t>
      </w:r>
      <w:r w:rsidR="00780046">
        <w:rPr>
          <w:rFonts w:ascii="Times New Roman" w:eastAsia="AppleMyungjo" w:hAnsi="Times New Roman" w:cs="Times New Roman"/>
          <w:bCs/>
          <w:iCs/>
          <w:kern w:val="1"/>
        </w:rPr>
        <w:t xml:space="preserve">. </w:t>
      </w:r>
    </w:p>
    <w:p w14:paraId="4AD1EDE0" w14:textId="77777777" w:rsidR="00A56A1D" w:rsidRPr="00D23188"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234B1BA3" w:rsidR="00194F6C" w:rsidRPr="00D23188" w:rsidRDefault="00B41B13" w:rsidP="00194F6C">
      <w:pPr>
        <w:widowControl/>
        <w:wordWrap/>
        <w:autoSpaceDE w:val="0"/>
        <w:autoSpaceDN w:val="0"/>
        <w:adjustRightInd w:val="0"/>
        <w:spacing w:after="200" w:line="480" w:lineRule="auto"/>
        <w:rPr>
          <w:rFonts w:ascii="Times New Roman" w:hAnsi="Times New Roman" w:cs="Times New Roman"/>
          <w:b/>
          <w:bCs/>
          <w:i/>
          <w:iCs/>
          <w:kern w:val="1"/>
        </w:rPr>
      </w:pPr>
      <w:r>
        <w:rPr>
          <w:rFonts w:ascii="Times New Roman" w:hAnsi="Times New Roman" w:cs="Times New Roman"/>
          <w:b/>
          <w:bCs/>
          <w:i/>
          <w:iCs/>
          <w:kern w:val="1"/>
        </w:rPr>
        <w:t xml:space="preserve">Cox proportional </w:t>
      </w:r>
      <w:r w:rsidR="00A56A1D">
        <w:rPr>
          <w:rFonts w:ascii="Times New Roman" w:hAnsi="Times New Roman" w:cs="Times New Roman"/>
          <w:b/>
          <w:bCs/>
          <w:i/>
          <w:iCs/>
          <w:kern w:val="1"/>
        </w:rPr>
        <w:t>hazard</w:t>
      </w:r>
      <w:r>
        <w:rPr>
          <w:rFonts w:ascii="Times New Roman" w:hAnsi="Times New Roman" w:cs="Times New Roman"/>
          <w:b/>
          <w:bCs/>
          <w:i/>
          <w:iCs/>
          <w:kern w:val="1"/>
        </w:rPr>
        <w:t xml:space="preserve"> model</w:t>
      </w:r>
    </w:p>
    <w:p w14:paraId="1642D84C" w14:textId="2D7B4532"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w:t>
      </w:r>
      <w:r w:rsidR="00C5088F" w:rsidRPr="00D23188">
        <w:rPr>
          <w:rFonts w:ascii="Times New Roman" w:eastAsia="AppleMyungjo" w:hAnsi="Times New Roman" w:cs="Times New Roman"/>
          <w:bCs/>
          <w:iCs/>
          <w:kern w:val="1"/>
        </w:rPr>
        <w:lastRenderedPageBreak/>
        <w:t>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AC7C37">
        <w:rPr>
          <w:rFonts w:ascii="Times New Roman" w:hAnsi="Times New Roman" w:cs="Times New Roman"/>
          <w:bCs/>
          <w:iCs/>
          <w:kern w:val="1"/>
        </w:rPr>
        <w:instrText xml:space="preserve"> ADDIN EN.CITE &lt;EndNote&gt;&lt;Cite&gt;&lt;Author&gt;Therneau&lt;/Author&gt;&lt;Year&gt;2015&lt;/Year&gt;&lt;RecNum&gt;9&lt;/RecNum&gt;&lt;DisplayText&gt;(9)&lt;/DisplayText&gt;&lt;record&gt;&lt;rec-number&gt;9&lt;/rec-number&gt;&lt;foreign-keys&gt;&lt;key app="EN" db-id="0wze0xpwtxp9wuewx2o5r5a3xp9wzsvfrswf" timestamp="1552543146"&gt;9&lt;/key&gt;&lt;/foreign-keys&gt;&lt;ref-type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(9)</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0EC2ED75"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selection </w:t>
      </w:r>
      <w:r w:rsidR="004D44BD" w:rsidRPr="00D23188">
        <w:rPr>
          <w:rFonts w:ascii="Times New Roman" w:hAnsi="Times New Roman" w:cs="Times New Roman"/>
          <w:bCs/>
          <w:iCs/>
          <w:kern w:val="1"/>
        </w:rPr>
        <w:fldChar w:fldCharType="begin"/>
      </w:r>
      <w:r w:rsidR="00AC7C37">
        <w:rPr>
          <w:rFonts w:ascii="Times New Roman" w:hAnsi="Times New Roman" w:cs="Times New Roman"/>
          <w:bCs/>
          <w:iCs/>
          <w:kern w:val="1"/>
        </w:rPr>
        <w:instrText xml:space="preserve"> ADDIN EN.CITE &lt;EndNote&gt;&lt;Cite&gt;&lt;Author&gt;Bozdogan&lt;/Author&gt;&lt;Year&gt;1987&lt;/Year&gt;&lt;RecNum&gt;10&lt;/RecNum&gt;&lt;DisplayText&gt;(10)&lt;/DisplayText&gt;&lt;record&gt;&lt;rec-number&gt;10&lt;/rec-number&gt;&lt;foreign-keys&gt;&lt;key app="EN" db-id="0wze0xpwtxp9wuewx2o5r5a3xp9wzsvfrswf" timestamp="1552543146"&gt;10&lt;/key&gt;&lt;/foreign-keys&gt;&lt;ref-type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parameters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0F945F88"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lastRenderedPageBreak/>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76651F76" w14:textId="7DE7F47E" w:rsidR="00A96A24" w:rsidRPr="00A96A24" w:rsidRDefault="00A96A24"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Data collection</w:t>
      </w:r>
    </w:p>
    <w:p w14:paraId="690804C4" w14:textId="723E5F2C" w:rsidR="00194F6C"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w:t>
      </w:r>
      <w:r w:rsidR="003B5476" w:rsidRPr="00D23188">
        <w:rPr>
          <w:rFonts w:ascii="Times New Roman" w:eastAsia="AppleMyungjo" w:hAnsi="Times New Roman" w:cs="Times New Roman"/>
          <w:bCs/>
          <w:iCs/>
          <w:kern w:val="1"/>
        </w:rPr>
        <w:t xml:space="preserve"> </w:t>
      </w:r>
      <w:r w:rsidR="009014F2" w:rsidRPr="00D23188">
        <w:rPr>
          <w:rFonts w:ascii="Times New Roman" w:eastAsia="AppleMyungjo" w:hAnsi="Times New Roman" w:cs="Times New Roman"/>
          <w:bCs/>
          <w:iCs/>
          <w:kern w:val="1"/>
        </w:rPr>
        <w:t>The number of FDRs ranged from 2 to 17</w:t>
      </w:r>
      <w:r w:rsidR="001F2FA9">
        <w:rPr>
          <w:rFonts w:ascii="Times New Roman" w:eastAsia="AppleMyungjo" w:hAnsi="Times New Roman" w:cs="Times New Roman"/>
          <w:bCs/>
          <w:iCs/>
          <w:kern w:val="1"/>
        </w:rPr>
        <w:t xml:space="preserve"> and m</w:t>
      </w:r>
      <w:r w:rsidR="008544D6">
        <w:rPr>
          <w:rFonts w:ascii="Times New Roman" w:eastAsia="AppleMyungjo" w:hAnsi="Times New Roman" w:cs="Times New Roman"/>
          <w:bCs/>
          <w:iCs/>
          <w:kern w:val="1"/>
        </w:rPr>
        <w:t>ost of probands have no</w:t>
      </w:r>
      <w:r w:rsidR="00AA7C95">
        <w:rPr>
          <w:rFonts w:ascii="Times New Roman" w:eastAsia="AppleMyungjo" w:hAnsi="Times New Roman" w:cs="Times New Roman"/>
          <w:bCs/>
          <w:iCs/>
          <w:kern w:val="1"/>
        </w:rPr>
        <w:t xml:space="preserve"> affected FDR</w:t>
      </w:r>
      <w:r w:rsidR="001F2FA9">
        <w:rPr>
          <w:rFonts w:ascii="Times New Roman" w:eastAsia="AppleMyungjo" w:hAnsi="Times New Roman" w:cs="Times New Roman"/>
          <w:bCs/>
          <w:iCs/>
          <w:kern w:val="1"/>
        </w:rPr>
        <w:t xml:space="preserve"> (90.</w:t>
      </w:r>
      <w:r w:rsidR="001F2FA9" w:rsidRPr="001F2FA9">
        <w:rPr>
          <w:rFonts w:ascii="Times New Roman" w:eastAsia="AppleMyungjo" w:hAnsi="Times New Roman" w:cs="Times New Roman"/>
          <w:bCs/>
          <w:iCs/>
          <w:kern w:val="1"/>
        </w:rPr>
        <w:t>5%</w:t>
      </w:r>
      <w:r w:rsidR="001F2FA9">
        <w:rPr>
          <w:rFonts w:ascii="Times New Roman" w:eastAsia="AppleMyungjo" w:hAnsi="Times New Roman" w:cs="Times New Roman"/>
          <w:bCs/>
          <w:iCs/>
          <w:kern w:val="1"/>
        </w:rPr>
        <w:t xml:space="preserve">). </w:t>
      </w:r>
      <w:r w:rsidR="005E3F8A" w:rsidRPr="00D23188">
        <w:rPr>
          <w:rFonts w:ascii="Times New Roman" w:eastAsia="AppleMyungjo" w:hAnsi="Times New Roman" w:cs="Times New Roman"/>
          <w:bCs/>
          <w:iCs/>
          <w:kern w:val="1"/>
        </w:rPr>
        <w:t>A positive family history in the FDR was found in 9.5% (186/1,952) of the pedigrees.</w:t>
      </w:r>
      <w:r w:rsidR="001F2FA9" w:rsidRPr="00D23188">
        <w:rPr>
          <w:rFonts w:ascii="Times New Roman" w:eastAsia="AppleMyungjo" w:hAnsi="Times New Roman" w:cs="Times New Roman"/>
          <w:bCs/>
          <w:iCs/>
          <w:kern w:val="1"/>
        </w:rPr>
        <w:t xml:space="preserv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1935EF47" w14:textId="647AA182" w:rsidR="00A96A24" w:rsidRDefault="00A96A24"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4F92DCA1" w14:textId="00943EF5" w:rsidR="00AF7746" w:rsidRPr="00AF7746" w:rsidRDefault="00AF7746"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 xml:space="preserve">Heritability of Colorectal </w:t>
      </w:r>
      <w:r w:rsidR="00E447A1">
        <w:rPr>
          <w:rFonts w:ascii="Times New Roman" w:eastAsia="AppleMyungjo" w:hAnsi="Times New Roman" w:cs="Times New Roman"/>
          <w:b/>
          <w:bCs/>
          <w:i/>
          <w:iCs/>
          <w:kern w:val="1"/>
        </w:rPr>
        <w:t>c</w:t>
      </w:r>
      <w:r>
        <w:rPr>
          <w:rFonts w:ascii="Times New Roman" w:eastAsia="AppleMyungjo" w:hAnsi="Times New Roman" w:cs="Times New Roman"/>
          <w:b/>
          <w:bCs/>
          <w:i/>
          <w:iCs/>
          <w:kern w:val="1"/>
        </w:rPr>
        <w:t>ancer in Korean population</w:t>
      </w:r>
    </w:p>
    <w:p w14:paraId="57C0254E" w14:textId="355461D0" w:rsidR="00A96A24" w:rsidRDefault="00F37B42"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In 2015, t</w:t>
      </w:r>
      <w:r w:rsidR="00875825">
        <w:rPr>
          <w:rFonts w:ascii="Times New Roman" w:eastAsia="AppleMyungjo" w:hAnsi="Times New Roman" w:cs="Times New Roman"/>
          <w:bCs/>
          <w:iCs/>
          <w:kern w:val="1"/>
        </w:rPr>
        <w:t xml:space="preserve">he </w:t>
      </w:r>
      <w:r>
        <w:rPr>
          <w:rFonts w:ascii="Times New Roman" w:eastAsia="AppleMyungjo" w:hAnsi="Times New Roman" w:cs="Times New Roman"/>
          <w:bCs/>
          <w:iCs/>
          <w:kern w:val="1"/>
        </w:rPr>
        <w:t xml:space="preserve">age-standardized </w:t>
      </w:r>
      <w:r w:rsidR="00875825">
        <w:rPr>
          <w:rFonts w:ascii="Times New Roman" w:eastAsia="AppleMyungjo" w:hAnsi="Times New Roman" w:cs="Times New Roman"/>
          <w:bCs/>
          <w:iCs/>
          <w:kern w:val="1"/>
        </w:rPr>
        <w:t>prevalence of CRC</w:t>
      </w:r>
      <w:r>
        <w:rPr>
          <w:rFonts w:ascii="Times New Roman" w:eastAsia="AppleMyungjo" w:hAnsi="Times New Roman" w:cs="Times New Roman"/>
          <w:bCs/>
          <w:iCs/>
          <w:kern w:val="1"/>
        </w:rPr>
        <w:t xml:space="preserve"> was</w:t>
      </w:r>
      <w:r w:rsidR="0001328A">
        <w:rPr>
          <w:rFonts w:ascii="Times New Roman" w:eastAsia="AppleMyungjo" w:hAnsi="Times New Roman" w:cs="Times New Roman"/>
          <w:bCs/>
          <w:iCs/>
          <w:kern w:val="1"/>
        </w:rPr>
        <w:t xml:space="preserve"> reported as</w:t>
      </w:r>
      <w:r>
        <w:rPr>
          <w:rFonts w:ascii="Times New Roman" w:eastAsia="AppleMyungjo" w:hAnsi="Times New Roman" w:cs="Times New Roman"/>
          <w:bCs/>
          <w:iCs/>
          <w:kern w:val="1"/>
        </w:rPr>
        <w:t xml:space="preserve"> 0.248%</w:t>
      </w:r>
      <w:r w:rsidR="00CA0586">
        <w:rPr>
          <w:rFonts w:ascii="Times New Roman" w:eastAsia="AppleMyungjo" w:hAnsi="Times New Roman" w:cs="Times New Roman"/>
          <w:bCs/>
          <w:iCs/>
          <w:kern w:val="1"/>
        </w:rPr>
        <w:t xml:space="preserve"> </w:t>
      </w:r>
      <w:r w:rsidR="00223167">
        <w:rPr>
          <w:rFonts w:ascii="Times New Roman" w:eastAsia="AppleMyungjo" w:hAnsi="Times New Roman" w:cs="Times New Roman"/>
          <w:bCs/>
          <w:iCs/>
          <w:kern w:val="1"/>
        </w:rPr>
        <w:t xml:space="preserve">in Korea </w:t>
      </w:r>
      <w:r w:rsidR="00CA0586">
        <w:rPr>
          <w:rFonts w:ascii="Times New Roman" w:eastAsia="AppleMyungjo" w:hAnsi="Times New Roman" w:cs="Times New Roman"/>
          <w:bCs/>
          <w:iCs/>
          <w:kern w:val="1"/>
        </w:rPr>
        <w:t xml:space="preserve">and the threshold was </w:t>
      </w:r>
      <w:r w:rsidR="00B46E47">
        <w:rPr>
          <w:rFonts w:ascii="Times New Roman" w:eastAsia="AppleMyungjo" w:hAnsi="Times New Roman" w:cs="Times New Roman"/>
          <w:bCs/>
          <w:iCs/>
          <w:kern w:val="1"/>
        </w:rPr>
        <w:t>2.81 accordingly</w:t>
      </w:r>
      <w:r w:rsidR="00223167">
        <w:rPr>
          <w:rFonts w:ascii="Times New Roman" w:eastAsia="AppleMyungjo" w:hAnsi="Times New Roman" w:cs="Times New Roman"/>
          <w:bCs/>
          <w:iCs/>
          <w:kern w:val="1"/>
        </w:rPr>
        <w:t xml:space="preserve"> </w:t>
      </w:r>
      <w:r w:rsidR="00560073">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TnVtPjEyPC9SZWNOdW0+PERpc3BsYXlUZXh0PigxMSk8L0Rpc3BsYXlUZXh0PjxyZWNvcmQ+PHJl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==
</w:fldData>
        </w:fldChar>
      </w:r>
      <w:r w:rsidR="00560073">
        <w:rPr>
          <w:rFonts w:ascii="Times New Roman" w:eastAsia="AppleMyungjo" w:hAnsi="Times New Roman" w:cs="Times New Roman"/>
          <w:bCs/>
          <w:iCs/>
          <w:kern w:val="1"/>
        </w:rPr>
        <w:instrText xml:space="preserve"> ADDIN EN.CITE </w:instrText>
      </w:r>
      <w:r w:rsidR="00560073">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TnVtPjEyPC9SZWNOdW0+PERpc3BsYXlUZXh0PigxMSk8L0Rpc3BsYXlUZXh0PjxyZWNvcmQ+PHJl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==
</w:fldData>
        </w:fldChar>
      </w:r>
      <w:r w:rsidR="00560073">
        <w:rPr>
          <w:rFonts w:ascii="Times New Roman" w:eastAsia="AppleMyungjo" w:hAnsi="Times New Roman" w:cs="Times New Roman"/>
          <w:bCs/>
          <w:iCs/>
          <w:kern w:val="1"/>
        </w:rPr>
        <w:instrText xml:space="preserve"> ADDIN EN.CITE.DATA </w:instrText>
      </w:r>
      <w:r w:rsidR="00560073">
        <w:rPr>
          <w:rFonts w:ascii="Times New Roman" w:eastAsia="AppleMyungjo" w:hAnsi="Times New Roman" w:cs="Times New Roman"/>
          <w:bCs/>
          <w:iCs/>
          <w:kern w:val="1"/>
        </w:rPr>
      </w:r>
      <w:r w:rsidR="00560073">
        <w:rPr>
          <w:rFonts w:ascii="Times New Roman" w:eastAsia="AppleMyungjo" w:hAnsi="Times New Roman" w:cs="Times New Roman"/>
          <w:bCs/>
          <w:iCs/>
          <w:kern w:val="1"/>
        </w:rPr>
        <w:fldChar w:fldCharType="end"/>
      </w:r>
      <w:r w:rsidR="00560073">
        <w:rPr>
          <w:rFonts w:ascii="Times New Roman" w:eastAsia="AppleMyungjo" w:hAnsi="Times New Roman" w:cs="Times New Roman"/>
          <w:bCs/>
          <w:iCs/>
          <w:kern w:val="1"/>
        </w:rPr>
        <w:fldChar w:fldCharType="separate"/>
      </w:r>
      <w:r w:rsidR="00560073">
        <w:rPr>
          <w:rFonts w:ascii="Times New Roman" w:eastAsia="AppleMyungjo" w:hAnsi="Times New Roman" w:cs="Times New Roman"/>
          <w:bCs/>
          <w:iCs/>
          <w:noProof/>
          <w:kern w:val="1"/>
        </w:rPr>
        <w:t>(11)</w:t>
      </w:r>
      <w:r w:rsidR="00560073">
        <w:rPr>
          <w:rFonts w:ascii="Times New Roman" w:eastAsia="AppleMyungjo" w:hAnsi="Times New Roman" w:cs="Times New Roman"/>
          <w:bCs/>
          <w:iCs/>
          <w:kern w:val="1"/>
        </w:rPr>
        <w:fldChar w:fldCharType="end"/>
      </w:r>
      <w:r w:rsidR="00B46E47">
        <w:rPr>
          <w:rFonts w:ascii="Times New Roman" w:eastAsia="AppleMyungjo" w:hAnsi="Times New Roman" w:cs="Times New Roman"/>
          <w:bCs/>
          <w:iCs/>
          <w:kern w:val="1"/>
        </w:rPr>
        <w:t>.</w:t>
      </w:r>
      <w:r w:rsidR="00980B88">
        <w:rPr>
          <w:rFonts w:ascii="Times New Roman" w:eastAsia="AppleMyungjo" w:hAnsi="Times New Roman" w:cs="Times New Roman"/>
          <w:bCs/>
          <w:iCs/>
          <w:kern w:val="1"/>
        </w:rPr>
        <w:t xml:space="preserve"> Estimated </w:t>
      </w:r>
      <w:proofErr w:type="spellStart"/>
      <w:r w:rsidR="00980B88">
        <w:rPr>
          <w:rFonts w:ascii="Times New Roman" w:eastAsia="AppleMyungjo" w:hAnsi="Times New Roman" w:cs="Times New Roman"/>
          <w:bCs/>
          <w:iCs/>
          <w:kern w:val="1"/>
        </w:rPr>
        <w:t>hertiabiltiy</w:t>
      </w:r>
      <w:proofErr w:type="spellEnd"/>
      <w:r w:rsidR="00980B88">
        <w:rPr>
          <w:rFonts w:ascii="Times New Roman" w:eastAsia="AppleMyungjo" w:hAnsi="Times New Roman" w:cs="Times New Roman"/>
          <w:bCs/>
          <w:iCs/>
          <w:kern w:val="1"/>
        </w:rPr>
        <w:t xml:space="preserve"> of CRC was 40.21%</w:t>
      </w:r>
      <w:r w:rsidR="00560073">
        <w:rPr>
          <w:rFonts w:ascii="Times New Roman" w:eastAsia="AppleMyungjo" w:hAnsi="Times New Roman" w:cs="Times New Roman"/>
          <w:bCs/>
          <w:iCs/>
          <w:kern w:val="1"/>
        </w:rPr>
        <w:t xml:space="preserve"> (P-value </w:t>
      </w:r>
      <w:proofErr w:type="gramStart"/>
      <w:r w:rsidR="00560073">
        <w:rPr>
          <w:rFonts w:ascii="Times New Roman" w:eastAsia="AppleMyungjo" w:hAnsi="Times New Roman" w:cs="Times New Roman"/>
          <w:bCs/>
          <w:iCs/>
          <w:kern w:val="1"/>
        </w:rPr>
        <w:t>= )</w:t>
      </w:r>
      <w:proofErr w:type="gramEnd"/>
      <w:r w:rsidR="00560073">
        <w:rPr>
          <w:rFonts w:ascii="Times New Roman" w:eastAsia="AppleMyungjo" w:hAnsi="Times New Roman" w:cs="Times New Roman"/>
          <w:bCs/>
          <w:iCs/>
          <w:kern w:val="1"/>
        </w:rPr>
        <w:t xml:space="preserve">. The coefficient </w:t>
      </w:r>
      <w:proofErr w:type="gramStart"/>
      <w:r w:rsidR="00560073">
        <w:rPr>
          <w:rFonts w:ascii="Times New Roman" w:eastAsia="AppleMyungjo" w:hAnsi="Times New Roman" w:cs="Times New Roman"/>
          <w:bCs/>
          <w:iCs/>
          <w:kern w:val="1"/>
        </w:rPr>
        <w:t>estimate</w:t>
      </w:r>
      <w:proofErr w:type="gramEnd"/>
      <w:r w:rsidR="00560073">
        <w:rPr>
          <w:rFonts w:ascii="Times New Roman" w:eastAsia="AppleMyungjo" w:hAnsi="Times New Roman" w:cs="Times New Roman"/>
          <w:bCs/>
          <w:iCs/>
          <w:kern w:val="1"/>
        </w:rPr>
        <w:t xml:space="preserve"> </w:t>
      </w:r>
    </w:p>
    <w:p w14:paraId="5275BBD2" w14:textId="09B34BB2" w:rsidR="00FB7F7B"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3E6BAE6D" w14:textId="440F5F5E" w:rsidR="00FB7F7B"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1E1760AC" w14:textId="7787C58D" w:rsidR="00FB7F7B" w:rsidRDefault="00FB7F7B" w:rsidP="00FB7F7B">
      <w:pPr>
        <w:widowControl/>
        <w:wordWrap/>
        <w:spacing w:line="480" w:lineRule="auto"/>
        <w:ind w:firstLine="720"/>
        <w:jc w:val="left"/>
        <w:rPr>
          <w:rFonts w:ascii="Times New Roman" w:hAnsi="Times New Roman" w:cs="Times New Roman"/>
        </w:rPr>
      </w:pPr>
      <w:r>
        <w:rPr>
          <w:rFonts w:ascii="Times New Roman" w:hAnsi="Times New Roman" w:cs="Times New Roman"/>
        </w:rPr>
        <w:t xml:space="preserve">LTMH was used to examine the family-based samples derived from the </w:t>
      </w:r>
      <w:r>
        <w:rPr>
          <w:rFonts w:ascii="Times New Roman" w:hAnsi="Times New Roman" w:cs="Times New Roman" w:hint="eastAsia"/>
        </w:rPr>
        <w:t>T2D dataset</w:t>
      </w:r>
      <w:r>
        <w:rPr>
          <w:rFonts w:ascii="Times New Roman" w:hAnsi="Times New Roman" w:cs="Times New Roman"/>
        </w:rPr>
        <w:t xml:space="preserve">, and </w:t>
      </w:r>
      <w:r w:rsidRPr="0052436D">
        <w:rPr>
          <w:rFonts w:ascii="Times New Roman" w:hAnsi="Times New Roman" w:cs="Times New Roman" w:hint="eastAsia"/>
        </w:rPr>
        <w:t>heritabilit</w:t>
      </w:r>
      <w:r>
        <w:rPr>
          <w:rFonts w:ascii="Times New Roman" w:hAnsi="Times New Roman" w:cs="Times New Roman" w:hint="eastAsia"/>
        </w:rPr>
        <w:t>y</w:t>
      </w:r>
      <w:r w:rsidRPr="0052436D">
        <w:rPr>
          <w:rFonts w:ascii="Times New Roman" w:hAnsi="Times New Roman" w:cs="Times New Roman" w:hint="eastAsia"/>
        </w:rPr>
        <w:t xml:space="preserve"> of T2D </w:t>
      </w:r>
      <w:r>
        <w:rPr>
          <w:rFonts w:ascii="Times New Roman" w:hAnsi="Times New Roman" w:cs="Times New Roman" w:hint="eastAsia"/>
        </w:rPr>
        <w:t>was</w:t>
      </w:r>
      <w:r>
        <w:rPr>
          <w:rFonts w:ascii="Times New Roman" w:hAnsi="Times New Roman" w:cs="Times New Roman"/>
        </w:rPr>
        <w:t xml:space="preserve"> estimated</w:t>
      </w:r>
      <w:r w:rsidRPr="0052436D">
        <w:rPr>
          <w:rFonts w:ascii="Times New Roman" w:hAnsi="Times New Roman" w:cs="Times New Roman" w:hint="eastAsia"/>
        </w:rPr>
        <w:t xml:space="preserve">. </w:t>
      </w:r>
      <w:r>
        <w:rPr>
          <w:rFonts w:ascii="Times New Roman" w:hAnsi="Times New Roman" w:cs="Times New Roman"/>
        </w:rPr>
        <w:t>Estimated heritability of T2D was</w:t>
      </w:r>
      <w:r w:rsidRPr="0052436D">
        <w:rPr>
          <w:rFonts w:ascii="Times New Roman" w:hAnsi="Times New Roman" w:cs="Times New Roman" w:hint="eastAsia"/>
        </w:rPr>
        <w:t xml:space="preserve"> 29.44%</w:t>
      </w:r>
      <w:r>
        <w:rPr>
          <w:rFonts w:ascii="Times New Roman" w:hAnsi="Times New Roman" w:cs="Times New Roman"/>
        </w:rPr>
        <w:t>, and it</w:t>
      </w:r>
      <w:r>
        <w:rPr>
          <w:rFonts w:ascii="Times New Roman" w:hAnsi="Times New Roman" w:cs="Times New Roman" w:hint="eastAsia"/>
        </w:rPr>
        <w:t xml:space="preserve"> was statistically significant under the significance level of 0.05</w:t>
      </w:r>
      <w:r>
        <w:rPr>
          <w:rFonts w:ascii="Times New Roman" w:hAnsi="Times New Roman" w:cs="Times New Roman"/>
        </w:rPr>
        <w:t xml:space="preserve"> (P-value = 1.20</w:t>
      </w:r>
      <m:oMath>
        <m:r>
          <m:rPr>
            <m:sty m:val="p"/>
          </m:rPr>
          <w:rPr>
            <w:rFonts w:ascii="Cambria Math" w:hAnsi="Cambria Math" w:cs="Times New Roman"/>
          </w:rPr>
          <m:t>×</m:t>
        </m:r>
      </m:oMath>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sidRPr="0052436D">
        <w:rPr>
          <w:rFonts w:ascii="Times New Roman" w:hAnsi="Times New Roman" w:cs="Times New Roman" w:hint="eastAsia"/>
        </w:rPr>
        <w:t xml:space="preserve">his </w:t>
      </w:r>
      <w:r>
        <w:rPr>
          <w:rFonts w:ascii="Times New Roman" w:hAnsi="Times New Roman" w:cs="Times New Roman"/>
        </w:rPr>
        <w:t>finding</w:t>
      </w:r>
      <w:r w:rsidRPr="0052436D">
        <w:rPr>
          <w:rFonts w:ascii="Times New Roman" w:hAnsi="Times New Roman" w:cs="Times New Roman" w:hint="eastAsia"/>
        </w:rPr>
        <w:t xml:space="preserve"> </w:t>
      </w:r>
      <w:r>
        <w:rPr>
          <w:rFonts w:ascii="Times New Roman" w:hAnsi="Times New Roman" w:cs="Times New Roman"/>
        </w:rPr>
        <w:t>is</w:t>
      </w:r>
      <w:r>
        <w:rPr>
          <w:rFonts w:ascii="Times New Roman" w:hAnsi="Times New Roman" w:cs="Times New Roman" w:hint="eastAsia"/>
        </w:rPr>
        <w:t xml:space="preserve"> slightly overestimated in comparison to </w:t>
      </w:r>
      <w:r>
        <w:rPr>
          <w:rFonts w:ascii="Times New Roman" w:hAnsi="Times New Roman" w:cs="Times New Roman"/>
        </w:rPr>
        <w:t xml:space="preserve">other determinations of </w:t>
      </w:r>
      <w:r>
        <w:rPr>
          <w:rFonts w:ascii="Times New Roman" w:hAnsi="Times New Roman" w:cs="Times New Roman" w:hint="eastAsia"/>
        </w:rPr>
        <w:t xml:space="preserve">heritability estimates </w:t>
      </w:r>
      <w:r>
        <w:rPr>
          <w:rFonts w:ascii="Times New Roman" w:hAnsi="Times New Roman" w:cs="Times New Roman"/>
        </w:rPr>
        <w:t>for</w:t>
      </w:r>
      <w:r>
        <w:rPr>
          <w:rFonts w:ascii="Times New Roman" w:hAnsi="Times New Roman" w:cs="Times New Roman" w:hint="eastAsia"/>
        </w:rPr>
        <w:t xml:space="preserve"> T2D (26%) using </w:t>
      </w:r>
      <w:r>
        <w:rPr>
          <w:rFonts w:ascii="Times New Roman" w:hAnsi="Times New Roman" w:cs="Times New Roman"/>
        </w:rPr>
        <w:t xml:space="preserve">the </w:t>
      </w:r>
      <w:r>
        <w:rPr>
          <w:rFonts w:ascii="Times New Roman" w:hAnsi="Times New Roman" w:cs="Times New Roman" w:hint="eastAsia"/>
        </w:rPr>
        <w:t xml:space="preserve">ACE model based on twin data </w:t>
      </w:r>
      <w:r>
        <w:rPr>
          <w:rFonts w:ascii="Times New Roman" w:hAnsi="Times New Roman" w:cs="Times New Roman"/>
        </w:rPr>
        <w:fldChar w:fldCharType="begin"/>
      </w:r>
      <w:r w:rsidR="00560073">
        <w:rPr>
          <w:rFonts w:ascii="Times New Roman" w:hAnsi="Times New Roman" w:cs="Times New Roman"/>
        </w:rPr>
        <w:instrText xml:space="preserve"> ADDIN EN.CITE &lt;EndNote&gt;&lt;Cite&gt;&lt;Author&gt;Poulsen&lt;/Author&gt;&lt;Year&gt;1999&lt;/Year&gt;&lt;RecNum&gt;63&lt;/RecNum&gt;&lt;DisplayText&gt;(12)&lt;/DisplayText&gt;&lt;record&gt;&lt;rec-number&gt;63&lt;/rec-number&gt;&lt;foreign-keys&gt;&lt;key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Pr>
          <w:rFonts w:ascii="Times New Roman" w:hAnsi="Times New Roman" w:cs="Times New Roman"/>
        </w:rPr>
        <w:fldChar w:fldCharType="separate"/>
      </w:r>
      <w:r w:rsidR="00560073">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hint="eastAsia"/>
        </w:rPr>
        <w:t xml:space="preserve">. This difference </w:t>
      </w:r>
      <w:r>
        <w:rPr>
          <w:rFonts w:ascii="Times New Roman" w:hAnsi="Times New Roman" w:cs="Times New Roman" w:hint="eastAsia"/>
        </w:rPr>
        <w:lastRenderedPageBreak/>
        <w:t>may be attributable to racial differences</w:t>
      </w:r>
      <w:r>
        <w:rPr>
          <w:rFonts w:ascii="Times New Roman" w:hAnsi="Times New Roman" w:cs="Times New Roman"/>
        </w:rPr>
        <w:t>. The coefficient estimate for non-</w:t>
      </w:r>
      <w:r w:rsidRPr="00B42764">
        <w:rPr>
          <w:rFonts w:ascii="Times New Roman" w:hAnsi="Times New Roman" w:cs="Times New Roman" w:hint="eastAsia"/>
        </w:rPr>
        <w:t xml:space="preserve">standardized age </w:t>
      </w:r>
      <w:r>
        <w:rPr>
          <w:rFonts w:ascii="Times New Roman" w:hAnsi="Times New Roman" w:cs="Times New Roman"/>
        </w:rPr>
        <w:t>was</w:t>
      </w:r>
      <w:r w:rsidRPr="00B42764">
        <w:rPr>
          <w:rFonts w:ascii="Times New Roman" w:hAnsi="Times New Roman" w:cs="Times New Roman" w:hint="eastAsia"/>
        </w:rPr>
        <w:t xml:space="preserve"> 0.051</w:t>
      </w:r>
      <w:r>
        <w:rPr>
          <w:rFonts w:ascii="Times New Roman" w:hAnsi="Times New Roman" w:cs="Times New Roman" w:hint="eastAsia"/>
        </w:rPr>
        <w:t xml:space="preserve"> (0.8 for standardized age)</w:t>
      </w:r>
      <w:r>
        <w:rPr>
          <w:rFonts w:ascii="Times New Roman" w:hAnsi="Times New Roman" w:cs="Times New Roman"/>
        </w:rPr>
        <w:t xml:space="preserve">, </w:t>
      </w:r>
      <w:r w:rsidRPr="00B42764">
        <w:rPr>
          <w:rFonts w:ascii="Times New Roman" w:hAnsi="Times New Roman" w:cs="Times New Roman" w:hint="eastAsia"/>
        </w:rPr>
        <w:t xml:space="preserve">which means that </w:t>
      </w:r>
      <w:r>
        <w:rPr>
          <w:rFonts w:ascii="Times New Roman" w:hAnsi="Times New Roman" w:cs="Times New Roman" w:hint="eastAsia"/>
        </w:rPr>
        <w:t xml:space="preserve">the </w:t>
      </w:r>
      <w:r w:rsidRPr="00B42764">
        <w:rPr>
          <w:rFonts w:ascii="Times New Roman" w:hAnsi="Times New Roman" w:cs="Times New Roman" w:hint="eastAsia"/>
        </w:rPr>
        <w:t xml:space="preserve">threshold </w:t>
      </w:r>
      <w:r>
        <w:rPr>
          <w:rFonts w:ascii="Times New Roman" w:hAnsi="Times New Roman" w:cs="Times New Roman"/>
        </w:rPr>
        <w:t>for</w:t>
      </w:r>
      <w:r>
        <w:rPr>
          <w:rFonts w:ascii="Times New Roman" w:hAnsi="Times New Roman" w:cs="Times New Roman" w:hint="eastAsia"/>
        </w:rPr>
        <w:t xml:space="preserve"> </w:t>
      </w:r>
      <w:r>
        <w:rPr>
          <w:rFonts w:ascii="Times New Roman" w:hAnsi="Times New Roman" w:cs="Times New Roman"/>
        </w:rPr>
        <w:t xml:space="preserve">disease </w:t>
      </w:r>
      <w:r w:rsidRPr="00B42764">
        <w:rPr>
          <w:rFonts w:ascii="Times New Roman" w:hAnsi="Times New Roman" w:cs="Times New Roman" w:hint="eastAsia"/>
        </w:rPr>
        <w:t xml:space="preserve">is reduced by 0.051 </w:t>
      </w:r>
      <w:r>
        <w:rPr>
          <w:rFonts w:ascii="Times New Roman" w:hAnsi="Times New Roman" w:cs="Times New Roman"/>
        </w:rPr>
        <w:t>at the</w:t>
      </w:r>
      <w:r w:rsidRPr="00B42764">
        <w:rPr>
          <w:rFonts w:ascii="Times New Roman" w:hAnsi="Times New Roman" w:cs="Times New Roman" w:hint="eastAsia"/>
        </w:rPr>
        <w:t xml:space="preserve"> liability scale</w:t>
      </w:r>
      <w:r>
        <w:rPr>
          <w:rFonts w:ascii="Times New Roman" w:hAnsi="Times New Roman" w:cs="Times New Roman"/>
        </w:rPr>
        <w:t xml:space="preserve"> if</w:t>
      </w:r>
      <w:r>
        <w:rPr>
          <w:rFonts w:ascii="Times New Roman" w:hAnsi="Times New Roman" w:cs="Times New Roman" w:hint="eastAsia"/>
        </w:rPr>
        <w:t xml:space="preserve"> </w:t>
      </w:r>
      <w:r w:rsidRPr="00B42764">
        <w:rPr>
          <w:rFonts w:ascii="Times New Roman" w:hAnsi="Times New Roman" w:cs="Times New Roman" w:hint="eastAsia"/>
        </w:rPr>
        <w:t>age increases by 1.</w:t>
      </w:r>
      <w:r>
        <w:rPr>
          <w:rFonts w:ascii="Times New Roman" w:hAnsi="Times New Roman" w:cs="Times New Roman" w:hint="eastAsia"/>
        </w:rPr>
        <w:t xml:space="preserve"> The function of age is well described in Figure 3A</w:t>
      </w:r>
      <w:r>
        <w:rPr>
          <w:rFonts w:ascii="Times New Roman" w:hAnsi="Times New Roman" w:cs="Times New Roman"/>
        </w:rPr>
        <w:t>,</w:t>
      </w:r>
      <w:r>
        <w:rPr>
          <w:rFonts w:ascii="Times New Roman" w:hAnsi="Times New Roman" w:cs="Times New Roman" w:hint="eastAsia"/>
        </w:rPr>
        <w:t xml:space="preserve"> which illustrates the probability of being affected </w:t>
      </w:r>
      <w:r>
        <w:rPr>
          <w:rFonts w:ascii="Times New Roman" w:hAnsi="Times New Roman" w:cs="Times New Roman"/>
        </w:rPr>
        <w:t>by</w:t>
      </w:r>
      <w:r>
        <w:rPr>
          <w:rFonts w:ascii="Times New Roman" w:hAnsi="Times New Roman" w:cs="Times New Roman" w:hint="eastAsia"/>
        </w:rPr>
        <w:t xml:space="preserve"> T2D </w:t>
      </w:r>
      <w:r>
        <w:rPr>
          <w:rFonts w:ascii="Times New Roman" w:hAnsi="Times New Roman" w:cs="Times New Roman"/>
        </w:rPr>
        <w:t>as a function of</w:t>
      </w:r>
      <w:r>
        <w:rPr>
          <w:rFonts w:ascii="Times New Roman" w:hAnsi="Times New Roman" w:cs="Times New Roman" w:hint="eastAsia"/>
        </w:rPr>
        <w:t xml:space="preserve"> age. </w:t>
      </w:r>
      <w:r>
        <w:rPr>
          <w:rFonts w:ascii="Times New Roman" w:hAnsi="Times New Roman" w:cs="Times New Roman"/>
        </w:rPr>
        <w:t>Results demonstrate that</w:t>
      </w:r>
      <w:r>
        <w:rPr>
          <w:rFonts w:ascii="Times New Roman" w:hAnsi="Times New Roman" w:cs="Times New Roman" w:hint="eastAsia"/>
        </w:rPr>
        <w:t xml:space="preserve"> the risk </w:t>
      </w:r>
      <w:r>
        <w:rPr>
          <w:rFonts w:ascii="Times New Roman" w:hAnsi="Times New Roman" w:cs="Times New Roman"/>
        </w:rPr>
        <w:t xml:space="preserve">increases </w:t>
      </w:r>
      <w:r>
        <w:rPr>
          <w:rFonts w:ascii="Times New Roman" w:hAnsi="Times New Roman" w:cs="Times New Roman" w:hint="eastAsia"/>
        </w:rPr>
        <w:t>monotonically by</w:t>
      </w:r>
      <w:r>
        <w:rPr>
          <w:rFonts w:ascii="Times New Roman" w:hAnsi="Times New Roman" w:cs="Times New Roman"/>
        </w:rPr>
        <w:t xml:space="preserve"> </w:t>
      </w:r>
      <w:r>
        <w:rPr>
          <w:rFonts w:ascii="Times New Roman" w:hAnsi="Times New Roman" w:cs="Times New Roman" w:hint="eastAsia"/>
        </w:rPr>
        <w:t>age</w:t>
      </w:r>
      <w:r>
        <w:rPr>
          <w:rFonts w:ascii="Times New Roman" w:hAnsi="Times New Roman" w:cs="Times New Roman"/>
        </w:rPr>
        <w:t>,</w:t>
      </w:r>
      <w:r>
        <w:rPr>
          <w:rFonts w:ascii="Times New Roman" w:hAnsi="Times New Roman" w:cs="Times New Roman" w:hint="eastAsia"/>
        </w:rPr>
        <w:t xml:space="preserve"> reflecting the reduction effect on </w:t>
      </w:r>
      <w:r>
        <w:rPr>
          <w:rFonts w:ascii="Times New Roman" w:hAnsi="Times New Roman" w:cs="Times New Roman"/>
        </w:rPr>
        <w:t>disease</w:t>
      </w:r>
      <w:r>
        <w:rPr>
          <w:rFonts w:ascii="Times New Roman" w:hAnsi="Times New Roman" w:cs="Times New Roman" w:hint="eastAsia"/>
        </w:rPr>
        <w:t xml:space="preserve"> threshold</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Individuals with a higher number of T2D</w:t>
      </w:r>
      <w:r>
        <w:rPr>
          <w:rFonts w:ascii="Times New Roman" w:hAnsi="Times New Roman" w:cs="Times New Roman" w:hint="eastAsia"/>
        </w:rPr>
        <w:t xml:space="preserve"> </w:t>
      </w:r>
      <w:r>
        <w:rPr>
          <w:rFonts w:ascii="Times New Roman" w:hAnsi="Times New Roman" w:cs="Times New Roman"/>
        </w:rPr>
        <w:t xml:space="preserve">affected </w:t>
      </w:r>
      <w:r>
        <w:rPr>
          <w:rFonts w:ascii="Times New Roman" w:hAnsi="Times New Roman" w:cs="Times New Roman" w:hint="eastAsia"/>
        </w:rPr>
        <w:t xml:space="preserve">relatives </w:t>
      </w:r>
      <w:r>
        <w:rPr>
          <w:rFonts w:ascii="Times New Roman" w:hAnsi="Times New Roman" w:cs="Times New Roman"/>
        </w:rPr>
        <w:t>exhibit greater</w:t>
      </w:r>
      <w:r>
        <w:rPr>
          <w:rFonts w:ascii="Times New Roman" w:hAnsi="Times New Roman" w:cs="Times New Roman" w:hint="eastAsia"/>
        </w:rPr>
        <w:t xml:space="preserve"> risk. In comparison to random sample</w:t>
      </w:r>
      <w:r>
        <w:rPr>
          <w:rFonts w:ascii="Times New Roman" w:hAnsi="Times New Roman" w:cs="Times New Roman"/>
        </w:rPr>
        <w:t>s</w:t>
      </w:r>
      <w:r>
        <w:rPr>
          <w:rFonts w:ascii="Times New Roman" w:hAnsi="Times New Roman" w:cs="Times New Roman" w:hint="eastAsia"/>
        </w:rPr>
        <w:t xml:space="preserve">, the influence of family history is greater at </w:t>
      </w:r>
      <w:r>
        <w:rPr>
          <w:rFonts w:ascii="Times New Roman" w:hAnsi="Times New Roman" w:cs="Times New Roman"/>
        </w:rPr>
        <w:t xml:space="preserve">a </w:t>
      </w:r>
      <w:r>
        <w:rPr>
          <w:rFonts w:ascii="Times New Roman" w:hAnsi="Times New Roman" w:cs="Times New Roman" w:hint="eastAsia"/>
        </w:rPr>
        <w:t xml:space="preserve">young </w:t>
      </w:r>
      <w:proofErr w:type="gramStart"/>
      <w:r>
        <w:rPr>
          <w:rFonts w:ascii="Times New Roman" w:hAnsi="Times New Roman" w:cs="Times New Roman" w:hint="eastAsia"/>
        </w:rPr>
        <w:t xml:space="preserve">age, </w:t>
      </w:r>
      <w:r>
        <w:rPr>
          <w:rFonts w:ascii="Times New Roman" w:hAnsi="Times New Roman" w:cs="Times New Roman"/>
        </w:rPr>
        <w:t>and</w:t>
      </w:r>
      <w:proofErr w:type="gramEnd"/>
      <w:r>
        <w:rPr>
          <w:rFonts w:ascii="Times New Roman" w:hAnsi="Times New Roman" w:cs="Times New Roman"/>
        </w:rPr>
        <w:t xml:space="preserve"> determining</w:t>
      </w:r>
      <w:r>
        <w:rPr>
          <w:rFonts w:ascii="Times New Roman" w:hAnsi="Times New Roman" w:cs="Times New Roman" w:hint="eastAsia"/>
        </w:rPr>
        <w:t xml:space="preserve"> familial risk for early-onset T2D is highly important (Figure 3B).</w:t>
      </w:r>
    </w:p>
    <w:p w14:paraId="1CCA75D6" w14:textId="27DFF246" w:rsidR="00FB7F7B"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555E3AAD" w14:textId="77777777" w:rsidR="00FB7F7B" w:rsidRPr="00D23188"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2898A2E3" w14:textId="1480597C" w:rsidR="00B34AFC" w:rsidRPr="00D23188" w:rsidRDefault="00770E37"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In Table 2, a</w:t>
      </w:r>
      <w:r w:rsidR="009014F2" w:rsidRPr="00D23188">
        <w:rPr>
          <w:rFonts w:ascii="Times New Roman" w:eastAsia="AppleMyungjo" w:hAnsi="Times New Roman" w:cs="Times New Roman"/>
          <w:bCs/>
          <w:iCs/>
          <w:kern w:val="1"/>
        </w:rPr>
        <w:t xml:space="preserve"> positive family history in the FDR</w:t>
      </w:r>
      <w:r w:rsidR="00194F6C" w:rsidRPr="00D23188">
        <w:rPr>
          <w:rFonts w:ascii="Times New Roman" w:eastAsia="AppleMyungjo" w:hAnsi="Times New Roman" w:cs="Times New Roman"/>
          <w:bCs/>
          <w:iCs/>
          <w:kern w:val="1"/>
        </w:rPr>
        <w:t xml:space="preserve"> was significantly associated with the risk of CRC (HR = 1.20; 95% CI = [1.03</w:t>
      </w:r>
      <w:r w:rsidR="009014F2" w:rsidRPr="00D23188">
        <w:rPr>
          <w:rFonts w:ascii="Times New Roman" w:eastAsia="AppleMyungjo" w:hAnsi="Times New Roman" w:cs="Times New Roman"/>
          <w:bCs/>
          <w:iCs/>
          <w:kern w:val="1"/>
        </w:rPr>
        <w:t>-</w:t>
      </w:r>
      <w:r w:rsidR="00194F6C" w:rsidRPr="00D23188">
        <w:rPr>
          <w:rFonts w:ascii="Times New Roman" w:eastAsia="AppleMyungjo" w:hAnsi="Times New Roman" w:cs="Times New Roman"/>
          <w:bCs/>
          <w:iCs/>
          <w:kern w:val="1"/>
        </w:rPr>
        <w:t xml:space="preserve">1.40]). </w:t>
      </w:r>
      <w:r w:rsidR="003B5476" w:rsidRPr="00D23188">
        <w:rPr>
          <w:rFonts w:ascii="Times New Roman" w:eastAsia="AppleMyungjo" w:hAnsi="Times New Roman" w:cs="Times New Roman"/>
          <w:bCs/>
          <w:iCs/>
          <w:kern w:val="1"/>
        </w:rPr>
        <w:t>However, probands with ≥2 affected FDRs did not have an increased HR over those with 1 affected FDR</w:t>
      </w:r>
      <w:bookmarkStart w:id="1" w:name="_GoBack"/>
      <w:bookmarkEnd w:id="1"/>
      <w:r w:rsidR="00B34AFC" w:rsidRPr="00D23188">
        <w:rPr>
          <w:rFonts w:ascii="Times New Roman" w:eastAsia="AppleMyungjo" w:hAnsi="Times New Roman" w:cs="Times New Roman"/>
          <w:bCs/>
          <w:iCs/>
          <w:kern w:val="1"/>
        </w:rPr>
        <w:t xml:space="preserve"> and did not reach statistical significance</w:t>
      </w:r>
      <w:r w:rsidR="003B5476" w:rsidRPr="00D23188">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In a subgroup analysis grouped by onset of the proband, the proportion of affected FDR in the age≤50 group was more than that of the age&gt;50 group (Table 3). Subgroup analysis stratified for age showed in increased HR for… (table 3</w:t>
      </w:r>
      <w:r w:rsidR="00B34AFC" w:rsidRPr="00D23188">
        <w:rPr>
          <w:rFonts w:ascii="Times New Roman" w:hAnsi="Times New Roman" w:cs="Times New Roman"/>
          <w:bCs/>
          <w:iCs/>
          <w:kern w:val="1"/>
        </w:rPr>
        <w:t>결과</w:t>
      </w:r>
      <w:r w:rsidR="00B34AFC" w:rsidRPr="00D23188">
        <w:rPr>
          <w:rFonts w:ascii="Times New Roman" w:hAnsi="Times New Roman" w:cs="Times New Roman"/>
          <w:bCs/>
          <w:iCs/>
          <w:kern w:val="1"/>
        </w:rPr>
        <w:t xml:space="preserve"> </w:t>
      </w:r>
      <w:r w:rsidR="00B34AFC" w:rsidRPr="00D23188">
        <w:rPr>
          <w:rFonts w:ascii="Times New Roman" w:hAnsi="Times New Roman" w:cs="Times New Roman"/>
          <w:bCs/>
          <w:iCs/>
          <w:kern w:val="1"/>
        </w:rPr>
        <w:t>설명</w:t>
      </w:r>
      <w:r w:rsidR="00B34AFC" w:rsidRPr="00D23188">
        <w:rPr>
          <w:rFonts w:ascii="Times New Roman" w:hAnsi="Times New Roman" w:cs="Times New Roman"/>
          <w:bCs/>
          <w:iCs/>
          <w:kern w:val="1"/>
        </w:rPr>
        <w:t>)</w:t>
      </w:r>
      <w:r w:rsidR="00B34AFC" w:rsidRPr="00D23188">
        <w:rPr>
          <w:rFonts w:ascii="Times New Roman" w:eastAsia="AppleMyungjo" w:hAnsi="Times New Roman" w:cs="Times New Roman"/>
          <w:bCs/>
          <w:iCs/>
          <w:kern w:val="1"/>
        </w:rPr>
        <w:t xml:space="preserve"> </w:t>
      </w:r>
    </w:p>
    <w:p w14:paraId="0503C81E" w14:textId="3F33E212" w:rsidR="00EA41F8" w:rsidRPr="00D23188" w:rsidRDefault="00EE2BA5"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Since the number of FDRs and size of the families varied, 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1. </w:t>
      </w:r>
      <w:r w:rsidRPr="00D23188">
        <w:rPr>
          <w:rFonts w:ascii="Times New Roman" w:eastAsia="AppleMyungjo" w:hAnsi="Times New Roman" w:cs="Times New Roman"/>
          <w:bCs/>
          <w:iCs/>
          <w:kern w:val="1"/>
        </w:rPr>
        <w:t xml:space="preserve">To find the increased </w:t>
      </w:r>
      <w:r w:rsidRPr="00D23188">
        <w:rPr>
          <w:rFonts w:ascii="Times New Roman" w:eastAsia="AppleMyungjo" w:hAnsi="Times New Roman" w:cs="Times New Roman"/>
          <w:bCs/>
          <w:iCs/>
          <w:kern w:val="1"/>
        </w:rPr>
        <w:lastRenderedPageBreak/>
        <w:t>risk of CRC according to increasing number of affected FDRs</w:t>
      </w:r>
      <w:r w:rsidR="000A607C" w:rsidRPr="00D23188">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We found cut-off values of 0.125 and 0.300 to best explain the increased HR according to increased proportion of affected FDRs in our cohort (Table 4). Each representative cohort was labeled low FH, moderate FH, and high FH. Compared to the reference</w:t>
      </w:r>
      <w:r w:rsidR="000A607C" w:rsidRPr="00D23188">
        <w:rPr>
          <w:rFonts w:ascii="Times New Roman" w:eastAsia="AppleMyungjo" w:hAnsi="Times New Roman" w:cs="Times New Roman"/>
          <w:bCs/>
          <w:iCs/>
          <w:kern w:val="1"/>
        </w:rPr>
        <w:t xml:space="preserve"> (low FH) there showed to be </w:t>
      </w:r>
      <w:proofErr w:type="gramStart"/>
      <w:r w:rsidR="000A607C" w:rsidRPr="00D23188">
        <w:rPr>
          <w:rFonts w:ascii="Times New Roman" w:eastAsia="AppleMyungjo" w:hAnsi="Times New Roman" w:cs="Times New Roman"/>
          <w:bCs/>
          <w:iCs/>
          <w:kern w:val="1"/>
        </w:rPr>
        <w:t>an</w:t>
      </w:r>
      <w:proofErr w:type="gramEnd"/>
      <w:r w:rsidR="000A607C" w:rsidRPr="00D23188">
        <w:rPr>
          <w:rFonts w:ascii="Times New Roman" w:eastAsia="AppleMyungjo" w:hAnsi="Times New Roman" w:cs="Times New Roman"/>
          <w:bCs/>
          <w:iCs/>
          <w:kern w:val="1"/>
        </w:rPr>
        <w:t xml:space="preserve"> higher </w:t>
      </w:r>
      <w:r w:rsidR="00A43B57" w:rsidRPr="00D23188">
        <w:rPr>
          <w:rFonts w:ascii="Times New Roman" w:eastAsia="AppleMyungjo" w:hAnsi="Times New Roman" w:cs="Times New Roman"/>
          <w:bCs/>
          <w:iCs/>
          <w:kern w:val="1"/>
        </w:rPr>
        <w:t>risk with increasing proportion of members affected (Table 4).</w:t>
      </w:r>
    </w:p>
    <w:p w14:paraId="648F660F" w14:textId="77777777" w:rsidR="009014F2" w:rsidRPr="00D23188" w:rsidRDefault="009014F2" w:rsidP="00194F6C">
      <w:pPr>
        <w:widowControl/>
        <w:wordWrap/>
        <w:autoSpaceDE w:val="0"/>
        <w:autoSpaceDN w:val="0"/>
        <w:adjustRightInd w:val="0"/>
        <w:spacing w:after="200" w:line="480" w:lineRule="auto"/>
        <w:rPr>
          <w:rFonts w:ascii="Times New Roman" w:eastAsia="AppleMyungjo" w:hAnsi="Times New Roman" w:cs="Times New Roman"/>
          <w:bCs/>
          <w:kern w:val="1"/>
        </w:rPr>
      </w:pP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In 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7091FE63"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763E6429"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w:t>
      </w:r>
      <w:r w:rsidRPr="00D23188">
        <w:rPr>
          <w:rFonts w:ascii="Times New Roman" w:eastAsia="AppleMyungjo" w:hAnsi="Times New Roman" w:cs="Times New Roman"/>
          <w:bCs/>
          <w:kern w:val="1"/>
        </w:rPr>
        <w:lastRenderedPageBreak/>
        <w:t xml:space="preserve">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560073">
        <w:rPr>
          <w:rFonts w:ascii="Times New Roman" w:eastAsia="AppleMyungjo" w:hAnsi="Times New Roman" w:cs="Times New Roman"/>
          <w:bCs/>
          <w:kern w:val="1"/>
        </w:rPr>
        <w:instrText xml:space="preserve"> ADDIN EN.CITE &lt;EndNote&gt;&lt;Cite&gt;&lt;Author&gt;Tan&lt;/Author&gt;&lt;Year&gt;2018&lt;/Year&gt;&lt;RecNum&gt;11&lt;/RecNum&gt;&lt;DisplayText&gt;(13)&lt;/DisplayText&gt;&lt;record&gt;&lt;rec-number&gt;11&lt;/rec-number&gt;&lt;foreign-keys&gt;&lt;key app="EN" db-id="0wze0xpwtxp9wuewx2o5r5a3xp9wzsvfrswf" timestamp="1552543146"&gt;11&lt;/key&gt;&lt;/foreign-keys&gt;&lt;ref-type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560073">
        <w:rPr>
          <w:rFonts w:ascii="Times New Roman" w:eastAsia="AppleMyungjo" w:hAnsi="Times New Roman" w:cs="Times New Roman"/>
          <w:bCs/>
          <w:noProof/>
          <w:kern w:val="1"/>
        </w:rPr>
        <w:t>(13)</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479EABDF" w14:textId="5897ACFB" w:rsidR="00194F6C" w:rsidRPr="00D23188" w:rsidRDefault="00AD3DA8"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Statistical method(analysis</w:t>
      </w:r>
      <w:r w:rsidRPr="00D23188">
        <w:rPr>
          <w:rFonts w:ascii="Times New Roman" w:hAnsi="Times New Roman" w:cs="Times New Roman" w:hint="eastAsia"/>
          <w:bCs/>
          <w:kern w:val="0"/>
        </w:rPr>
        <w:t>)</w:t>
      </w:r>
      <w:r w:rsidRPr="00D23188">
        <w:rPr>
          <w:rFonts w:ascii="Times New Roman" w:hAnsi="Times New Roman" w:cs="Times New Roman" w:hint="eastAsia"/>
          <w:bCs/>
          <w:kern w:val="0"/>
        </w:rPr>
        <w:t>와</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관련하여</w:t>
      </w:r>
      <w:r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다른</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연구와</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비교</w:t>
      </w:r>
    </w:p>
    <w:p w14:paraId="23F3F970" w14:textId="502C9F1F"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우리의</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 xml:space="preserve">finding – </w:t>
      </w:r>
      <w:r w:rsidRPr="00D23188">
        <w:rPr>
          <w:rFonts w:ascii="Times New Roman" w:hAnsi="Times New Roman" w:cs="Times New Roman" w:hint="eastAsia"/>
          <w:bCs/>
          <w:kern w:val="0"/>
        </w:rPr>
        <w:t>F</w:t>
      </w:r>
      <w:r w:rsidRPr="00D23188">
        <w:rPr>
          <w:rFonts w:ascii="Times New Roman" w:hAnsi="Times New Roman" w:cs="Times New Roman"/>
          <w:bCs/>
          <w:kern w:val="0"/>
        </w:rPr>
        <w:t>DR 0.3</w:t>
      </w:r>
      <w:r w:rsidRPr="00D23188">
        <w:rPr>
          <w:rFonts w:ascii="Times New Roman" w:hAnsi="Times New Roman" w:cs="Times New Roman" w:hint="eastAsia"/>
          <w:bCs/>
          <w:kern w:val="0"/>
        </w:rPr>
        <w:t>이상일</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경우</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1.33</w:t>
      </w:r>
      <w:r w:rsidRPr="00D23188">
        <w:rPr>
          <w:rFonts w:ascii="Times New Roman" w:hAnsi="Times New Roman" w:cs="Times New Roman" w:hint="eastAsia"/>
          <w:bCs/>
          <w:kern w:val="0"/>
        </w:rPr>
        <w:t>배</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위험도</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증가</w:t>
      </w:r>
    </w:p>
    <w:p w14:paraId="5AE13FB4" w14:textId="44C3AE53"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이것에</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대한</w:t>
      </w:r>
      <w:r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다른</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연구와의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비교</w:t>
      </w:r>
      <w:r w:rsidR="00AD3DA8" w:rsidRPr="00D23188">
        <w:rPr>
          <w:rFonts w:ascii="Times New Roman" w:hAnsi="Times New Roman" w:cs="Times New Roman" w:hint="eastAsia"/>
          <w:bCs/>
          <w:kern w:val="0"/>
        </w:rPr>
        <w:t>,</w:t>
      </w:r>
      <w:r w:rsidR="00AD3DA8" w:rsidRPr="00D23188">
        <w:rPr>
          <w:rFonts w:ascii="Times New Roman" w:hAnsi="Times New Roman" w:cs="Times New Roman"/>
          <w:bCs/>
          <w:kern w:val="0"/>
        </w:rPr>
        <w:t xml:space="preserve"> </w:t>
      </w:r>
      <w:r w:rsidR="00AD3DA8" w:rsidRPr="00D23188">
        <w:rPr>
          <w:rFonts w:ascii="Times New Roman" w:hAnsi="Times New Roman" w:cs="Times New Roman" w:hint="eastAsia"/>
          <w:bCs/>
          <w:kern w:val="0"/>
        </w:rPr>
        <w:t>우리</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통계</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bCs/>
          <w:kern w:val="0"/>
        </w:rPr>
        <w:t>method</w:t>
      </w:r>
      <w:r w:rsidR="00AD3DA8" w:rsidRPr="00D23188">
        <w:rPr>
          <w:rFonts w:ascii="Times New Roman" w:hAnsi="Times New Roman" w:cs="Times New Roman" w:hint="eastAsia"/>
          <w:bCs/>
          <w:kern w:val="0"/>
        </w:rPr>
        <w:t>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특징</w:t>
      </w:r>
      <w:r w:rsidR="00AD3DA8" w:rsidRPr="00D23188">
        <w:rPr>
          <w:rFonts w:ascii="Times New Roman" w:hAnsi="Times New Roman" w:cs="Times New Roman" w:hint="eastAsia"/>
          <w:bCs/>
          <w:kern w:val="0"/>
        </w:rPr>
        <w:t>/</w:t>
      </w:r>
      <w:r w:rsidR="00AD3DA8" w:rsidRPr="00D23188">
        <w:rPr>
          <w:rFonts w:ascii="Times New Roman" w:hAnsi="Times New Roman" w:cs="Times New Roman" w:hint="eastAsia"/>
          <w:bCs/>
          <w:kern w:val="0"/>
        </w:rPr>
        <w:t>차이점</w:t>
      </w:r>
    </w:p>
    <w:p w14:paraId="3A4A4D7C" w14:textId="33E9A6A6"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한계</w:t>
      </w:r>
    </w:p>
    <w:p w14:paraId="25AB0500" w14:textId="0C75A019"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정리</w:t>
      </w: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4F0AD5DD" w14:textId="77777777" w:rsidR="00560073" w:rsidRPr="00560073" w:rsidRDefault="008E7C7E" w:rsidP="00560073">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560073" w:rsidRPr="00560073">
        <w:t>1.</w:t>
      </w:r>
      <w:r w:rsidR="00560073" w:rsidRPr="00560073">
        <w:tab/>
        <w:t>Lichtenstein P, Holm NV, Verkasalo PK, Iliadou A, Kaprio J, Koskenvuo M, et al. Environmental and heritable factors in the causation of cancer--analyses of cohorts of twins from Sweden, Denmark, and Finland. N Engl J Med. 2000;343(2):78-85.</w:t>
      </w:r>
    </w:p>
    <w:p w14:paraId="523EFF76" w14:textId="77777777" w:rsidR="00560073" w:rsidRPr="00560073" w:rsidRDefault="00560073" w:rsidP="00560073">
      <w:pPr>
        <w:pStyle w:val="EndNoteBibliography"/>
      </w:pPr>
      <w:r w:rsidRPr="00560073">
        <w:t>2.</w:t>
      </w:r>
      <w:r w:rsidRPr="00560073">
        <w:tab/>
        <w:t>Guttmacher AE, Collins FS, Carmona RH. The family history--more important than ever. N Engl J Med. 2004;351(22):2333-6.</w:t>
      </w:r>
    </w:p>
    <w:p w14:paraId="7F772C4B" w14:textId="77777777" w:rsidR="00560073" w:rsidRPr="00560073" w:rsidRDefault="00560073" w:rsidP="00560073">
      <w:pPr>
        <w:pStyle w:val="EndNoteBibliography"/>
      </w:pPr>
      <w:r w:rsidRPr="00560073">
        <w:t>3.</w:t>
      </w:r>
      <w:r w:rsidRPr="00560073">
        <w:tab/>
        <w:t>Lowery JT, Ahnen DJ, Schroy PC, 3rd, Hampel H, Baxter N, Boland CR, et al. Understanding the contribution of family history to colorectal cancer risk and its clinical implications: A state-of-the-science review. Cancer. 2016;122(17):2633-45.</w:t>
      </w:r>
    </w:p>
    <w:p w14:paraId="06D55C79" w14:textId="77777777" w:rsidR="00560073" w:rsidRPr="00560073" w:rsidRDefault="00560073" w:rsidP="00560073">
      <w:pPr>
        <w:pStyle w:val="EndNoteBibliography"/>
      </w:pPr>
      <w:r w:rsidRPr="00560073">
        <w:t>4.</w:t>
      </w:r>
      <w:r w:rsidRPr="00560073">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4E5D09F5" w14:textId="77777777" w:rsidR="00560073" w:rsidRPr="00560073" w:rsidRDefault="00560073" w:rsidP="00560073">
      <w:pPr>
        <w:pStyle w:val="EndNoteBibliography"/>
      </w:pPr>
      <w:r w:rsidRPr="00560073">
        <w:t>5.</w:t>
      </w:r>
      <w:r w:rsidRPr="00560073">
        <w:tab/>
        <w:t>Rex DK, Boland CR, Dominitz JA, Giardiello FM, Johnson DA, Kaltenbach T, et al. Colorectal Cancer Screening: Recommendations for Physicians and Patients From the U.S. Multi-Society Task Force on Colorectal Cancer. Gastroenterology. 2017;153(1):307-23.</w:t>
      </w:r>
    </w:p>
    <w:p w14:paraId="4E2A301C" w14:textId="77777777" w:rsidR="00560073" w:rsidRPr="00560073" w:rsidRDefault="00560073" w:rsidP="00560073">
      <w:pPr>
        <w:pStyle w:val="EndNoteBibliography"/>
      </w:pPr>
      <w:r w:rsidRPr="00560073">
        <w:t>6.</w:t>
      </w:r>
      <w:r w:rsidRPr="00560073">
        <w:tab/>
        <w:t>Mai PL, Garceau AO, Graubard BI, Dunn M, McNeel TS, Gonsalves L, et al. Confirmation of family cancer history reported in a population-based survey. J Natl Cancer Inst. 2011;103(10):788-97.</w:t>
      </w:r>
    </w:p>
    <w:p w14:paraId="02665C65" w14:textId="77777777" w:rsidR="00560073" w:rsidRPr="00560073" w:rsidRDefault="00560073" w:rsidP="00560073">
      <w:pPr>
        <w:pStyle w:val="EndNoteBibliography"/>
      </w:pPr>
      <w:r w:rsidRPr="00560073">
        <w:t>7.</w:t>
      </w:r>
      <w:r w:rsidRPr="00560073">
        <w:tab/>
        <w:t>Ziogas A, Anton-Culver H. Validation of family history data in cancer family registries. Am J Prev Med. 2003;24(2):190-8.</w:t>
      </w:r>
    </w:p>
    <w:p w14:paraId="2B12945E" w14:textId="77777777" w:rsidR="00560073" w:rsidRPr="00560073" w:rsidRDefault="00560073" w:rsidP="00560073">
      <w:pPr>
        <w:pStyle w:val="EndNoteBibliography"/>
      </w:pPr>
      <w:r w:rsidRPr="00560073">
        <w:t>8.</w:t>
      </w:r>
      <w:r w:rsidRPr="00560073">
        <w:tab/>
        <w:t xml:space="preserve">Wong MCS, Chan CH, Lin J, Huang JLW, Huang J, Fang Y, et al. Lower Relative Contribution of Positive Family History to Colorectal Cancer Risk with Increasing Age: A Systematic Review and Meta-Analysis of 9.28 Million </w:t>
      </w:r>
      <w:r w:rsidRPr="00560073">
        <w:lastRenderedPageBreak/>
        <w:t>Individuals. Am J Gastroenterol. 2018.</w:t>
      </w:r>
    </w:p>
    <w:p w14:paraId="64870E2A" w14:textId="77777777" w:rsidR="00560073" w:rsidRPr="00560073" w:rsidRDefault="00560073" w:rsidP="00560073">
      <w:pPr>
        <w:pStyle w:val="EndNoteBibliography"/>
      </w:pPr>
      <w:r w:rsidRPr="00560073">
        <w:t>9.</w:t>
      </w:r>
      <w:r w:rsidRPr="00560073">
        <w:tab/>
        <w:t>Therneau TM, Lumley T. Package ‘survival’. R Top Doc. 2015;128.</w:t>
      </w:r>
    </w:p>
    <w:p w14:paraId="5EF9EA36" w14:textId="77777777" w:rsidR="00560073" w:rsidRPr="00560073" w:rsidRDefault="00560073" w:rsidP="00560073">
      <w:pPr>
        <w:pStyle w:val="EndNoteBibliography"/>
      </w:pPr>
      <w:r w:rsidRPr="00560073">
        <w:t>10.</w:t>
      </w:r>
      <w:r w:rsidRPr="00560073">
        <w:tab/>
        <w:t>Bozdogan H. Model selection and Akaike's information criterion (AIC): The general theory and its analytical extensions. Psychometrika. 1987;52(3):345-70.</w:t>
      </w:r>
    </w:p>
    <w:p w14:paraId="31486627" w14:textId="77777777" w:rsidR="00560073" w:rsidRPr="00560073" w:rsidRDefault="00560073" w:rsidP="00560073">
      <w:pPr>
        <w:pStyle w:val="EndNoteBibliography"/>
      </w:pPr>
      <w:r w:rsidRPr="00560073">
        <w:t>11.</w:t>
      </w:r>
      <w:r w:rsidRPr="00560073">
        <w:tab/>
        <w:t>Jung KW, Won YJ, Kong HJ, Lee ES, Community of Population-Based Regional Cancer R. Cancer Statistics in Korea: Incidence, Mortality, Survival, and Prevalence in 2015. Cancer Res Treat. 2018;50(2):303-16.</w:t>
      </w:r>
    </w:p>
    <w:p w14:paraId="1E07B26B" w14:textId="77777777" w:rsidR="00560073" w:rsidRPr="00560073" w:rsidRDefault="00560073" w:rsidP="00560073">
      <w:pPr>
        <w:pStyle w:val="EndNoteBibliography"/>
      </w:pPr>
      <w:r w:rsidRPr="00560073">
        <w:t>12.</w:t>
      </w:r>
      <w:r w:rsidRPr="00560073">
        <w:tab/>
        <w:t>Poulsen P, Kyvik KO, Vaag A, Beck-Nielsen H. Heritability of type II (non-insulin-dependent) diabetes mellitus and abnormal glucose tolerance–a population-based twin study. Diabetologia. 1999;42(2):139-45.</w:t>
      </w:r>
    </w:p>
    <w:p w14:paraId="3D4632A3" w14:textId="77777777" w:rsidR="00560073" w:rsidRPr="00560073" w:rsidRDefault="00560073" w:rsidP="00560073">
      <w:pPr>
        <w:pStyle w:val="EndNoteBibliography"/>
      </w:pPr>
      <w:r w:rsidRPr="00560073">
        <w:t>13.</w:t>
      </w:r>
      <w:r w:rsidRPr="00560073">
        <w:tab/>
        <w:t>Tan KK, Lopez V, Wong ML, Koh GC. Uncovering the barriers to undergoing screening among first degree relatives of colorectal cancer patients: a review of qualitative literature. J Gastrointest Oncol. 2018;9(3):579-88.</w:t>
      </w:r>
    </w:p>
    <w:p w14:paraId="5BDA870D" w14:textId="4BB015EE"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2B55F2C0"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Wonji" w:date="2019-03-14T01:48:00Z" w:initials="KW">
    <w:p w14:paraId="2C27F82F" w14:textId="76544433" w:rsidR="00753ADF" w:rsidRDefault="00753AD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7F8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7F82F" w16cid:durableId="20343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7FC09" w14:textId="77777777" w:rsidR="001137F8" w:rsidRDefault="001137F8" w:rsidP="00F762AE">
      <w:r>
        <w:separator/>
      </w:r>
    </w:p>
  </w:endnote>
  <w:endnote w:type="continuationSeparator" w:id="0">
    <w:p w14:paraId="40433A4D" w14:textId="77777777" w:rsidR="001137F8" w:rsidRDefault="001137F8"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Myungjo">
    <w:altName w:val="맑은 고딕"/>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D372D" w14:textId="77777777" w:rsidR="001137F8" w:rsidRDefault="001137F8" w:rsidP="00F762AE">
      <w:r>
        <w:separator/>
      </w:r>
    </w:p>
  </w:footnote>
  <w:footnote w:type="continuationSeparator" w:id="0">
    <w:p w14:paraId="500296C4" w14:textId="77777777" w:rsidR="001137F8" w:rsidRDefault="001137F8"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ze0xpwtxp9wuewx2o5r5a3xp9wzsvfrswf&quot;&gt;CRC_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A52D6E"/>
    <w:rsid w:val="00003596"/>
    <w:rsid w:val="0001273F"/>
    <w:rsid w:val="00012E1C"/>
    <w:rsid w:val="0001328A"/>
    <w:rsid w:val="000256F9"/>
    <w:rsid w:val="000261FF"/>
    <w:rsid w:val="00026B3A"/>
    <w:rsid w:val="00026FD3"/>
    <w:rsid w:val="000279A5"/>
    <w:rsid w:val="00030189"/>
    <w:rsid w:val="00031760"/>
    <w:rsid w:val="00034A2E"/>
    <w:rsid w:val="00054E20"/>
    <w:rsid w:val="00055226"/>
    <w:rsid w:val="00075736"/>
    <w:rsid w:val="0007577B"/>
    <w:rsid w:val="00081DF1"/>
    <w:rsid w:val="0008552B"/>
    <w:rsid w:val="00090E74"/>
    <w:rsid w:val="000942BC"/>
    <w:rsid w:val="00094A42"/>
    <w:rsid w:val="00096FB6"/>
    <w:rsid w:val="00097ABD"/>
    <w:rsid w:val="000A1F58"/>
    <w:rsid w:val="000A4028"/>
    <w:rsid w:val="000A607C"/>
    <w:rsid w:val="000B2C14"/>
    <w:rsid w:val="000C7D46"/>
    <w:rsid w:val="000D080A"/>
    <w:rsid w:val="000F3FB7"/>
    <w:rsid w:val="00101887"/>
    <w:rsid w:val="00105638"/>
    <w:rsid w:val="00111182"/>
    <w:rsid w:val="001137F8"/>
    <w:rsid w:val="00117CD5"/>
    <w:rsid w:val="001317A1"/>
    <w:rsid w:val="0013551C"/>
    <w:rsid w:val="001375A0"/>
    <w:rsid w:val="0014141D"/>
    <w:rsid w:val="00154F37"/>
    <w:rsid w:val="00155553"/>
    <w:rsid w:val="00156488"/>
    <w:rsid w:val="00163684"/>
    <w:rsid w:val="00164473"/>
    <w:rsid w:val="00165577"/>
    <w:rsid w:val="001758CF"/>
    <w:rsid w:val="001835C1"/>
    <w:rsid w:val="00190FA2"/>
    <w:rsid w:val="001910D5"/>
    <w:rsid w:val="0019415F"/>
    <w:rsid w:val="00194F6C"/>
    <w:rsid w:val="00196999"/>
    <w:rsid w:val="001A1979"/>
    <w:rsid w:val="001A2B95"/>
    <w:rsid w:val="001B615D"/>
    <w:rsid w:val="001C5996"/>
    <w:rsid w:val="001D181A"/>
    <w:rsid w:val="001E01E6"/>
    <w:rsid w:val="001E61F1"/>
    <w:rsid w:val="001F2FA9"/>
    <w:rsid w:val="001F53EB"/>
    <w:rsid w:val="00204645"/>
    <w:rsid w:val="002104EF"/>
    <w:rsid w:val="00214D61"/>
    <w:rsid w:val="00220FC7"/>
    <w:rsid w:val="00221090"/>
    <w:rsid w:val="00223167"/>
    <w:rsid w:val="0023508D"/>
    <w:rsid w:val="00237B3B"/>
    <w:rsid w:val="00241C0F"/>
    <w:rsid w:val="00251C7F"/>
    <w:rsid w:val="00254391"/>
    <w:rsid w:val="00265601"/>
    <w:rsid w:val="00266593"/>
    <w:rsid w:val="0026705B"/>
    <w:rsid w:val="00275F6A"/>
    <w:rsid w:val="00285566"/>
    <w:rsid w:val="002917B8"/>
    <w:rsid w:val="00294A03"/>
    <w:rsid w:val="002A272D"/>
    <w:rsid w:val="002A5BD0"/>
    <w:rsid w:val="002A6325"/>
    <w:rsid w:val="002B0EEB"/>
    <w:rsid w:val="002B17EA"/>
    <w:rsid w:val="002B338F"/>
    <w:rsid w:val="002B723E"/>
    <w:rsid w:val="002B778A"/>
    <w:rsid w:val="002C75B3"/>
    <w:rsid w:val="002E248D"/>
    <w:rsid w:val="0030214E"/>
    <w:rsid w:val="00304646"/>
    <w:rsid w:val="00306E36"/>
    <w:rsid w:val="003160BD"/>
    <w:rsid w:val="00316AAA"/>
    <w:rsid w:val="00324C18"/>
    <w:rsid w:val="00335B45"/>
    <w:rsid w:val="0033694D"/>
    <w:rsid w:val="00352491"/>
    <w:rsid w:val="003531FA"/>
    <w:rsid w:val="00360775"/>
    <w:rsid w:val="00363A20"/>
    <w:rsid w:val="003732CE"/>
    <w:rsid w:val="003761F9"/>
    <w:rsid w:val="003830E1"/>
    <w:rsid w:val="00386CBE"/>
    <w:rsid w:val="00394BEE"/>
    <w:rsid w:val="003965C3"/>
    <w:rsid w:val="003A2349"/>
    <w:rsid w:val="003A26E3"/>
    <w:rsid w:val="003A3671"/>
    <w:rsid w:val="003B3F20"/>
    <w:rsid w:val="003B4AB7"/>
    <w:rsid w:val="003B5476"/>
    <w:rsid w:val="003C5BB9"/>
    <w:rsid w:val="003D06D9"/>
    <w:rsid w:val="003D154F"/>
    <w:rsid w:val="003D32FB"/>
    <w:rsid w:val="003D5E2D"/>
    <w:rsid w:val="003E3BDA"/>
    <w:rsid w:val="00400B12"/>
    <w:rsid w:val="00403164"/>
    <w:rsid w:val="004207F1"/>
    <w:rsid w:val="00421C3B"/>
    <w:rsid w:val="004312D5"/>
    <w:rsid w:val="00433130"/>
    <w:rsid w:val="004428D9"/>
    <w:rsid w:val="00444307"/>
    <w:rsid w:val="004504F5"/>
    <w:rsid w:val="00450A4C"/>
    <w:rsid w:val="004610F9"/>
    <w:rsid w:val="004676E6"/>
    <w:rsid w:val="00472143"/>
    <w:rsid w:val="0049133B"/>
    <w:rsid w:val="0049355A"/>
    <w:rsid w:val="004A2997"/>
    <w:rsid w:val="004B3181"/>
    <w:rsid w:val="004B41FA"/>
    <w:rsid w:val="004C2B9D"/>
    <w:rsid w:val="004D0768"/>
    <w:rsid w:val="004D1DC5"/>
    <w:rsid w:val="004D44BD"/>
    <w:rsid w:val="004E128E"/>
    <w:rsid w:val="004E1EFB"/>
    <w:rsid w:val="004E2C92"/>
    <w:rsid w:val="004E6A9E"/>
    <w:rsid w:val="00516014"/>
    <w:rsid w:val="0052508F"/>
    <w:rsid w:val="005270C5"/>
    <w:rsid w:val="00530AAE"/>
    <w:rsid w:val="005324FA"/>
    <w:rsid w:val="005340E8"/>
    <w:rsid w:val="00536C50"/>
    <w:rsid w:val="0054502C"/>
    <w:rsid w:val="0054778A"/>
    <w:rsid w:val="00547E1E"/>
    <w:rsid w:val="00554125"/>
    <w:rsid w:val="00556CD1"/>
    <w:rsid w:val="00560073"/>
    <w:rsid w:val="005624BF"/>
    <w:rsid w:val="00582479"/>
    <w:rsid w:val="005829B7"/>
    <w:rsid w:val="0058718E"/>
    <w:rsid w:val="00593808"/>
    <w:rsid w:val="005A006F"/>
    <w:rsid w:val="005A28D5"/>
    <w:rsid w:val="005B14CA"/>
    <w:rsid w:val="005B4DE5"/>
    <w:rsid w:val="005B72B4"/>
    <w:rsid w:val="005C0706"/>
    <w:rsid w:val="005D380F"/>
    <w:rsid w:val="005D5878"/>
    <w:rsid w:val="005D621E"/>
    <w:rsid w:val="005E3F8A"/>
    <w:rsid w:val="0060372A"/>
    <w:rsid w:val="006139E4"/>
    <w:rsid w:val="00614B6D"/>
    <w:rsid w:val="00615247"/>
    <w:rsid w:val="00624C6F"/>
    <w:rsid w:val="00633496"/>
    <w:rsid w:val="00640BDD"/>
    <w:rsid w:val="00647F20"/>
    <w:rsid w:val="00652F13"/>
    <w:rsid w:val="00654A1D"/>
    <w:rsid w:val="00655158"/>
    <w:rsid w:val="00670BF9"/>
    <w:rsid w:val="00673769"/>
    <w:rsid w:val="00681CDE"/>
    <w:rsid w:val="00686558"/>
    <w:rsid w:val="00690EE7"/>
    <w:rsid w:val="006A4065"/>
    <w:rsid w:val="006A51D3"/>
    <w:rsid w:val="006A7280"/>
    <w:rsid w:val="006C4D51"/>
    <w:rsid w:val="006C5EDF"/>
    <w:rsid w:val="006D5FA6"/>
    <w:rsid w:val="006D69C9"/>
    <w:rsid w:val="006E008B"/>
    <w:rsid w:val="006E2332"/>
    <w:rsid w:val="006E3D12"/>
    <w:rsid w:val="006E4339"/>
    <w:rsid w:val="006F6FB6"/>
    <w:rsid w:val="006F70E6"/>
    <w:rsid w:val="007156B9"/>
    <w:rsid w:val="00722586"/>
    <w:rsid w:val="007248FB"/>
    <w:rsid w:val="0074137F"/>
    <w:rsid w:val="007447CB"/>
    <w:rsid w:val="00753ADF"/>
    <w:rsid w:val="007623F2"/>
    <w:rsid w:val="0076486D"/>
    <w:rsid w:val="00766271"/>
    <w:rsid w:val="00770E37"/>
    <w:rsid w:val="007764FE"/>
    <w:rsid w:val="00776E1B"/>
    <w:rsid w:val="00780046"/>
    <w:rsid w:val="007813B2"/>
    <w:rsid w:val="0078254B"/>
    <w:rsid w:val="00790137"/>
    <w:rsid w:val="00795139"/>
    <w:rsid w:val="007A7FD1"/>
    <w:rsid w:val="007B5D9E"/>
    <w:rsid w:val="007B7FA3"/>
    <w:rsid w:val="007C07F2"/>
    <w:rsid w:val="007C5260"/>
    <w:rsid w:val="007D1863"/>
    <w:rsid w:val="007D1891"/>
    <w:rsid w:val="007D2D0F"/>
    <w:rsid w:val="007D5724"/>
    <w:rsid w:val="007E6C3B"/>
    <w:rsid w:val="007E70D1"/>
    <w:rsid w:val="007F4593"/>
    <w:rsid w:val="007F5BF4"/>
    <w:rsid w:val="008007A5"/>
    <w:rsid w:val="00812A56"/>
    <w:rsid w:val="00813A21"/>
    <w:rsid w:val="00813AFC"/>
    <w:rsid w:val="00827FE4"/>
    <w:rsid w:val="0083074D"/>
    <w:rsid w:val="0083104C"/>
    <w:rsid w:val="008544D6"/>
    <w:rsid w:val="008609CD"/>
    <w:rsid w:val="00861573"/>
    <w:rsid w:val="00861C82"/>
    <w:rsid w:val="00863384"/>
    <w:rsid w:val="00872BED"/>
    <w:rsid w:val="008737A6"/>
    <w:rsid w:val="008756D1"/>
    <w:rsid w:val="00875825"/>
    <w:rsid w:val="00877F89"/>
    <w:rsid w:val="008801D8"/>
    <w:rsid w:val="00881EB1"/>
    <w:rsid w:val="0088212A"/>
    <w:rsid w:val="008A64BC"/>
    <w:rsid w:val="008B2D6F"/>
    <w:rsid w:val="008C42F7"/>
    <w:rsid w:val="008C7D7E"/>
    <w:rsid w:val="008D062F"/>
    <w:rsid w:val="008E6E86"/>
    <w:rsid w:val="008E7C7E"/>
    <w:rsid w:val="008F0E3C"/>
    <w:rsid w:val="009014F2"/>
    <w:rsid w:val="0090256E"/>
    <w:rsid w:val="009100BD"/>
    <w:rsid w:val="00910480"/>
    <w:rsid w:val="00915EB2"/>
    <w:rsid w:val="0092044B"/>
    <w:rsid w:val="00933E99"/>
    <w:rsid w:val="0093452B"/>
    <w:rsid w:val="00940FD4"/>
    <w:rsid w:val="009419A4"/>
    <w:rsid w:val="0094549B"/>
    <w:rsid w:val="009508C9"/>
    <w:rsid w:val="00951C83"/>
    <w:rsid w:val="009658E5"/>
    <w:rsid w:val="009751EA"/>
    <w:rsid w:val="009753B6"/>
    <w:rsid w:val="00980B88"/>
    <w:rsid w:val="0098585E"/>
    <w:rsid w:val="009A1301"/>
    <w:rsid w:val="009A4CF4"/>
    <w:rsid w:val="009A4D79"/>
    <w:rsid w:val="009A60D0"/>
    <w:rsid w:val="009B4047"/>
    <w:rsid w:val="009B7E9A"/>
    <w:rsid w:val="009C209D"/>
    <w:rsid w:val="009D19FB"/>
    <w:rsid w:val="009F33B3"/>
    <w:rsid w:val="00A0216D"/>
    <w:rsid w:val="00A07F34"/>
    <w:rsid w:val="00A1185D"/>
    <w:rsid w:val="00A215BD"/>
    <w:rsid w:val="00A23609"/>
    <w:rsid w:val="00A4087C"/>
    <w:rsid w:val="00A43B57"/>
    <w:rsid w:val="00A45129"/>
    <w:rsid w:val="00A52D6E"/>
    <w:rsid w:val="00A56A1D"/>
    <w:rsid w:val="00A62584"/>
    <w:rsid w:val="00A66BC2"/>
    <w:rsid w:val="00A92E9A"/>
    <w:rsid w:val="00A94B75"/>
    <w:rsid w:val="00A96A24"/>
    <w:rsid w:val="00AA3D43"/>
    <w:rsid w:val="00AA7C95"/>
    <w:rsid w:val="00AB0646"/>
    <w:rsid w:val="00AB5B03"/>
    <w:rsid w:val="00AC197E"/>
    <w:rsid w:val="00AC7C37"/>
    <w:rsid w:val="00AD1462"/>
    <w:rsid w:val="00AD3DA8"/>
    <w:rsid w:val="00AE1118"/>
    <w:rsid w:val="00AE5891"/>
    <w:rsid w:val="00AF275F"/>
    <w:rsid w:val="00AF4305"/>
    <w:rsid w:val="00AF7746"/>
    <w:rsid w:val="00B05ACB"/>
    <w:rsid w:val="00B10F3D"/>
    <w:rsid w:val="00B1238B"/>
    <w:rsid w:val="00B26055"/>
    <w:rsid w:val="00B268BE"/>
    <w:rsid w:val="00B3363C"/>
    <w:rsid w:val="00B34AFC"/>
    <w:rsid w:val="00B41B13"/>
    <w:rsid w:val="00B41C0E"/>
    <w:rsid w:val="00B446D0"/>
    <w:rsid w:val="00B46E47"/>
    <w:rsid w:val="00B47EAC"/>
    <w:rsid w:val="00B507F5"/>
    <w:rsid w:val="00B55B45"/>
    <w:rsid w:val="00B563DB"/>
    <w:rsid w:val="00B813B8"/>
    <w:rsid w:val="00B96EAA"/>
    <w:rsid w:val="00BA3E50"/>
    <w:rsid w:val="00BB0BC6"/>
    <w:rsid w:val="00BB4A3D"/>
    <w:rsid w:val="00BC099F"/>
    <w:rsid w:val="00BE4197"/>
    <w:rsid w:val="00BE6DBA"/>
    <w:rsid w:val="00BF6898"/>
    <w:rsid w:val="00C06775"/>
    <w:rsid w:val="00C06C1F"/>
    <w:rsid w:val="00C07469"/>
    <w:rsid w:val="00C1010C"/>
    <w:rsid w:val="00C14AB3"/>
    <w:rsid w:val="00C21B21"/>
    <w:rsid w:val="00C21D04"/>
    <w:rsid w:val="00C422D2"/>
    <w:rsid w:val="00C4282B"/>
    <w:rsid w:val="00C5088F"/>
    <w:rsid w:val="00C51FC4"/>
    <w:rsid w:val="00C55F9E"/>
    <w:rsid w:val="00C60AB8"/>
    <w:rsid w:val="00C64EBF"/>
    <w:rsid w:val="00C65945"/>
    <w:rsid w:val="00C65AD9"/>
    <w:rsid w:val="00C752DF"/>
    <w:rsid w:val="00C759A9"/>
    <w:rsid w:val="00C8546E"/>
    <w:rsid w:val="00C93353"/>
    <w:rsid w:val="00CA0586"/>
    <w:rsid w:val="00CA2D33"/>
    <w:rsid w:val="00CA6769"/>
    <w:rsid w:val="00CB0210"/>
    <w:rsid w:val="00CB2023"/>
    <w:rsid w:val="00CC05DC"/>
    <w:rsid w:val="00CC31BE"/>
    <w:rsid w:val="00CD1D99"/>
    <w:rsid w:val="00CF2C17"/>
    <w:rsid w:val="00CF5300"/>
    <w:rsid w:val="00D05298"/>
    <w:rsid w:val="00D072C3"/>
    <w:rsid w:val="00D13E04"/>
    <w:rsid w:val="00D16814"/>
    <w:rsid w:val="00D20565"/>
    <w:rsid w:val="00D21ECF"/>
    <w:rsid w:val="00D23188"/>
    <w:rsid w:val="00D27857"/>
    <w:rsid w:val="00D27EBB"/>
    <w:rsid w:val="00D4361E"/>
    <w:rsid w:val="00D46687"/>
    <w:rsid w:val="00D601A5"/>
    <w:rsid w:val="00D92379"/>
    <w:rsid w:val="00D93B75"/>
    <w:rsid w:val="00D9781F"/>
    <w:rsid w:val="00DA00EA"/>
    <w:rsid w:val="00DA2C5F"/>
    <w:rsid w:val="00DB4367"/>
    <w:rsid w:val="00DC2602"/>
    <w:rsid w:val="00DD0661"/>
    <w:rsid w:val="00DD25B5"/>
    <w:rsid w:val="00DD63BA"/>
    <w:rsid w:val="00DD6A11"/>
    <w:rsid w:val="00DD71CE"/>
    <w:rsid w:val="00DD76C5"/>
    <w:rsid w:val="00DE2FAE"/>
    <w:rsid w:val="00DE6BDD"/>
    <w:rsid w:val="00E00044"/>
    <w:rsid w:val="00E0376B"/>
    <w:rsid w:val="00E0754E"/>
    <w:rsid w:val="00E1023E"/>
    <w:rsid w:val="00E10CB0"/>
    <w:rsid w:val="00E11A05"/>
    <w:rsid w:val="00E122DB"/>
    <w:rsid w:val="00E179C3"/>
    <w:rsid w:val="00E21F9A"/>
    <w:rsid w:val="00E233E6"/>
    <w:rsid w:val="00E24F9A"/>
    <w:rsid w:val="00E25F28"/>
    <w:rsid w:val="00E364F7"/>
    <w:rsid w:val="00E40721"/>
    <w:rsid w:val="00E40ACD"/>
    <w:rsid w:val="00E447A1"/>
    <w:rsid w:val="00E509AD"/>
    <w:rsid w:val="00E511B8"/>
    <w:rsid w:val="00E53B41"/>
    <w:rsid w:val="00E6108F"/>
    <w:rsid w:val="00E7255C"/>
    <w:rsid w:val="00E75265"/>
    <w:rsid w:val="00E760D8"/>
    <w:rsid w:val="00E77674"/>
    <w:rsid w:val="00E80755"/>
    <w:rsid w:val="00E823B8"/>
    <w:rsid w:val="00E84478"/>
    <w:rsid w:val="00E84B5C"/>
    <w:rsid w:val="00E94AB3"/>
    <w:rsid w:val="00EA3D43"/>
    <w:rsid w:val="00EA41F8"/>
    <w:rsid w:val="00EB5EA9"/>
    <w:rsid w:val="00EC380D"/>
    <w:rsid w:val="00EC5BE3"/>
    <w:rsid w:val="00ED0958"/>
    <w:rsid w:val="00ED0CD9"/>
    <w:rsid w:val="00ED5E33"/>
    <w:rsid w:val="00ED6AC0"/>
    <w:rsid w:val="00EE2BA5"/>
    <w:rsid w:val="00EF6F57"/>
    <w:rsid w:val="00F02D17"/>
    <w:rsid w:val="00F046EA"/>
    <w:rsid w:val="00F0747B"/>
    <w:rsid w:val="00F10E15"/>
    <w:rsid w:val="00F214FC"/>
    <w:rsid w:val="00F24223"/>
    <w:rsid w:val="00F37B42"/>
    <w:rsid w:val="00F45CF6"/>
    <w:rsid w:val="00F5036E"/>
    <w:rsid w:val="00F50B53"/>
    <w:rsid w:val="00F54ED7"/>
    <w:rsid w:val="00F6120B"/>
    <w:rsid w:val="00F61DB8"/>
    <w:rsid w:val="00F74E96"/>
    <w:rsid w:val="00F762AE"/>
    <w:rsid w:val="00F8010A"/>
    <w:rsid w:val="00F86300"/>
    <w:rsid w:val="00F95154"/>
    <w:rsid w:val="00FA0FF7"/>
    <w:rsid w:val="00FA6A03"/>
    <w:rsid w:val="00FA78FA"/>
    <w:rsid w:val="00FA7D9C"/>
    <w:rsid w:val="00FB0C05"/>
    <w:rsid w:val="00FB2B55"/>
    <w:rsid w:val="00FB36D5"/>
    <w:rsid w:val="00FB7F7B"/>
    <w:rsid w:val="00FC02C0"/>
    <w:rsid w:val="00FC4079"/>
    <w:rsid w:val="00FC5581"/>
    <w:rsid w:val="00FD67FF"/>
    <w:rsid w:val="00FD7F6E"/>
    <w:rsid w:val="00FE3D61"/>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 w:type="character" w:styleId="CommentReference">
    <w:name w:val="annotation reference"/>
    <w:basedOn w:val="DefaultParagraphFont"/>
    <w:uiPriority w:val="99"/>
    <w:semiHidden/>
    <w:unhideWhenUsed/>
    <w:rsid w:val="00753ADF"/>
    <w:rPr>
      <w:sz w:val="16"/>
      <w:szCs w:val="16"/>
    </w:rPr>
  </w:style>
  <w:style w:type="paragraph" w:styleId="CommentText">
    <w:name w:val="annotation text"/>
    <w:basedOn w:val="Normal"/>
    <w:link w:val="CommentTextChar"/>
    <w:uiPriority w:val="99"/>
    <w:semiHidden/>
    <w:unhideWhenUsed/>
    <w:rsid w:val="00753ADF"/>
    <w:rPr>
      <w:sz w:val="20"/>
      <w:szCs w:val="20"/>
    </w:rPr>
  </w:style>
  <w:style w:type="character" w:customStyle="1" w:styleId="CommentTextChar">
    <w:name w:val="Comment Text Char"/>
    <w:basedOn w:val="DefaultParagraphFont"/>
    <w:link w:val="CommentText"/>
    <w:uiPriority w:val="99"/>
    <w:semiHidden/>
    <w:rsid w:val="00753ADF"/>
    <w:rPr>
      <w:sz w:val="20"/>
      <w:szCs w:val="20"/>
    </w:rPr>
  </w:style>
  <w:style w:type="paragraph" w:styleId="CommentSubject">
    <w:name w:val="annotation subject"/>
    <w:basedOn w:val="CommentText"/>
    <w:next w:val="CommentText"/>
    <w:link w:val="CommentSubjectChar"/>
    <w:uiPriority w:val="99"/>
    <w:semiHidden/>
    <w:unhideWhenUsed/>
    <w:rsid w:val="00753ADF"/>
    <w:rPr>
      <w:b/>
      <w:bCs/>
    </w:rPr>
  </w:style>
  <w:style w:type="character" w:customStyle="1" w:styleId="CommentSubjectChar">
    <w:name w:val="Comment Subject Char"/>
    <w:basedOn w:val="CommentTextChar"/>
    <w:link w:val="CommentSubject"/>
    <w:uiPriority w:val="99"/>
    <w:semiHidden/>
    <w:rsid w:val="0075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1865">
      <w:bodyDiv w:val="1"/>
      <w:marLeft w:val="0"/>
      <w:marRight w:val="0"/>
      <w:marTop w:val="0"/>
      <w:marBottom w:val="0"/>
      <w:divBdr>
        <w:top w:val="none" w:sz="0" w:space="0" w:color="auto"/>
        <w:left w:val="none" w:sz="0" w:space="0" w:color="auto"/>
        <w:bottom w:val="none" w:sz="0" w:space="0" w:color="auto"/>
        <w:right w:val="none" w:sz="0" w:space="0" w:color="auto"/>
      </w:divBdr>
    </w:div>
    <w:div w:id="689261791">
      <w:bodyDiv w:val="1"/>
      <w:marLeft w:val="0"/>
      <w:marRight w:val="0"/>
      <w:marTop w:val="0"/>
      <w:marBottom w:val="0"/>
      <w:divBdr>
        <w:top w:val="none" w:sz="0" w:space="0" w:color="auto"/>
        <w:left w:val="none" w:sz="0" w:space="0" w:color="auto"/>
        <w:bottom w:val="none" w:sz="0" w:space="0" w:color="auto"/>
        <w:right w:val="none" w:sz="0" w:space="0" w:color="auto"/>
      </w:divBdr>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28530889">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16</Pages>
  <Words>3205</Words>
  <Characters>18275</Characters>
  <Application>Microsoft Office Word</Application>
  <DocSecurity>0</DocSecurity>
  <Lines>152</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Kim, Wonji</cp:lastModifiedBy>
  <cp:revision>93</cp:revision>
  <dcterms:created xsi:type="dcterms:W3CDTF">2018-11-05T05:40:00Z</dcterms:created>
  <dcterms:modified xsi:type="dcterms:W3CDTF">2019-03-23T21:24:00Z</dcterms:modified>
</cp:coreProperties>
</file>