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01A1" w14:textId="77777777" w:rsidR="005857A3" w:rsidRDefault="005857A3" w:rsidP="005857A3">
      <w:pPr>
        <w:widowControl/>
        <w:tabs>
          <w:tab w:val="center" w:pos="4513"/>
        </w:tabs>
        <w:wordWrap/>
        <w:autoSpaceDE/>
        <w:autoSpaceDN/>
        <w:ind w:left="120" w:hangingChars="50" w:hanging="12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Table 1. </w:t>
      </w:r>
      <w:r>
        <w:rPr>
          <w:rFonts w:ascii="Times New Roman" w:hAnsi="Times New Roman" w:cs="Times New Roman"/>
          <w:b/>
          <w:sz w:val="24"/>
        </w:rPr>
        <w:t>Characteristics</w:t>
      </w:r>
      <w:r>
        <w:rPr>
          <w:rFonts w:ascii="Times New Roman" w:hAnsi="Times New Roman" w:cs="Times New Roman" w:hint="eastAsia"/>
          <w:b/>
          <w:sz w:val="24"/>
        </w:rPr>
        <w:t xml:space="preserve"> of </w:t>
      </w:r>
      <w:r w:rsidR="00DD7D78">
        <w:rPr>
          <w:rFonts w:ascii="Times New Roman" w:hAnsi="Times New Roman" w:cs="Times New Roman"/>
          <w:b/>
          <w:sz w:val="24"/>
        </w:rPr>
        <w:t xml:space="preserve">the </w:t>
      </w:r>
      <w:r>
        <w:rPr>
          <w:rFonts w:ascii="Times New Roman" w:hAnsi="Times New Roman" w:cs="Times New Roman" w:hint="eastAsia"/>
          <w:b/>
          <w:sz w:val="24"/>
        </w:rPr>
        <w:t xml:space="preserve">1,962 probands </w:t>
      </w:r>
      <w:r w:rsidR="00DD7D78">
        <w:rPr>
          <w:rFonts w:ascii="Times New Roman" w:hAnsi="Times New Roman" w:cs="Times New Roman"/>
          <w:b/>
          <w:sz w:val="24"/>
        </w:rPr>
        <w:t>and 16,270 first-degree relatives</w:t>
      </w:r>
      <w:r>
        <w:rPr>
          <w:rFonts w:ascii="Times New Roman" w:hAnsi="Times New Roman" w:cs="Times New Roman" w:hint="eastAsia"/>
          <w:b/>
          <w:sz w:val="24"/>
        </w:rPr>
        <w:t>.</w:t>
      </w:r>
    </w:p>
    <w:tbl>
      <w:tblPr>
        <w:tblStyle w:val="TableGrid"/>
        <w:tblpPr w:leftFromText="180" w:rightFromText="180" w:vertAnchor="text" w:horzAnchor="margin" w:tblpXSpec="center" w:tblpY="5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3828"/>
        <w:gridCol w:w="2835"/>
      </w:tblGrid>
      <w:tr w:rsidR="001137DD" w:rsidRPr="00817F98" w14:paraId="4D7E03B6" w14:textId="77777777" w:rsidTr="006C1B6B">
        <w:trPr>
          <w:trHeight w:val="20"/>
        </w:trPr>
        <w:tc>
          <w:tcPr>
            <w:tcW w:w="3828" w:type="dxa"/>
            <w:tcBorders>
              <w:top w:val="single" w:sz="18" w:space="0" w:color="auto"/>
              <w:bottom w:val="single" w:sz="8" w:space="0" w:color="auto"/>
            </w:tcBorders>
            <w:vAlign w:val="bottom"/>
          </w:tcPr>
          <w:p w14:paraId="427E2CEB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 w:rsidRPr="00817F98">
              <w:rPr>
                <w:rFonts w:ascii="Times New Roman" w:hAnsi="Times New Roman" w:cs="Times New Roman" w:hint="eastAsia"/>
                <w:sz w:val="24"/>
              </w:rPr>
              <w:t>Characteristic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8" w:space="0" w:color="auto"/>
            </w:tcBorders>
            <w:vAlign w:val="bottom"/>
          </w:tcPr>
          <w:p w14:paraId="7D8E0C6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1137DD" w:rsidRPr="00817F98" w14:paraId="3FBAFAC4" w14:textId="77777777" w:rsidTr="006C1B6B">
        <w:trPr>
          <w:trHeight w:val="20"/>
        </w:trPr>
        <w:tc>
          <w:tcPr>
            <w:tcW w:w="3828" w:type="dxa"/>
            <w:tcBorders>
              <w:top w:val="single" w:sz="8" w:space="0" w:color="auto"/>
            </w:tcBorders>
            <w:vAlign w:val="center"/>
          </w:tcPr>
          <w:p w14:paraId="76613D8C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Sex of proband</w:t>
            </w:r>
          </w:p>
        </w:tc>
        <w:tc>
          <w:tcPr>
            <w:tcW w:w="2835" w:type="dxa"/>
            <w:tcBorders>
              <w:top w:val="single" w:sz="8" w:space="0" w:color="auto"/>
            </w:tcBorders>
            <w:vAlign w:val="center"/>
          </w:tcPr>
          <w:p w14:paraId="0B831B4C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137DD" w:rsidRPr="00817F98" w14:paraId="52FD61FF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033307F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817F98">
              <w:rPr>
                <w:rFonts w:ascii="Times New Roman" w:hAnsi="Times New Roman" w:cs="Times New Roman" w:hint="eastAsia"/>
                <w:sz w:val="24"/>
              </w:rPr>
              <w:t>Male</w:t>
            </w:r>
          </w:p>
        </w:tc>
        <w:tc>
          <w:tcPr>
            <w:tcW w:w="2835" w:type="dxa"/>
            <w:vAlign w:val="center"/>
          </w:tcPr>
          <w:p w14:paraId="57C59BF8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1,153 (59.1 %)</w:t>
            </w:r>
          </w:p>
        </w:tc>
      </w:tr>
      <w:tr w:rsidR="001137DD" w:rsidRPr="00817F98" w14:paraId="42438775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5DA54981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817F98">
              <w:rPr>
                <w:rFonts w:ascii="Times New Roman" w:hAnsi="Times New Roman" w:cs="Times New Roman" w:hint="eastAsia"/>
                <w:sz w:val="24"/>
              </w:rPr>
              <w:t>Female</w:t>
            </w:r>
          </w:p>
        </w:tc>
        <w:tc>
          <w:tcPr>
            <w:tcW w:w="2835" w:type="dxa"/>
            <w:vAlign w:val="center"/>
          </w:tcPr>
          <w:p w14:paraId="2901B9D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799 (40.9 %)</w:t>
            </w:r>
          </w:p>
        </w:tc>
      </w:tr>
      <w:tr w:rsidR="001137DD" w:rsidRPr="00817F98" w14:paraId="1A0A6CE9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3B0743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Age of onset, </w:t>
            </w:r>
            <w:r>
              <w:rPr>
                <w:rFonts w:ascii="Times New Roman" w:hAnsi="Times New Roman" w:cs="Times New Roman" w:hint="eastAsia"/>
                <w:sz w:val="24"/>
              </w:rPr>
              <w:t>Med</w:t>
            </w:r>
            <w:r>
              <w:rPr>
                <w:rFonts w:ascii="Times New Roman" w:hAnsi="Times New Roman" w:cs="Times New Roman"/>
                <w:sz w:val="24"/>
              </w:rPr>
              <w:t>ian</w:t>
            </w:r>
            <w:r>
              <w:rPr>
                <w:rFonts w:ascii="Times New Roman" w:hAnsi="Times New Roman" w:cs="Times New Roman" w:hint="eastAsia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IQR</w:t>
            </w:r>
            <w:r>
              <w:rPr>
                <w:rFonts w:ascii="Times New Roman" w:hAnsi="Times New Roman" w:cs="Times New Roman" w:hint="eastAsia"/>
                <w:sz w:val="24"/>
              </w:rPr>
              <w:t>)</w:t>
            </w:r>
          </w:p>
        </w:tc>
        <w:tc>
          <w:tcPr>
            <w:tcW w:w="2835" w:type="dxa"/>
            <w:vAlign w:val="center"/>
          </w:tcPr>
          <w:p w14:paraId="13680EBF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61.7, 63 (55 - 70)</w:t>
            </w:r>
          </w:p>
        </w:tc>
      </w:tr>
      <w:tr w:rsidR="001137DD" w:rsidRPr="00817F98" w14:paraId="768DDADD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1D00F0FA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Less than 50</w:t>
            </w:r>
          </w:p>
        </w:tc>
        <w:tc>
          <w:tcPr>
            <w:tcW w:w="2835" w:type="dxa"/>
            <w:vAlign w:val="center"/>
          </w:tcPr>
          <w:p w14:paraId="4829617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229 (11.7 %)</w:t>
            </w:r>
          </w:p>
        </w:tc>
      </w:tr>
      <w:tr w:rsidR="001137DD" w:rsidRPr="00817F98" w14:paraId="393F3E0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B12440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Over 50</w:t>
            </w:r>
          </w:p>
        </w:tc>
        <w:tc>
          <w:tcPr>
            <w:tcW w:w="2835" w:type="dxa"/>
            <w:vAlign w:val="center"/>
          </w:tcPr>
          <w:p w14:paraId="46C972A0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1,723 (88.3 %)</w:t>
            </w:r>
          </w:p>
        </w:tc>
      </w:tr>
      <w:tr w:rsidR="001137DD" w:rsidRPr="00817F98" w14:paraId="06B3B9A2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4A3BDE46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Total</w:t>
            </w:r>
            <w:r>
              <w:rPr>
                <w:rFonts w:ascii="Times New Roman" w:hAnsi="Times New Roman" w:cs="Times New Roman"/>
                <w:sz w:val="24"/>
              </w:rPr>
              <w:t xml:space="preserve"> number of FDRs</w:t>
            </w:r>
          </w:p>
        </w:tc>
        <w:tc>
          <w:tcPr>
            <w:tcW w:w="2835" w:type="dxa"/>
            <w:vAlign w:val="center"/>
          </w:tcPr>
          <w:p w14:paraId="75CAF8B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16,270</w:t>
            </w:r>
          </w:p>
        </w:tc>
      </w:tr>
      <w:tr w:rsidR="001137DD" w:rsidRPr="00817F98" w14:paraId="1406EF6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37E51DCB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Parents</w:t>
            </w:r>
          </w:p>
        </w:tc>
        <w:tc>
          <w:tcPr>
            <w:tcW w:w="2835" w:type="dxa"/>
            <w:vAlign w:val="center"/>
          </w:tcPr>
          <w:p w14:paraId="6BB4D973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3,904</w:t>
            </w:r>
          </w:p>
        </w:tc>
      </w:tr>
      <w:tr w:rsidR="001137DD" w:rsidRPr="00817F98" w14:paraId="2B2FB78E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691B78DE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Sibling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14:paraId="5DF8C1CD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7,649</w:t>
            </w:r>
          </w:p>
        </w:tc>
      </w:tr>
      <w:tr w:rsidR="001137DD" w:rsidRPr="00817F98" w14:paraId="18CC9E78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60A19382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Offspring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14:paraId="31A4C2A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4,717</w:t>
            </w:r>
          </w:p>
        </w:tc>
      </w:tr>
      <w:tr w:rsidR="001137DD" w:rsidRPr="00817F98" w14:paraId="5966B80C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7CE8299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FDRs with affected colorectal cancer </w:t>
            </w:r>
          </w:p>
        </w:tc>
        <w:tc>
          <w:tcPr>
            <w:tcW w:w="2835" w:type="dxa"/>
            <w:vAlign w:val="center"/>
          </w:tcPr>
          <w:p w14:paraId="7190C1C6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216</w:t>
            </w:r>
          </w:p>
        </w:tc>
      </w:tr>
      <w:tr w:rsidR="001137DD" w:rsidRPr="00817F98" w14:paraId="3FA6B4ED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54AF8C95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Parents</w:t>
            </w:r>
          </w:p>
        </w:tc>
        <w:tc>
          <w:tcPr>
            <w:tcW w:w="2835" w:type="dxa"/>
            <w:vAlign w:val="center"/>
          </w:tcPr>
          <w:p w14:paraId="6DB1235E" w14:textId="77777777" w:rsidR="001137DD" w:rsidRPr="00817F98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77</w:t>
            </w:r>
          </w:p>
        </w:tc>
      </w:tr>
      <w:tr w:rsidR="001137DD" w:rsidRPr="00817F98" w14:paraId="1923D626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7977B199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Sibling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14:paraId="7FE5420C" w14:textId="77777777" w:rsidR="001137DD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132</w:t>
            </w:r>
          </w:p>
        </w:tc>
      </w:tr>
      <w:tr w:rsidR="001137DD" w:rsidRPr="00817F98" w14:paraId="4BF8307A" w14:textId="77777777" w:rsidTr="006C1B6B">
        <w:trPr>
          <w:trHeight w:val="20"/>
        </w:trPr>
        <w:tc>
          <w:tcPr>
            <w:tcW w:w="3828" w:type="dxa"/>
            <w:vAlign w:val="center"/>
          </w:tcPr>
          <w:p w14:paraId="0EDB392A" w14:textId="77777777" w:rsidR="001137DD" w:rsidRPr="00817F98" w:rsidRDefault="001137DD" w:rsidP="001137DD">
            <w:pPr>
              <w:widowControl/>
              <w:wordWrap/>
              <w:autoSpaceDE/>
              <w:autoSpaceDN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</w:rPr>
              <w:t>Offspring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835" w:type="dxa"/>
            <w:vAlign w:val="center"/>
          </w:tcPr>
          <w:p w14:paraId="0B2CAD12" w14:textId="77777777" w:rsidR="001137DD" w:rsidRDefault="001137DD" w:rsidP="001137D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</w:tr>
    </w:tbl>
    <w:p w14:paraId="0B68A738" w14:textId="77777777" w:rsidR="005857A3" w:rsidRDefault="005857A3" w:rsidP="005857A3">
      <w:pPr>
        <w:widowControl/>
        <w:wordWrap/>
        <w:autoSpaceDE/>
        <w:autoSpaceDN/>
        <w:jc w:val="left"/>
        <w:rPr>
          <w:rFonts w:ascii="Times New Roman" w:hAnsi="Times New Roman" w:cs="Times New Roman"/>
          <w:b/>
          <w:sz w:val="24"/>
        </w:rPr>
      </w:pPr>
    </w:p>
    <w:p w14:paraId="48E3BC3A" w14:textId="77777777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960CF50" w14:textId="77777777" w:rsidR="008F044C" w:rsidRDefault="008F044C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2. Estimates for probability of being affected in CRC and relative risks</w:t>
      </w:r>
    </w:p>
    <w:tbl>
      <w:tblPr>
        <w:tblStyle w:val="TableGridLight"/>
        <w:tblW w:w="0" w:type="auto"/>
        <w:tblBorders>
          <w:top w:val="single" w:sz="18" w:space="0" w:color="auto"/>
          <w:bottom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044C" w:rsidRPr="007B0AEB" w14:paraId="2CD39C7B" w14:textId="77777777" w:rsidTr="00C35EDC">
        <w:tc>
          <w:tcPr>
            <w:tcW w:w="2254" w:type="dxa"/>
            <w:tcBorders>
              <w:top w:val="single" w:sz="18" w:space="0" w:color="auto"/>
              <w:left w:val="nil"/>
              <w:bottom w:val="single" w:sz="8" w:space="0" w:color="auto"/>
            </w:tcBorders>
            <w:vAlign w:val="center"/>
          </w:tcPr>
          <w:p w14:paraId="56DAA3DB" w14:textId="78EFD286" w:rsidR="008F044C" w:rsidRPr="007B0AEB" w:rsidRDefault="008F044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Age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CCCEA1E" w14:textId="656F8D19" w:rsidR="008F044C" w:rsidRPr="007B0AEB" w:rsidRDefault="008F044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Sex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C3E4767" w14:textId="2F2DE784" w:rsidR="008F044C" w:rsidRPr="007B0AEB" w:rsidRDefault="0019540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Pr(CRC)</w:t>
            </w:r>
          </w:p>
        </w:tc>
        <w:tc>
          <w:tcPr>
            <w:tcW w:w="2254" w:type="dxa"/>
            <w:tcBorders>
              <w:top w:val="single" w:sz="18" w:space="0" w:color="auto"/>
              <w:bottom w:val="single" w:sz="8" w:space="0" w:color="auto"/>
              <w:right w:val="nil"/>
            </w:tcBorders>
            <w:vAlign w:val="center"/>
          </w:tcPr>
          <w:p w14:paraId="7C4637B2" w14:textId="1FDC3263" w:rsidR="008F044C" w:rsidRPr="007B0AEB" w:rsidRDefault="0019540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RR</w:t>
            </w:r>
          </w:p>
        </w:tc>
      </w:tr>
      <w:tr w:rsidR="0019540C" w:rsidRPr="007B0AEB" w14:paraId="4D62831E" w14:textId="77777777" w:rsidTr="00C35EDC">
        <w:tc>
          <w:tcPr>
            <w:tcW w:w="2254" w:type="dxa"/>
            <w:vMerge w:val="restart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D26D50D" w14:textId="5FC2327E" w:rsidR="007B0AEB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Under 50</w:t>
            </w:r>
          </w:p>
        </w:tc>
        <w:tc>
          <w:tcPr>
            <w:tcW w:w="2254" w:type="dxa"/>
            <w:tcBorders>
              <w:top w:val="single" w:sz="8" w:space="0" w:color="auto"/>
              <w:bottom w:val="nil"/>
            </w:tcBorders>
            <w:vAlign w:val="center"/>
          </w:tcPr>
          <w:p w14:paraId="65C840AB" w14:textId="01B4DB97" w:rsidR="0019540C" w:rsidRPr="007B0AEB" w:rsidRDefault="00823E04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Female</w:t>
            </w:r>
          </w:p>
        </w:tc>
        <w:tc>
          <w:tcPr>
            <w:tcW w:w="2254" w:type="dxa"/>
            <w:tcBorders>
              <w:top w:val="single" w:sz="8" w:space="0" w:color="auto"/>
              <w:bottom w:val="nil"/>
            </w:tcBorders>
            <w:vAlign w:val="center"/>
          </w:tcPr>
          <w:p w14:paraId="4E65BE01" w14:textId="52ECE6C5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</w:t>
            </w:r>
            <w:r w:rsidR="00444415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2254" w:type="dxa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30371D0F" w14:textId="3317AE5C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</w:t>
            </w:r>
          </w:p>
        </w:tc>
      </w:tr>
      <w:tr w:rsidR="0019540C" w:rsidRPr="007B0AEB" w14:paraId="62F9D26E" w14:textId="77777777" w:rsidTr="00C35EDC">
        <w:tc>
          <w:tcPr>
            <w:tcW w:w="2254" w:type="dxa"/>
            <w:vMerge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74CF85A" w14:textId="77777777" w:rsidR="0019540C" w:rsidRPr="007B0AEB" w:rsidRDefault="0019540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  <w:tcBorders>
              <w:top w:val="nil"/>
              <w:bottom w:val="single" w:sz="8" w:space="0" w:color="auto"/>
            </w:tcBorders>
            <w:vAlign w:val="center"/>
          </w:tcPr>
          <w:p w14:paraId="3EE08876" w14:textId="1258DBC4" w:rsidR="0019540C" w:rsidRPr="007B0AEB" w:rsidRDefault="00823E04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Male</w:t>
            </w:r>
          </w:p>
        </w:tc>
        <w:tc>
          <w:tcPr>
            <w:tcW w:w="2254" w:type="dxa"/>
            <w:tcBorders>
              <w:top w:val="nil"/>
              <w:bottom w:val="single" w:sz="8" w:space="0" w:color="auto"/>
            </w:tcBorders>
            <w:vAlign w:val="center"/>
          </w:tcPr>
          <w:p w14:paraId="46DFE2B2" w14:textId="3277DD11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0.000</w:t>
            </w:r>
            <w:r w:rsidR="00444415"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2254" w:type="dxa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608999D" w14:textId="5F872969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444415"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19540C" w:rsidRPr="007B0AEB" w14:paraId="48A376A2" w14:textId="77777777" w:rsidTr="00C35EDC">
        <w:tc>
          <w:tcPr>
            <w:tcW w:w="2254" w:type="dxa"/>
            <w:vMerge w:val="restart"/>
            <w:tcBorders>
              <w:top w:val="single" w:sz="8" w:space="0" w:color="auto"/>
              <w:left w:val="nil"/>
            </w:tcBorders>
            <w:vAlign w:val="center"/>
          </w:tcPr>
          <w:p w14:paraId="250AC138" w14:textId="044BACD8" w:rsidR="007B0AEB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B0AEB">
              <w:rPr>
                <w:rFonts w:ascii="Times New Roman" w:hAnsi="Times New Roman" w:cs="Times New Roman"/>
                <w:sz w:val="24"/>
              </w:rPr>
              <w:t>Over 50</w:t>
            </w:r>
          </w:p>
        </w:tc>
        <w:tc>
          <w:tcPr>
            <w:tcW w:w="2254" w:type="dxa"/>
            <w:tcBorders>
              <w:top w:val="single" w:sz="8" w:space="0" w:color="auto"/>
            </w:tcBorders>
            <w:vAlign w:val="center"/>
          </w:tcPr>
          <w:p w14:paraId="28A35378" w14:textId="0C7BFE22" w:rsidR="0019540C" w:rsidRPr="007B0AEB" w:rsidRDefault="00823E04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Fem</w:t>
            </w:r>
            <w:r w:rsidR="007B0AEB" w:rsidRPr="007B0AEB">
              <w:rPr>
                <w:rFonts w:ascii="Times New Roman" w:hAnsi="Times New Roman" w:cs="Times New Roman"/>
                <w:sz w:val="24"/>
              </w:rPr>
              <w:t>ale</w:t>
            </w:r>
          </w:p>
        </w:tc>
        <w:tc>
          <w:tcPr>
            <w:tcW w:w="2254" w:type="dxa"/>
            <w:tcBorders>
              <w:top w:val="single" w:sz="8" w:space="0" w:color="auto"/>
            </w:tcBorders>
            <w:vAlign w:val="center"/>
          </w:tcPr>
          <w:p w14:paraId="1CC5D912" w14:textId="6F06E953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</w:t>
            </w:r>
            <w:r w:rsidR="00444415">
              <w:rPr>
                <w:rFonts w:ascii="Times New Roman" w:hAnsi="Times New Roman" w:cs="Times New Roman"/>
                <w:sz w:val="24"/>
              </w:rPr>
              <w:t>309</w:t>
            </w:r>
          </w:p>
        </w:tc>
        <w:tc>
          <w:tcPr>
            <w:tcW w:w="2254" w:type="dxa"/>
            <w:tcBorders>
              <w:top w:val="single" w:sz="8" w:space="0" w:color="auto"/>
              <w:right w:val="nil"/>
            </w:tcBorders>
            <w:vAlign w:val="center"/>
          </w:tcPr>
          <w:p w14:paraId="6D253D09" w14:textId="43275BD1" w:rsidR="0019540C" w:rsidRPr="007B0AEB" w:rsidRDefault="00444415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7.80</w:t>
            </w:r>
          </w:p>
        </w:tc>
      </w:tr>
      <w:tr w:rsidR="0019540C" w:rsidRPr="007B0AEB" w14:paraId="6F4E272C" w14:textId="77777777" w:rsidTr="00C35EDC">
        <w:tc>
          <w:tcPr>
            <w:tcW w:w="2254" w:type="dxa"/>
            <w:vMerge/>
            <w:tcBorders>
              <w:left w:val="nil"/>
              <w:bottom w:val="single" w:sz="18" w:space="0" w:color="auto"/>
            </w:tcBorders>
            <w:vAlign w:val="center"/>
          </w:tcPr>
          <w:p w14:paraId="420B0223" w14:textId="77777777" w:rsidR="0019540C" w:rsidRPr="007B0AEB" w:rsidRDefault="0019540C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  <w:tcBorders>
              <w:bottom w:val="single" w:sz="18" w:space="0" w:color="auto"/>
            </w:tcBorders>
            <w:vAlign w:val="center"/>
          </w:tcPr>
          <w:p w14:paraId="3B5DD806" w14:textId="18ECC49F" w:rsidR="0019540C" w:rsidRPr="007B0AEB" w:rsidRDefault="00823E04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="007B0AEB" w:rsidRPr="007B0AEB">
              <w:rPr>
                <w:rFonts w:ascii="Times New Roman" w:hAnsi="Times New Roman" w:cs="Times New Roman"/>
                <w:sz w:val="24"/>
              </w:rPr>
              <w:t>ale</w:t>
            </w:r>
          </w:p>
        </w:tc>
        <w:tc>
          <w:tcPr>
            <w:tcW w:w="2254" w:type="dxa"/>
            <w:tcBorders>
              <w:bottom w:val="single" w:sz="18" w:space="0" w:color="auto"/>
            </w:tcBorders>
            <w:vAlign w:val="center"/>
          </w:tcPr>
          <w:p w14:paraId="1A3539D2" w14:textId="3ECF9DC8" w:rsidR="0019540C" w:rsidRPr="007B0AEB" w:rsidRDefault="007B0AEB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</w:t>
            </w:r>
            <w:r w:rsidR="00444415">
              <w:rPr>
                <w:rFonts w:ascii="Times New Roman" w:hAnsi="Times New Roman" w:cs="Times New Roman"/>
                <w:sz w:val="24"/>
              </w:rPr>
              <w:t>410</w:t>
            </w:r>
          </w:p>
        </w:tc>
        <w:tc>
          <w:tcPr>
            <w:tcW w:w="2254" w:type="dxa"/>
            <w:tcBorders>
              <w:bottom w:val="single" w:sz="18" w:space="0" w:color="auto"/>
              <w:right w:val="nil"/>
            </w:tcBorders>
            <w:vAlign w:val="center"/>
          </w:tcPr>
          <w:p w14:paraId="06F7E663" w14:textId="495A7C18" w:rsidR="0019540C" w:rsidRPr="007B0AEB" w:rsidRDefault="007D7EAD" w:rsidP="00C35EDC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44415">
              <w:rPr>
                <w:rFonts w:ascii="Times New Roman" w:hAnsi="Times New Roman" w:cs="Times New Roman"/>
                <w:sz w:val="24"/>
              </w:rPr>
              <w:t>0.36</w:t>
            </w:r>
          </w:p>
        </w:tc>
      </w:tr>
    </w:tbl>
    <w:p w14:paraId="7BF299EE" w14:textId="27CF5E49" w:rsidR="008F044C" w:rsidRDefault="008F044C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3B8CF57" w14:textId="44F25A62" w:rsidR="005857A3" w:rsidRDefault="005857A3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lastRenderedPageBreak/>
        <w:t xml:space="preserve">Table </w:t>
      </w:r>
      <w:r w:rsidR="001972B5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. </w:t>
      </w:r>
      <w:r w:rsidR="005400A6">
        <w:rPr>
          <w:rFonts w:ascii="Times New Roman" w:hAnsi="Times New Roman" w:cs="Times New Roman"/>
          <w:b/>
          <w:sz w:val="24"/>
        </w:rPr>
        <w:t xml:space="preserve"> Increased risk of </w:t>
      </w:r>
      <w:r w:rsidR="001137DD">
        <w:rPr>
          <w:rFonts w:ascii="Times New Roman" w:hAnsi="Times New Roman" w:cs="Times New Roman"/>
          <w:b/>
          <w:sz w:val="24"/>
        </w:rPr>
        <w:t>colorectal cancer</w:t>
      </w:r>
      <w:r w:rsidR="005400A6">
        <w:rPr>
          <w:rFonts w:ascii="Times New Roman" w:hAnsi="Times New Roman" w:cs="Times New Roman"/>
          <w:b/>
          <w:sz w:val="24"/>
        </w:rPr>
        <w:t xml:space="preserve"> according to positive family history in first-degree relatives</w:t>
      </w:r>
    </w:p>
    <w:tbl>
      <w:tblPr>
        <w:tblW w:w="996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2"/>
        <w:gridCol w:w="1679"/>
        <w:gridCol w:w="2226"/>
        <w:gridCol w:w="1980"/>
        <w:gridCol w:w="1173"/>
        <w:gridCol w:w="123"/>
      </w:tblGrid>
      <w:tr w:rsidR="006C1B6B" w:rsidRPr="009C42D2" w14:paraId="314E5E09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084838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Factor</w:t>
            </w:r>
          </w:p>
        </w:tc>
        <w:tc>
          <w:tcPr>
            <w:tcW w:w="167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753E7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Number </w:t>
            </w: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of subjects</w:t>
            </w:r>
          </w:p>
        </w:tc>
        <w:tc>
          <w:tcPr>
            <w:tcW w:w="2226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A8A4D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Covariate adjusted</w:t>
            </w: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Hazard ratio</w:t>
            </w:r>
          </w:p>
        </w:tc>
        <w:tc>
          <w:tcPr>
            <w:tcW w:w="198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88D74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95% Confidence</w:t>
            </w: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br/>
              <w:t>Interval</w:t>
            </w:r>
          </w:p>
        </w:tc>
        <w:tc>
          <w:tcPr>
            <w:tcW w:w="1296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7810B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P-value</w:t>
            </w:r>
          </w:p>
        </w:tc>
      </w:tr>
      <w:tr w:rsidR="006C1B6B" w:rsidRPr="009C42D2" w14:paraId="1C61FB9E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4D59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Family history of CRC</w:t>
            </w:r>
          </w:p>
        </w:tc>
        <w:tc>
          <w:tcPr>
            <w:tcW w:w="167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F60D26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33F06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75A94F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ED3DA1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C1B6B" w:rsidRPr="009C42D2" w14:paraId="2B1739CA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FEA3BA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No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DC13C7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1,766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EF80D9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1.00 (ref)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2EF095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-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D03F40" w14:textId="7FCCBFD1" w:rsidR="006C1B6B" w:rsidRPr="009C42D2" w:rsidRDefault="006C1B6B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C1B6B" w:rsidRPr="009C42D2" w14:paraId="17EC7848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10D56C" w14:textId="2EAE38F6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Yes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(≥ 1 affected FDR)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D85E4F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186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6E0E1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1.1998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0DEBF5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[1.0306 , 1.3968]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21F624" w14:textId="5DFAD0C3" w:rsidR="006C1B6B" w:rsidRPr="009C42D2" w:rsidRDefault="006C1B6B" w:rsidP="00E22F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0.0188</w:t>
            </w:r>
          </w:p>
        </w:tc>
      </w:tr>
      <w:tr w:rsidR="006C1B6B" w:rsidRPr="009C42D2" w14:paraId="70E13FAA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CF1448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No. of affected FDRs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49FBDA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FB10A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7941D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A0150" w14:textId="77777777" w:rsidR="006C1B6B" w:rsidRPr="009C42D2" w:rsidRDefault="006C1B6B" w:rsidP="00E22F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C1B6B" w:rsidRPr="009C42D2" w14:paraId="395A796C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54424A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0 (no FH)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FC928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1,766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54C6D2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1.00 (ref)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C1E1B" w14:textId="77777777" w:rsidR="006C1B6B" w:rsidRPr="009C42D2" w:rsidRDefault="006C1B6B" w:rsidP="006C1B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FBFE60" w14:textId="77777777" w:rsidR="006C1B6B" w:rsidRPr="009C42D2" w:rsidRDefault="006C1B6B" w:rsidP="00E22FB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C1B6B" w:rsidRPr="009C42D2" w14:paraId="6EE468F7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10830" w14:textId="2D9E53AE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1 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affected </w:t>
            </w: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FDR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3FF1D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160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EE808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1.2540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85559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[1.0657 , 1.4756]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FEF407" w14:textId="77777777" w:rsidR="006C1B6B" w:rsidRPr="009C42D2" w:rsidRDefault="006C1B6B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0.0064</w:t>
            </w:r>
          </w:p>
        </w:tc>
      </w:tr>
      <w:tr w:rsidR="00E22FB5" w:rsidRPr="009C42D2" w14:paraId="189A7A94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9BB3F5" w14:textId="5F8027C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≥ 2 </w:t>
            </w:r>
            <w:r w:rsidR="00113224"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affected </w:t>
            </w: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FDR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538AF5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26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06A163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0.9479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A1847" w14:textId="77777777" w:rsidR="006C1B6B" w:rsidRPr="009C42D2" w:rsidRDefault="006C1B6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[0.9133 , 1.0948]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20FF2" w14:textId="77777777" w:rsidR="006C1B6B" w:rsidRPr="009C42D2" w:rsidRDefault="006C1B6B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9C42D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0.7865</w:t>
            </w:r>
          </w:p>
        </w:tc>
      </w:tr>
      <w:tr w:rsidR="009C42D2" w:rsidRPr="009C42D2" w14:paraId="13151EB5" w14:textId="77777777" w:rsidTr="001972B5">
        <w:trPr>
          <w:gridAfter w:val="1"/>
          <w:wAfter w:w="123" w:type="dxa"/>
          <w:trHeight w:val="454"/>
          <w:jc w:val="center"/>
        </w:trPr>
        <w:tc>
          <w:tcPr>
            <w:tcW w:w="4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4C1F2A" w14:textId="23A9C9F5" w:rsidR="009C42D2" w:rsidRPr="009C42D2" w:rsidRDefault="009C42D2" w:rsidP="009C42D2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color w:val="000000"/>
                <w:kern w:val="24"/>
                <w:sz w:val="24"/>
                <w:szCs w:val="24"/>
              </w:rPr>
              <w:t>Proportion of affected FDRs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546326" w14:textId="77777777" w:rsidR="009C42D2" w:rsidRPr="009C42D2" w:rsidRDefault="009C42D2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6CA14B" w14:textId="77777777" w:rsidR="009C42D2" w:rsidRPr="009C42D2" w:rsidRDefault="009C42D2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7470B8" w14:textId="77777777" w:rsidR="009C42D2" w:rsidRPr="009C42D2" w:rsidRDefault="009C42D2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</w:p>
        </w:tc>
      </w:tr>
      <w:tr w:rsidR="00E22FB5" w:rsidRPr="009C42D2" w14:paraId="20F74A2C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28B305" w14:textId="56C37140" w:rsidR="009C42D2" w:rsidRPr="009C42D2" w:rsidRDefault="00D66336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[0 – 0.125)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68CEF7" w14:textId="1E13299F" w:rsidR="009C42D2" w:rsidRPr="009C42D2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1,843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D88EDA" w14:textId="600687EE" w:rsidR="009C42D2" w:rsidRPr="00962B3B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Batang" w:eastAsia="Batang" w:hAnsi="Batang" w:cs="Batang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1.00 (</w:t>
            </w:r>
            <w:r>
              <w:rPr>
                <w:rFonts w:ascii="Times New Roman" w:eastAsia="Times New Roman" w:hAnsi="Times New Roman" w:cs="Times New Roman" w:hint="eastAsia"/>
                <w:color w:val="000000"/>
                <w:kern w:val="2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ef)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ED3914" w14:textId="77777777" w:rsidR="009C42D2" w:rsidRPr="009C42D2" w:rsidRDefault="009C42D2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B3A614" w14:textId="77777777" w:rsidR="009C42D2" w:rsidRPr="009C42D2" w:rsidRDefault="009C42D2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</w:p>
        </w:tc>
      </w:tr>
      <w:tr w:rsidR="00E22FB5" w:rsidRPr="009C42D2" w14:paraId="06775C9F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3DCB" w14:textId="38B588DA" w:rsidR="009C42D2" w:rsidRPr="009C42D2" w:rsidRDefault="00D66336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[0.125 – 0.3)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3F436E" w14:textId="0484E33D" w:rsidR="009C42D2" w:rsidRPr="009C42D2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100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A8CA8" w14:textId="4B7F45FE" w:rsidR="009C42D2" w:rsidRPr="009C42D2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1.5949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C2DDA0" w14:textId="25108DA5" w:rsidR="009C42D2" w:rsidRPr="00871AC7" w:rsidRDefault="00871AC7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871AC7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[1.3031 , 1.9519]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BD1FBD" w14:textId="56DD86A7" w:rsidR="009C42D2" w:rsidRPr="00E22FB5" w:rsidRDefault="00E22FB5" w:rsidP="00E22FB5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Batang" w:eastAsia="Batang" w:hAnsi="Batang" w:cs="Batang"/>
                <w:i/>
                <w:color w:val="000000"/>
                <w:kern w:val="24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5.93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vertAlign w:val="superscript"/>
              </w:rPr>
              <w:t>-6</w:t>
            </w:r>
          </w:p>
        </w:tc>
      </w:tr>
      <w:tr w:rsidR="009C42D2" w:rsidRPr="009C42D2" w14:paraId="63F0C0D0" w14:textId="77777777" w:rsidTr="001972B5">
        <w:trPr>
          <w:trHeight w:val="454"/>
          <w:jc w:val="center"/>
        </w:trPr>
        <w:tc>
          <w:tcPr>
            <w:tcW w:w="2782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95FF14" w14:textId="419E346C" w:rsidR="009C42D2" w:rsidRPr="009C42D2" w:rsidRDefault="00D66336" w:rsidP="006C1B6B">
            <w:pPr>
              <w:widowControl/>
              <w:autoSpaceDE/>
              <w:autoSpaceDN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 [0.3 – 1]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755BD" w14:textId="790E56A6" w:rsidR="009C42D2" w:rsidRPr="009C42D2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9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512BB2" w14:textId="1EA04D7F" w:rsidR="009C42D2" w:rsidRPr="009C42D2" w:rsidRDefault="00962B3B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2.7498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06250D" w14:textId="3594E033" w:rsidR="009C42D2" w:rsidRPr="00871AC7" w:rsidRDefault="00871AC7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871AC7">
              <w:rPr>
                <w:rFonts w:ascii="Times New Roman" w:eastAsia="Malgun Gothic" w:hAnsi="Times New Roman" w:cs="Times New Roman"/>
                <w:color w:val="000000"/>
                <w:kern w:val="24"/>
                <w:sz w:val="24"/>
                <w:szCs w:val="24"/>
              </w:rPr>
              <w:t>[1.4246 , 5.3078]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C85850" w14:textId="3B0EC9AC" w:rsidR="009C42D2" w:rsidRPr="00E22FB5" w:rsidRDefault="00E22FB5" w:rsidP="006C1B6B">
            <w:pPr>
              <w:widowControl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2.75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vertAlign w:val="superscript"/>
              </w:rPr>
              <w:t>-3</w:t>
            </w:r>
          </w:p>
        </w:tc>
      </w:tr>
    </w:tbl>
    <w:p w14:paraId="50115530" w14:textId="77777777" w:rsidR="00617652" w:rsidRDefault="00617652" w:rsidP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</w:p>
    <w:p w14:paraId="069E1ED1" w14:textId="77777777" w:rsidR="00617652" w:rsidRDefault="00617652" w:rsidP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</w:p>
    <w:p w14:paraId="10F2D390" w14:textId="77777777" w:rsidR="00617652" w:rsidRDefault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BECAACF" w14:textId="280DCACD" w:rsidR="00617652" w:rsidRPr="006C0D63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1.</w:t>
      </w:r>
      <w:r w:rsidR="008470C4">
        <w:rPr>
          <w:rFonts w:ascii="Times New Roman" w:hAnsi="Times New Roman" w:cs="Times New Roman"/>
          <w:b/>
          <w:sz w:val="24"/>
        </w:rPr>
        <w:t xml:space="preserve"> </w:t>
      </w:r>
      <w:r w:rsidR="00024835">
        <w:rPr>
          <w:rFonts w:ascii="Times New Roman" w:hAnsi="Times New Roman" w:cs="Times New Roman"/>
          <w:b/>
          <w:sz w:val="24"/>
        </w:rPr>
        <w:t>Risk ratio</w:t>
      </w:r>
      <w:r w:rsidR="005F17DE">
        <w:rPr>
          <w:rFonts w:ascii="Times New Roman" w:hAnsi="Times New Roman" w:cs="Times New Roman"/>
          <w:b/>
          <w:sz w:val="24"/>
        </w:rPr>
        <w:t xml:space="preserve"> of </w:t>
      </w:r>
      <w:r w:rsidR="00024835">
        <w:rPr>
          <w:rFonts w:ascii="Times New Roman" w:hAnsi="Times New Roman" w:cs="Times New Roman"/>
          <w:b/>
          <w:sz w:val="24"/>
        </w:rPr>
        <w:t xml:space="preserve">the probability of </w:t>
      </w:r>
      <w:r w:rsidR="005F17DE">
        <w:rPr>
          <w:rFonts w:ascii="Times New Roman" w:hAnsi="Times New Roman" w:cs="Times New Roman"/>
          <w:b/>
          <w:sz w:val="24"/>
        </w:rPr>
        <w:t>being affected to the CRC with the several number</w:t>
      </w:r>
      <w:r w:rsidR="006C0D63">
        <w:rPr>
          <w:rFonts w:ascii="Times New Roman" w:hAnsi="Times New Roman" w:cs="Times New Roman"/>
          <w:b/>
          <w:sz w:val="24"/>
        </w:rPr>
        <w:t>s</w:t>
      </w:r>
      <w:r w:rsidR="005F17DE">
        <w:rPr>
          <w:rFonts w:ascii="Times New Roman" w:hAnsi="Times New Roman" w:cs="Times New Roman"/>
          <w:b/>
          <w:sz w:val="24"/>
        </w:rPr>
        <w:t xml:space="preserve"> of affected FDRs</w:t>
      </w:r>
      <w:r w:rsidR="00024835">
        <w:rPr>
          <w:rFonts w:ascii="Times New Roman" w:hAnsi="Times New Roman" w:cs="Times New Roman"/>
          <w:b/>
          <w:sz w:val="24"/>
        </w:rPr>
        <w:t xml:space="preserve"> to the baseline risk.</w:t>
      </w:r>
      <w:r w:rsidR="006C0D63">
        <w:rPr>
          <w:rFonts w:ascii="Times New Roman" w:hAnsi="Times New Roman" w:cs="Times New Roman"/>
          <w:sz w:val="24"/>
        </w:rPr>
        <w:t xml:space="preserve"> </w:t>
      </w:r>
      <w:r w:rsidR="00324958">
        <w:rPr>
          <w:rFonts w:ascii="Times New Roman" w:hAnsi="Times New Roman" w:cs="Times New Roman"/>
          <w:sz w:val="24"/>
        </w:rPr>
        <w:t xml:space="preserve">For the nuclear family consisting of </w:t>
      </w:r>
      <w:r w:rsidR="00B0471B">
        <w:rPr>
          <w:rFonts w:ascii="Times New Roman" w:hAnsi="Times New Roman" w:cs="Times New Roman"/>
          <w:sz w:val="24"/>
        </w:rPr>
        <w:t>the parents and two offsprings,</w:t>
      </w:r>
      <w:r w:rsidR="00BA5845">
        <w:rPr>
          <w:rFonts w:ascii="Times New Roman" w:hAnsi="Times New Roman" w:cs="Times New Roman"/>
          <w:sz w:val="24"/>
        </w:rPr>
        <w:t xml:space="preserve"> we calculated </w:t>
      </w:r>
      <w:r w:rsidR="007D1C0D">
        <w:rPr>
          <w:rFonts w:ascii="Times New Roman" w:hAnsi="Times New Roman" w:cs="Times New Roman"/>
          <w:sz w:val="24"/>
        </w:rPr>
        <w:t xml:space="preserve">the relative risk of </w:t>
      </w:r>
      <w:r w:rsidR="00BA5845">
        <w:rPr>
          <w:rFonts w:ascii="Times New Roman" w:hAnsi="Times New Roman" w:cs="Times New Roman"/>
          <w:sz w:val="24"/>
        </w:rPr>
        <w:t>the probabilit</w:t>
      </w:r>
      <w:r w:rsidR="008F690E">
        <w:rPr>
          <w:rFonts w:ascii="Times New Roman" w:hAnsi="Times New Roman" w:cs="Times New Roman"/>
          <w:sz w:val="24"/>
        </w:rPr>
        <w:t>ies</w:t>
      </w:r>
      <w:r w:rsidR="00BA5845">
        <w:rPr>
          <w:rFonts w:ascii="Times New Roman" w:hAnsi="Times New Roman" w:cs="Times New Roman"/>
          <w:sz w:val="24"/>
        </w:rPr>
        <w:t xml:space="preserve"> of being affected to the CRC for the first offspring when the affected relatives </w:t>
      </w:r>
      <w:r w:rsidR="00DD69EA">
        <w:rPr>
          <w:rFonts w:ascii="Times New Roman" w:hAnsi="Times New Roman" w:cs="Times New Roman"/>
          <w:sz w:val="24"/>
        </w:rPr>
        <w:t>are added</w:t>
      </w:r>
      <w:r w:rsidR="00BA5845">
        <w:rPr>
          <w:rFonts w:ascii="Times New Roman" w:hAnsi="Times New Roman" w:cs="Times New Roman"/>
          <w:sz w:val="24"/>
        </w:rPr>
        <w:t>.</w:t>
      </w:r>
      <w:r w:rsidR="007D1C0D">
        <w:rPr>
          <w:rFonts w:ascii="Times New Roman" w:hAnsi="Times New Roman" w:cs="Times New Roman"/>
          <w:sz w:val="24"/>
        </w:rPr>
        <w:t xml:space="preserve"> </w:t>
      </w:r>
      <w:r w:rsidR="00180127">
        <w:rPr>
          <w:rFonts w:ascii="Times New Roman" w:hAnsi="Times New Roman" w:cs="Times New Roman"/>
          <w:sz w:val="24"/>
        </w:rPr>
        <w:t>The prevalence of the CRC in Korea was 0.002326.</w:t>
      </w:r>
      <w:r w:rsidR="00BA5845">
        <w:rPr>
          <w:rFonts w:ascii="Times New Roman" w:hAnsi="Times New Roman" w:cs="Times New Roman"/>
          <w:sz w:val="24"/>
        </w:rPr>
        <w:t xml:space="preserve"> </w:t>
      </w:r>
    </w:p>
    <w:p w14:paraId="4161B9FD" w14:textId="77777777" w:rsidR="00617652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B113FAD" wp14:editId="561F8F21">
            <wp:extent cx="5486400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C_familial_ri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033D" w14:textId="77777777" w:rsidR="00617652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96E1D52" w14:textId="583F40C4" w:rsidR="00617652" w:rsidRPr="00E66F0A" w:rsidRDefault="00617652" w:rsidP="00CE2A77">
      <w:pPr>
        <w:widowControl/>
        <w:wordWrap/>
        <w:autoSpaceDE/>
        <w:autoSpaceDN/>
        <w:spacing w:after="160"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2.</w:t>
      </w:r>
      <w:r w:rsidR="00A5646D">
        <w:rPr>
          <w:rFonts w:ascii="Times New Roman" w:hAnsi="Times New Roman" w:cs="Times New Roman"/>
          <w:b/>
          <w:sz w:val="24"/>
        </w:rPr>
        <w:t xml:space="preserve"> </w:t>
      </w:r>
      <w:r w:rsidR="00CE2A77">
        <w:rPr>
          <w:rFonts w:ascii="Times New Roman" w:hAnsi="Times New Roman" w:cs="Times New Roman"/>
          <w:b/>
          <w:sz w:val="24"/>
        </w:rPr>
        <w:t>Relative risk of the p</w:t>
      </w:r>
      <w:r w:rsidR="00391CC1">
        <w:rPr>
          <w:rFonts w:ascii="Times New Roman" w:hAnsi="Times New Roman" w:cs="Times New Roman"/>
          <w:b/>
          <w:sz w:val="24"/>
        </w:rPr>
        <w:t>robability of being affected to the CRC with the different number</w:t>
      </w:r>
      <w:r w:rsidR="00185EEA">
        <w:rPr>
          <w:rFonts w:ascii="Times New Roman" w:hAnsi="Times New Roman" w:cs="Times New Roman"/>
          <w:b/>
          <w:sz w:val="24"/>
        </w:rPr>
        <w:t>s</w:t>
      </w:r>
      <w:r w:rsidR="00391CC1">
        <w:rPr>
          <w:rFonts w:ascii="Times New Roman" w:hAnsi="Times New Roman" w:cs="Times New Roman"/>
          <w:b/>
          <w:sz w:val="24"/>
        </w:rPr>
        <w:t xml:space="preserve"> of u</w:t>
      </w:r>
      <w:r w:rsidR="00142E8F">
        <w:rPr>
          <w:rFonts w:ascii="Times New Roman" w:hAnsi="Times New Roman" w:cs="Times New Roman"/>
          <w:b/>
          <w:sz w:val="24"/>
        </w:rPr>
        <w:t>n</w:t>
      </w:r>
      <w:r w:rsidR="00391CC1">
        <w:rPr>
          <w:rFonts w:ascii="Times New Roman" w:hAnsi="Times New Roman" w:cs="Times New Roman"/>
          <w:b/>
          <w:sz w:val="24"/>
        </w:rPr>
        <w:t>affected FDRs</w:t>
      </w:r>
      <w:r w:rsidR="00CE2A77">
        <w:rPr>
          <w:rFonts w:ascii="Times New Roman" w:hAnsi="Times New Roman" w:cs="Times New Roman"/>
          <w:b/>
          <w:sz w:val="24"/>
        </w:rPr>
        <w:t xml:space="preserve"> to the probability of being affected for the </w:t>
      </w:r>
      <w:r w:rsidR="00693E30">
        <w:rPr>
          <w:rFonts w:ascii="Times New Roman" w:hAnsi="Times New Roman" w:cs="Times New Roman"/>
          <w:b/>
          <w:sz w:val="24"/>
        </w:rPr>
        <w:t>proband</w:t>
      </w:r>
      <w:bookmarkStart w:id="0" w:name="_GoBack"/>
      <w:bookmarkEnd w:id="0"/>
      <w:r w:rsidR="00CE2A77">
        <w:rPr>
          <w:rFonts w:ascii="Times New Roman" w:hAnsi="Times New Roman" w:cs="Times New Roman"/>
          <w:b/>
          <w:sz w:val="24"/>
        </w:rPr>
        <w:t xml:space="preserve"> with no unaffected FDRs</w:t>
      </w:r>
      <w:r w:rsidR="00156902">
        <w:rPr>
          <w:rFonts w:ascii="Times New Roman" w:hAnsi="Times New Roman" w:cs="Times New Roman"/>
          <w:b/>
          <w:sz w:val="24"/>
        </w:rPr>
        <w:t>.</w:t>
      </w:r>
      <w:r w:rsidR="00C86EDF">
        <w:rPr>
          <w:rFonts w:ascii="Times New Roman" w:hAnsi="Times New Roman" w:cs="Times New Roman"/>
          <w:b/>
          <w:sz w:val="24"/>
        </w:rPr>
        <w:t xml:space="preserve"> </w:t>
      </w:r>
      <w:r w:rsidR="00E66F0A">
        <w:rPr>
          <w:rFonts w:ascii="Times New Roman" w:hAnsi="Times New Roman" w:cs="Times New Roman"/>
          <w:sz w:val="24"/>
        </w:rPr>
        <w:t xml:space="preserve">We considered probands having two affected FDRs and </w:t>
      </w:r>
      <w:r w:rsidR="00F83E43">
        <w:rPr>
          <w:rFonts w:ascii="Times New Roman" w:hAnsi="Times New Roman" w:cs="Times New Roman"/>
          <w:sz w:val="24"/>
        </w:rPr>
        <w:t>calculated risk probabilities when unaffected FDRs are added.</w:t>
      </w:r>
    </w:p>
    <w:p w14:paraId="60678451" w14:textId="77777777" w:rsidR="00617652" w:rsidRDefault="00617652" w:rsidP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2282ABA" wp14:editId="16E7CF90">
            <wp:extent cx="54864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C_risk_nFD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 w:type="page"/>
      </w:r>
    </w:p>
    <w:p w14:paraId="7E4BF3BC" w14:textId="77777777" w:rsidR="00617652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Figure 3. Histogram of proportion of affected FDRs excluding those with no family history.</w:t>
      </w:r>
    </w:p>
    <w:p w14:paraId="42D26B1B" w14:textId="77777777" w:rsidR="00617652" w:rsidRPr="00F430FD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 w:rsidRPr="00351A6B"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7483CA52" wp14:editId="7EF59DAD">
            <wp:extent cx="5731510" cy="5373370"/>
            <wp:effectExtent l="0" t="0" r="254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histo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D5BC" w14:textId="77777777" w:rsidR="00617652" w:rsidRDefault="00617652" w:rsidP="00617652">
      <w:pPr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4D8131F3" w14:textId="65914569" w:rsidR="00DA0A27" w:rsidRDefault="00DA0A27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D8F0DB4" w14:textId="3914AB37" w:rsidR="005857A3" w:rsidRPr="00617652" w:rsidRDefault="005857A3" w:rsidP="00617652">
      <w:pPr>
        <w:widowControl/>
        <w:wordWrap/>
        <w:autoSpaceDE/>
        <w:autoSpaceDN/>
        <w:spacing w:after="160" w:line="259" w:lineRule="auto"/>
        <w:jc w:val="left"/>
        <w:rPr>
          <w:rFonts w:ascii="Times New Roman" w:hAnsi="Times New Roman" w:cs="Times New Roman"/>
          <w:b/>
          <w:sz w:val="24"/>
        </w:rPr>
        <w:sectPr w:rsidR="005857A3" w:rsidRPr="00617652" w:rsidSect="00614ACF">
          <w:pgSz w:w="11906" w:h="16838"/>
          <w:pgMar w:top="1701" w:right="1440" w:bottom="1440" w:left="1440" w:header="851" w:footer="992" w:gutter="0"/>
          <w:lnNumType w:countBy="1"/>
          <w:cols w:space="425"/>
          <w:docGrid w:linePitch="360"/>
        </w:sectPr>
      </w:pPr>
    </w:p>
    <w:p w14:paraId="5F8827CA" w14:textId="18D56DED" w:rsidR="00DA0A27" w:rsidRPr="00E041BF" w:rsidRDefault="00DA0A27" w:rsidP="005857A3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Figure 4. </w:t>
      </w:r>
      <w:r w:rsidR="00BB10F5">
        <w:rPr>
          <w:rFonts w:ascii="Times New Roman" w:hAnsi="Times New Roman" w:cs="Times New Roman"/>
          <w:b/>
          <w:sz w:val="24"/>
        </w:rPr>
        <w:t>AIC</w:t>
      </w:r>
      <w:r w:rsidR="00E041BF">
        <w:rPr>
          <w:rFonts w:ascii="Times New Roman" w:hAnsi="Times New Roman" w:cs="Times New Roman"/>
          <w:b/>
          <w:sz w:val="24"/>
        </w:rPr>
        <w:t>s</w:t>
      </w:r>
      <w:r w:rsidR="00BB10F5">
        <w:rPr>
          <w:rFonts w:ascii="Times New Roman" w:hAnsi="Times New Roman" w:cs="Times New Roman"/>
          <w:b/>
          <w:sz w:val="24"/>
        </w:rPr>
        <w:t xml:space="preserve"> of Cox proportional hazard model for </w:t>
      </w:r>
      <w:r w:rsidR="00A61C2A">
        <w:rPr>
          <w:rFonts w:ascii="Times New Roman" w:hAnsi="Times New Roman" w:cs="Times New Roman"/>
          <w:b/>
          <w:sz w:val="24"/>
        </w:rPr>
        <w:t>different cutoff values</w:t>
      </w:r>
      <w:r w:rsidR="0035472F">
        <w:rPr>
          <w:rFonts w:ascii="Times New Roman" w:hAnsi="Times New Roman" w:cs="Times New Roman"/>
          <w:b/>
          <w:sz w:val="24"/>
        </w:rPr>
        <w:t>.</w:t>
      </w:r>
      <w:r w:rsidR="00A74378">
        <w:rPr>
          <w:rFonts w:ascii="Times New Roman" w:hAnsi="Times New Roman" w:cs="Times New Roman"/>
          <w:b/>
          <w:sz w:val="24"/>
        </w:rPr>
        <w:t xml:space="preserve"> </w:t>
      </w:r>
      <w:r w:rsidR="00E041BF">
        <w:rPr>
          <w:rFonts w:ascii="Times New Roman" w:hAnsi="Times New Roman" w:cs="Times New Roman"/>
          <w:sz w:val="24"/>
        </w:rPr>
        <w:t xml:space="preserve">a) We divided the probands into two groups </w:t>
      </w:r>
      <w:r w:rsidR="0010183A">
        <w:rPr>
          <w:rFonts w:ascii="Times New Roman" w:hAnsi="Times New Roman" w:cs="Times New Roman"/>
          <w:sz w:val="24"/>
        </w:rPr>
        <w:t xml:space="preserve">with the cutoff value of the proportion of the affected FDRs. The cutoff with the smallest AIC was 0.125. b) Setting 0.125 as the first cutoff values, we </w:t>
      </w:r>
      <w:r w:rsidR="000A04F3">
        <w:rPr>
          <w:rFonts w:ascii="Times New Roman" w:hAnsi="Times New Roman" w:cs="Times New Roman"/>
          <w:sz w:val="24"/>
        </w:rPr>
        <w:t xml:space="preserve">calculated AICs </w:t>
      </w:r>
      <w:r w:rsidR="0080764C">
        <w:rPr>
          <w:rFonts w:ascii="Times New Roman" w:hAnsi="Times New Roman" w:cs="Times New Roman"/>
          <w:sz w:val="24"/>
        </w:rPr>
        <w:t xml:space="preserve">further categorizing probands into three groups with several second cutoff values. </w:t>
      </w:r>
      <w:r w:rsidR="0092540F">
        <w:rPr>
          <w:rFonts w:ascii="Times New Roman" w:hAnsi="Times New Roman" w:cs="Times New Roman"/>
          <w:sz w:val="24"/>
        </w:rPr>
        <w:t xml:space="preserve">The smallest AIC was obtained </w:t>
      </w:r>
      <w:r w:rsidR="00250A13">
        <w:rPr>
          <w:rFonts w:ascii="Times New Roman" w:hAnsi="Times New Roman" w:cs="Times New Roman"/>
          <w:sz w:val="24"/>
        </w:rPr>
        <w:t xml:space="preserve">at the cutoff values of </w:t>
      </w:r>
      <w:r w:rsidR="007D32B8">
        <w:rPr>
          <w:rFonts w:ascii="Times New Roman" w:hAnsi="Times New Roman" w:cs="Times New Roman"/>
          <w:sz w:val="24"/>
        </w:rPr>
        <w:t xml:space="preserve">0.29 and 0.33, and we </w:t>
      </w:r>
      <w:r w:rsidR="00CD5BB9">
        <w:rPr>
          <w:rFonts w:ascii="Times New Roman" w:hAnsi="Times New Roman" w:cs="Times New Roman"/>
          <w:sz w:val="24"/>
        </w:rPr>
        <w:t>used 0.3 for the second cutoff values.</w:t>
      </w:r>
    </w:p>
    <w:p w14:paraId="08C3563A" w14:textId="77777777" w:rsidR="00DA0A27" w:rsidRDefault="00DA0A27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p w14:paraId="6CBD8A04" w14:textId="4A4FD9DA" w:rsidR="00DA0A27" w:rsidRDefault="00DA0A27" w:rsidP="005857A3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  <w:sectPr w:rsidR="00DA0A27" w:rsidSect="00614ACF">
          <w:pgSz w:w="16838" w:h="11906" w:orient="landscape"/>
          <w:pgMar w:top="1440" w:right="1701" w:bottom="1440" w:left="1440" w:header="851" w:footer="992" w:gutter="0"/>
          <w:lnNumType w:countBy="1"/>
          <w:cols w:space="425"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46565DF" wp14:editId="0303B810">
            <wp:extent cx="8697595" cy="4349115"/>
            <wp:effectExtent l="0" t="0" r="1905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xph_AI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7DC6" w14:textId="77777777" w:rsidR="00301810" w:rsidRDefault="00301810"/>
    <w:sectPr w:rsidR="00301810" w:rsidSect="00614ACF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813B7" w14:textId="77777777" w:rsidR="009B27FD" w:rsidRDefault="009B27FD" w:rsidP="00DD7D78">
      <w:pPr>
        <w:spacing w:after="0" w:line="240" w:lineRule="auto"/>
      </w:pPr>
      <w:r>
        <w:separator/>
      </w:r>
    </w:p>
  </w:endnote>
  <w:endnote w:type="continuationSeparator" w:id="0">
    <w:p w14:paraId="7805352D" w14:textId="77777777" w:rsidR="009B27FD" w:rsidRDefault="009B27FD" w:rsidP="00DD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888FB" w14:textId="77777777" w:rsidR="009B27FD" w:rsidRDefault="009B27FD" w:rsidP="00DD7D78">
      <w:pPr>
        <w:spacing w:after="0" w:line="240" w:lineRule="auto"/>
      </w:pPr>
      <w:r>
        <w:separator/>
      </w:r>
    </w:p>
  </w:footnote>
  <w:footnote w:type="continuationSeparator" w:id="0">
    <w:p w14:paraId="5FC2C85B" w14:textId="77777777" w:rsidR="009B27FD" w:rsidRDefault="009B27FD" w:rsidP="00DD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06572"/>
    <w:multiLevelType w:val="hybridMultilevel"/>
    <w:tmpl w:val="69BA625A"/>
    <w:lvl w:ilvl="0" w:tplc="7EA02CB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7A3"/>
    <w:rsid w:val="00024835"/>
    <w:rsid w:val="00027381"/>
    <w:rsid w:val="000A04F3"/>
    <w:rsid w:val="000F17EA"/>
    <w:rsid w:val="0010183A"/>
    <w:rsid w:val="00113224"/>
    <w:rsid w:val="001137DD"/>
    <w:rsid w:val="00142E8F"/>
    <w:rsid w:val="00156902"/>
    <w:rsid w:val="00180127"/>
    <w:rsid w:val="00185EEA"/>
    <w:rsid w:val="0019540C"/>
    <w:rsid w:val="001972B5"/>
    <w:rsid w:val="00235684"/>
    <w:rsid w:val="00250A13"/>
    <w:rsid w:val="002B0BF0"/>
    <w:rsid w:val="002C7E40"/>
    <w:rsid w:val="00301810"/>
    <w:rsid w:val="00324958"/>
    <w:rsid w:val="00351A6B"/>
    <w:rsid w:val="00353C3B"/>
    <w:rsid w:val="0035472F"/>
    <w:rsid w:val="00391CC1"/>
    <w:rsid w:val="003D3880"/>
    <w:rsid w:val="003D5A94"/>
    <w:rsid w:val="003E1D1E"/>
    <w:rsid w:val="003F04CD"/>
    <w:rsid w:val="003F4A0A"/>
    <w:rsid w:val="00422153"/>
    <w:rsid w:val="00444415"/>
    <w:rsid w:val="005400A6"/>
    <w:rsid w:val="005857A3"/>
    <w:rsid w:val="005F17DE"/>
    <w:rsid w:val="00614ACF"/>
    <w:rsid w:val="00617652"/>
    <w:rsid w:val="00660E62"/>
    <w:rsid w:val="00693E30"/>
    <w:rsid w:val="006C0D63"/>
    <w:rsid w:val="006C1B6B"/>
    <w:rsid w:val="006C6429"/>
    <w:rsid w:val="006E2D04"/>
    <w:rsid w:val="007556F8"/>
    <w:rsid w:val="007738A5"/>
    <w:rsid w:val="007836C0"/>
    <w:rsid w:val="007B0AEB"/>
    <w:rsid w:val="007B297F"/>
    <w:rsid w:val="007D1C0D"/>
    <w:rsid w:val="007D32B8"/>
    <w:rsid w:val="007D7EAD"/>
    <w:rsid w:val="0080764C"/>
    <w:rsid w:val="00823E04"/>
    <w:rsid w:val="008470C4"/>
    <w:rsid w:val="00871AC7"/>
    <w:rsid w:val="008F044C"/>
    <w:rsid w:val="008F655B"/>
    <w:rsid w:val="008F690E"/>
    <w:rsid w:val="0092540F"/>
    <w:rsid w:val="00962B3B"/>
    <w:rsid w:val="009B27FD"/>
    <w:rsid w:val="009B40D3"/>
    <w:rsid w:val="009C42D2"/>
    <w:rsid w:val="009D16CA"/>
    <w:rsid w:val="009E4231"/>
    <w:rsid w:val="009F3674"/>
    <w:rsid w:val="00A5637F"/>
    <w:rsid w:val="00A5646D"/>
    <w:rsid w:val="00A61C2A"/>
    <w:rsid w:val="00A621C2"/>
    <w:rsid w:val="00A74378"/>
    <w:rsid w:val="00AC5B25"/>
    <w:rsid w:val="00B0471B"/>
    <w:rsid w:val="00B46463"/>
    <w:rsid w:val="00B62A59"/>
    <w:rsid w:val="00B823CE"/>
    <w:rsid w:val="00BA5845"/>
    <w:rsid w:val="00BA7F75"/>
    <w:rsid w:val="00BB10F5"/>
    <w:rsid w:val="00BD3420"/>
    <w:rsid w:val="00C35EDC"/>
    <w:rsid w:val="00C630A6"/>
    <w:rsid w:val="00C86EDF"/>
    <w:rsid w:val="00C95411"/>
    <w:rsid w:val="00CD5BB9"/>
    <w:rsid w:val="00CE2A77"/>
    <w:rsid w:val="00CE50EC"/>
    <w:rsid w:val="00D15DC1"/>
    <w:rsid w:val="00D66336"/>
    <w:rsid w:val="00D831BA"/>
    <w:rsid w:val="00DA0A27"/>
    <w:rsid w:val="00DB4DB8"/>
    <w:rsid w:val="00DD69EA"/>
    <w:rsid w:val="00DD7D78"/>
    <w:rsid w:val="00E041BF"/>
    <w:rsid w:val="00E22FB5"/>
    <w:rsid w:val="00E2698D"/>
    <w:rsid w:val="00E66F0A"/>
    <w:rsid w:val="00F43EF1"/>
    <w:rsid w:val="00F8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0AD47"/>
  <w15:chartTrackingRefBased/>
  <w15:docId w15:val="{85D9E976-4CF5-440B-8BE0-265F0D01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A3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7A3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57A3"/>
  </w:style>
  <w:style w:type="paragraph" w:styleId="Header">
    <w:name w:val="header"/>
    <w:basedOn w:val="Normal"/>
    <w:link w:val="HeaderChar"/>
    <w:uiPriority w:val="99"/>
    <w:unhideWhenUsed/>
    <w:rsid w:val="00DD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D78"/>
    <w:rPr>
      <w:kern w:val="2"/>
      <w:sz w:val="20"/>
    </w:rPr>
  </w:style>
  <w:style w:type="paragraph" w:styleId="Footer">
    <w:name w:val="footer"/>
    <w:basedOn w:val="Normal"/>
    <w:link w:val="FooterChar"/>
    <w:uiPriority w:val="99"/>
    <w:unhideWhenUsed/>
    <w:rsid w:val="00DD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D78"/>
    <w:rPr>
      <w:kern w:val="2"/>
      <w:sz w:val="20"/>
    </w:rPr>
  </w:style>
  <w:style w:type="paragraph" w:styleId="ListParagraph">
    <w:name w:val="List Paragraph"/>
    <w:basedOn w:val="Normal"/>
    <w:uiPriority w:val="34"/>
    <w:qFormat/>
    <w:rsid w:val="003D5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B6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6B"/>
    <w:rPr>
      <w:rFonts w:ascii="Times New Roman" w:hAnsi="Times New Roman" w:cs="Times New Roman"/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540C"/>
    <w:rPr>
      <w:color w:val="808080"/>
    </w:rPr>
  </w:style>
  <w:style w:type="table" w:styleId="TableGridLight">
    <w:name w:val="Grid Table Light"/>
    <w:basedOn w:val="TableNormal"/>
    <w:uiPriority w:val="40"/>
    <w:rsid w:val="00C35E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3932B7-0BBA-7F4E-89E6-80C461BA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민현</dc:creator>
  <cp:keywords/>
  <dc:description/>
  <cp:lastModifiedBy>Kim, Wonji</cp:lastModifiedBy>
  <cp:revision>32</cp:revision>
  <dcterms:created xsi:type="dcterms:W3CDTF">2019-04-12T01:17:00Z</dcterms:created>
  <dcterms:modified xsi:type="dcterms:W3CDTF">2019-04-21T00:54:00Z</dcterms:modified>
</cp:coreProperties>
</file>