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야간 하지경련(NLC) 문헌고찰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병태생리 · 주된 호소 · 치료(ESWT · 주사기법 · 경구약제)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*Nocturnal Leg Cramps in Older Adults — Pathophysiology, Presentation, and Evidence-based Treatment*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 문헌고찰. 개별 환자의 진료 결정은 담당 의사의 판단에 따른다.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감별 주의: 야간 하지경련(NLC)은 하지불안증후군(RLS)과 흔히 혼동된다. NLC는 통증성 근수축·촉지되는 근경직이 특징이며 족배굴곡(스트레칭)으로 완화된다. RLS는 '움직이고 싶은 충동'이 핵심이고 움직이면 완화되며 근경직이 없다. 치료가 근본적으로 다르므로 감별이 선행되어야 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1. 병태생리 (Pathophysiology)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NLC는 운동신경의 폭발적 과흥분에 의한 불수의적·유통성 근수축이다. 기원에 대해 중추(척수)와 말초(운동축삭 종말)가 모두 관여하는 복합 기전이 제시된다.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1-1. 신경 기원 — 운동신경 과흥분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진성 근경련은 운동신경(특히 원위 운동축삭 종말)의 자발적·고빈도(최대 ~150 Hz) 방전에서 기원한다(Miller &amp; Layzer 2005; Roeleveld 2000).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Minetto 등(2011): 후경골신경 차단 하에서도 경련은 유발되나 더 높은 자극빈도가 필요하고 지속이 짧아진다 → 경련 유지에 척수 회로(운동뉴런 과흥분의 양성 되먹임)가 중요하며, 순수 말초설만으로는 설명되지 않는다.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1-2. 반사 불균형과 근단축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근방추(Ia 구심성)의 흥분성 되먹임 증가와 골지건기관(Ib 구심성)의 억제성 되먹임 감소 사이의 불균형이 경련을 촉발·유지한다.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경련은 근육이 </w:t>
      </w:r>
      <w:r>
        <w:rPr>
          <w:rFonts w:ascii="Calibri" w:hAnsi="Calibri" w:eastAsia="맑은 고딕"/>
          <w:b/>
          <w:color w:val="1A202C"/>
          <w:sz w:val="20"/>
        </w:rPr>
        <w:t>단축(shortened)</w:t>
      </w:r>
      <w:r>
        <w:rPr>
          <w:rFonts w:ascii="Calibri" w:hAnsi="Calibri" w:eastAsia="맑은 고딕"/>
          <w:b w:val="0"/>
          <w:color w:val="1A202C"/>
          <w:sz w:val="20"/>
        </w:rPr>
        <w:t xml:space="preserve"> 위치(예: 수면 중 발이 저측굴곡된 자세)에서 거의 배타적으로 발생하고, 신전(stretch)으로 완화된다. 단축 시 GTO 억제가 약해지고 운동종판 흥분 역치가 낮아진다(Minetto 2013).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Khan &amp; Burne(2007): 아킬레스건 전기자극이 진행 중인 경련의 근전기 활동을 반사적으로 억제 → 건 구심성(Ib)이 경련 회로에 직접 개입.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1-3. 이차(유발) 요인 — 고령에서 흔함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요추관협착증·신경근병증: NLC와 강하게 연관(Matsumoto 2009; Ohtori 2014; Handa 2022). 척수강 단면적 감소·건반사 저하가 경련과 상관.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만성 정맥부전, 말초동맥질환, 말초신경병증, 갑상선기능저하, 전해질 이상·탈수.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약물 유발: 지속형 β2-작용제(LABA)·이뇨제·statin 등(Garrison 2012).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2. 환자들의 주된 호소 (Clinical Presentation)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수면 중 갑작스러운 종아리·발의 </w:t>
      </w:r>
      <w:r>
        <w:rPr>
          <w:rFonts w:ascii="Calibri" w:hAnsi="Calibri" w:eastAsia="맑은 고딕"/>
          <w:b/>
          <w:color w:val="1A202C"/>
          <w:sz w:val="20"/>
        </w:rPr>
        <w:t>강한 통증성 경련</w:t>
      </w:r>
      <w:r>
        <w:rPr>
          <w:rFonts w:ascii="Calibri" w:hAnsi="Calibri" w:eastAsia="맑은 고딕"/>
          <w:b w:val="0"/>
          <w:color w:val="1A202C"/>
          <w:sz w:val="20"/>
        </w:rPr>
        <w:t>으로 잠에서 깬다.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해당 근육이 </w:t>
      </w:r>
      <w:r>
        <w:rPr>
          <w:rFonts w:ascii="Calibri" w:hAnsi="Calibri" w:eastAsia="맑은 고딕"/>
          <w:b/>
          <w:color w:val="1A202C"/>
          <w:sz w:val="20"/>
        </w:rPr>
        <w:t>단단하게 뭉치고(촉지되는 근경직)</w:t>
      </w:r>
      <w:r>
        <w:rPr>
          <w:rFonts w:ascii="Calibri" w:hAnsi="Calibri" w:eastAsia="맑은 고딕"/>
          <w:b w:val="0"/>
          <w:color w:val="1A202C"/>
          <w:sz w:val="20"/>
        </w:rPr>
        <w:t>, 발끝을 몸쪽으로 당기면(족배굴곡) 완화된다.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지속시간은 수초~최대 10분이며, 이후 </w:t>
      </w:r>
      <w:r>
        <w:rPr>
          <w:rFonts w:ascii="Calibri" w:hAnsi="Calibri" w:eastAsia="맑은 고딕"/>
          <w:b/>
          <w:color w:val="1A202C"/>
          <w:sz w:val="20"/>
        </w:rPr>
        <w:t>잔통(subsequent pain)</w:t>
      </w:r>
      <w:r>
        <w:rPr>
          <w:rFonts w:ascii="Calibri" w:hAnsi="Calibri" w:eastAsia="맑은 고딕"/>
          <w:b w:val="0"/>
          <w:color w:val="1A202C"/>
          <w:sz w:val="20"/>
        </w:rPr>
        <w:t>이 남는다.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수면 분절·각성</w:t>
      </w:r>
      <w:r>
        <w:rPr>
          <w:rFonts w:ascii="Calibri" w:hAnsi="Calibri" w:eastAsia="맑은 고딕"/>
          <w:b w:val="0"/>
          <w:color w:val="1A202C"/>
          <w:sz w:val="20"/>
        </w:rPr>
        <w:t>으로 불면·주간 피로·삶의 질 저하를 호소한다.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위치는 후종아리(비복근)·발이 대부분이며, 허벅지·햄스트링은 드물다(Hallegraeff 2017의 7개 진단 특성).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유병률: 50세 이상에서 흔함(경증 24~25%, 중등도~중증 약 6%; 요추관협착 동반 시 최대 65%).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3. 치료 ① — 체외충격파(ESWT): 근거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3-1. 직접 근거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Li 2021(후향, n=126):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요추퇴행성질환 동반 하지경련. ESWT군(78) 프로토콜 2,000 shocks/session, 8–10/sec, 2일 간격 4주. 경련 빈도 5.7→1.3회/시간, 지속 57.6→10.6초, 통증(VAS) 7.6→1.7 (모두 대조군 대비 P&lt;0.001). 경련을 직접 평가한 유일한 임상연구이나 후향·비무작위(Level III~IV).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특발성 NLC만을 표적한 ESWT RCT는 아직 없음(직접 근거 공백).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3-2. 인접 근거(종아리 경직) — 비교적 견고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종아리 경직에 대한 ESWT는 근긴장(MAS)·근경직(전단파 탄성초음파 stiffness)을 단기 유의 감소(Otero-Luis 2024 SR/MA 16 RCT: 하지 MAS 평균차 −0.40; Mihai 2020 SR/MA: SMD 0.53, 12주 지속).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경직≠경련이나 표적(비복근·가자미근)·'근긴장 완화'라는 치료 표적이 맞닿아 기전상 가장 근접한 인접 근거.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3-3. 기전 · 프로토콜 · 한계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기전(Yang 2021): NO 합성↑, 신경근접합부 ACh수용체 변성(CMAP 감소 6–8주), 운동신경원 흥분성↓, 유변학적 변화, 미세순환 개선.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대표 프로토콜: 비복근 내·외측두·가자미근 운동점, radial 1.5–2.5 bar 또는 focused ~0.10 mJ/mm², 2,000–3,000 pulses/근육, 주 1–2회 3–4주(효과 세션수 의존), 초음파 유도 권장.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한계: 특발성 NLC 직접 RCT 부재, 효과 대개 12주 이내 단기, 표본 소규모. → 생물학적 타당성은 높으나 보조·근거형성 단계.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4. 치료 ② — 주사 치료와 주사기법(논문 기반 상세)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4-1. 국소마취제 유발점 주사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개념: 비복근 근막통증유발점(MTrP)에 소량 국소마취제 주입 → 국소 근이완·유발점 비활성화·구심성 되먹임 차단.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기법(Kim 2015):</w:t>
      </w:r>
      <w:r>
        <w:rPr>
          <w:rFonts w:ascii="Calibri" w:hAnsi="Calibri" w:eastAsia="맑은 고딕"/>
          <w:b w:val="0"/>
          <w:color w:val="1A202C"/>
          <w:sz w:val="20"/>
        </w:rPr>
        <w:t xml:space="preserve"> 0.25% lidocaine 1–2 mL를 비복근 유발점(taut band 내 최대 압통점)에 주사. 25 G 바늘, 피부에서 약 30° 접근, 주 1회.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결과(Kim 2015, n=12): NRS·경련 빈도·불면지수(ISI) 모두 유의 개선(P&lt;0.01), 임상적 불면 10명→4주째 1명.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Prateepavanich 1999(무작위, n=24): xylocaine 유발점 주사 vs 경구 quinine 300 mg — 두 군 모두 개선, 치료 종료 4주 후 추적에서 주사군이 대부분 지표 우월(지속효과).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4-2. 건침(Dry Needling)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기법: 비복근 유발점에 약물 없이 자침, 국소연축반응 유도·소실 → taut band 이완, 압력통증역치 상승. 주 1회 약 3회기.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Temel 2023 RCT(n=42):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스트레칭 단독 vs 스트레칭+DN. DN 병용군이 3개월 경련 횟수(P=0.016)·강도·압력통증역치·수면질(PSQI)에서 우월.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Bagcier 2021 증례: 주1회 3회기 후 경련 지속 60초→10초, VAS 8→1, 빈도 '매일'→'주간'.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4-3. 심비골신경 내측분지 차단 — 핵심 직접근거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Imura 2015:</w:t>
      </w:r>
      <w:r>
        <w:rPr>
          <w:rFonts w:ascii="Calibri" w:hAnsi="Calibri" w:eastAsia="맑은 고딕"/>
          <w:b w:val="0"/>
          <w:color w:val="1A202C"/>
          <w:sz w:val="20"/>
        </w:rPr>
        <w:t xml:space="preserve"> 야간경련에 말초 운동신경가지를 직접 표적한, 현재 유일한 전향적 비교연구(요추수술 후 지속 경련 66명; 차단군 41 vs 대조 25, 평균 60.9세).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기법:</w:t>
      </w:r>
      <w:r>
        <w:rPr>
          <w:rFonts w:ascii="Calibri" w:hAnsi="Calibri" w:eastAsia="맑은 고딕"/>
          <w:b w:val="0"/>
          <w:color w:val="1A202C"/>
          <w:sz w:val="20"/>
        </w:rPr>
        <w:t xml:space="preserve"> 제1–2 중족골 사이 간극의 원위 2/3 지점에서 심비골신경 내측가지를 표적, 1.0% lidocaine 5.0 mL(에피네프린 무첨가)를 1.0–1.5 cm 깊이에 서서히 주입.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결과(2주): 경련 빈도 1/4 미만 감소 61.0% vs 대조 20.0%, 1/2 미만 감소 80.5% (P&lt;0.01), 강도 감소 63.4% vs 8.0% (P&lt;0.05); 12주 이상 지속 63.4%, 부작용 41명 전원 없음.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4-4. 보툴리눔독소(BTX-A)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Park 2017 RCT(n=50):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요추관협착증 동반 야간 종아리경련. 비복근 BTX-A vs gabapentin. 모든 시점(2주·1·3개월)에서 다리통증·경련 빈도·강도가 gabapentin 대비 유의 감소(P&lt;0.01), 불면·기능 개선. BTX군 중대 합병증 없음.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Restivo 2018 RCT: 당뇨병성 신경병증 경련에서 BTX-A가 위약 대비 개선(1주부터 16주 지속). 주사 계열 중 근거 최고(Level II)이나 고가·반복·근력약화 우려로 선택적.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4-5. 주사 안전성(고령)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경골신경 표적 → 족저굴곡 약화, 총비골신경 표적 → 족하수 → 낙상 위험. 항응고제 복용 시 출혈·혈종. 무균술·초음파 유도·혈관내 주입 회피(흡인 확인).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5. 치료 ③ — 효과 좋은 경구 약제(근거)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전제: AAN 근거기반 리뷰·Cochrane 종합상 일상적으로 권고할 만큼 강한 약제는 없다. 비약물 실패 시 위험/이득을 설명하고 개별화한다.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Quinine:</w:t>
      </w:r>
      <w:r>
        <w:rPr>
          <w:rFonts w:ascii="Calibri" w:hAnsi="Calibri" w:eastAsia="맑은 고딕"/>
          <w:b w:val="0"/>
          <w:color w:val="1A202C"/>
          <w:sz w:val="20"/>
        </w:rPr>
        <w:t xml:space="preserve"> El-Tawil 2015 Cochrane(23개 시험) — 경련 빈도·강도·경련일수 유의 감소(효과 O). 그러나 FDA 미승인, 혈소판감소증·TTP 등 치명적 혈액학 반응 경고(REMS). AAN Level A이나 독성 때문에 일상 사용 회피, 최후·선별 환자만.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비타민 B 복합체:</w:t>
      </w:r>
      <w:r>
        <w:rPr>
          <w:rFonts w:ascii="Calibri" w:hAnsi="Calibri" w:eastAsia="맑은 고딕"/>
          <w:b w:val="0"/>
          <w:color w:val="1A202C"/>
          <w:sz w:val="20"/>
        </w:rPr>
        <w:t xml:space="preserve"> Chan 1998 이중맹검 RCT(고혈압 고령 28명, 12주) — 경련 빈도·강도·지속 유의 감소(치료군 86% 관해). AAN 'possibly effective(Level C)', 안전성 양호 → 비교적 안전한 우선 시도.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Diltiazem 30 mg:</w:t>
      </w:r>
      <w:r>
        <w:rPr>
          <w:rFonts w:ascii="Calibri" w:hAnsi="Calibri" w:eastAsia="맑은 고딕"/>
          <w:b w:val="0"/>
          <w:color w:val="1A202C"/>
          <w:sz w:val="20"/>
        </w:rPr>
        <w:t xml:space="preserve"> Voon 2001 이중맹검 교차(n=13) — 경련 횟수 5.8→0.16/2주(P=0.04), 강도 불변. Level C.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Vitamin K2(MK-7):</w:t>
      </w:r>
      <w:r>
        <w:rPr>
          <w:rFonts w:ascii="Calibri" w:hAnsi="Calibri" w:eastAsia="맑은 고딕"/>
          <w:b w:val="0"/>
          <w:color w:val="1A202C"/>
          <w:sz w:val="20"/>
        </w:rPr>
        <w:t xml:space="preserve"> Tan 2024(JAMA Intern Med, 65세+ 199명) — 주간 경련 빈도 2.60→0.96 유의 감소. ⚠ 발표 후 정정·교체 통지(2025) → 확정적 근거로 과대해석 금지.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Gabapentin·Baclofen:</w:t>
      </w:r>
      <w:r>
        <w:rPr>
          <w:rFonts w:ascii="Calibri" w:hAnsi="Calibri" w:eastAsia="맑은 고딕"/>
          <w:b w:val="0"/>
          <w:color w:val="1A202C"/>
          <w:sz w:val="20"/>
        </w:rPr>
        <w:t xml:space="preserve"> NLC 특이 근거 약함. Kim 2024 RCT: 요추관협착 동반 야간 종아리경련에서 baclofen ≈ gabapentin. 신경근 병변 연관 경련에 제한적 역할. 진정·어지럼 주의.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마그네슘(특발성 NLC):</w:t>
      </w:r>
      <w:r>
        <w:rPr>
          <w:rFonts w:ascii="Calibri" w:hAnsi="Calibri" w:eastAsia="맑은 고딕"/>
          <w:b w:val="0"/>
          <w:color w:val="1A202C"/>
          <w:sz w:val="20"/>
        </w:rPr>
        <w:t xml:space="preserve"> Garrison 2020 Cochrane(11 RCT, 735명) — 위약 대비 임상적으로 의미있는 이득 </w:t>
      </w:r>
      <w:r>
        <w:rPr>
          <w:rFonts w:ascii="Calibri" w:hAnsi="Calibri" w:eastAsia="맑은 고딕"/>
          <w:b/>
          <w:color w:val="1A202C"/>
          <w:sz w:val="20"/>
        </w:rPr>
        <w:t>없음</w:t>
      </w:r>
      <w:r>
        <w:rPr>
          <w:rFonts w:ascii="Calibri" w:hAnsi="Calibri" w:eastAsia="맑은 고딕"/>
          <w:b w:val="0"/>
          <w:color w:val="1A202C"/>
          <w:sz w:val="20"/>
        </w:rPr>
        <w:t>(무효). 흔한 자가처방이나 예방 근거 없음(저마그네슘혈증 교정은 별개).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6. 1차 비약물 치료(참고)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취침 전 스트레칭(Hallegraeff 2012 RCT):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종아리·햄스트링 6주 → 경련 빈도(평균차 1.2회/야간)·강도(1.3 cm VAS) 감소. 위험 거의 없고 무비용 → 모든 고령 NLC 환자의 1차.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급성 발작: 족배굴곡 수동 신장·걷기·마사지. 자세·수분·온열 교정.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7. 종합 결론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1차·최고 근거는 비약물(취침 전 스트레칭) + 유발약물 검토 + 이차 원인 교정.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주사: BTX(RCT)·유발점 국소마취제/dry needling(MTrP 동반)·심비골신경 차단(Imura)이 불응성에 선택적.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ESWT: 경직 근거는 강하나 경련 직접근거는 약함 → 보조·근거형성 중.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경구약제: quinine은 효과 있으나 독성으로 일상 회피, 비타민 B/diltiazem은 비교적 안전(Level C), 마그네슘은 특발성에 무효.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