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Calibri" w:hAnsi="Calibri" w:eastAsia="맑은 고딕"/>
          <w:b/>
          <w:color w:val="1B355E"/>
          <w:sz w:val="38"/>
        </w:rPr>
        <w:t>야간 하지경련(NLC) 참고문헌 · 근거 요약</w:t>
      </w:r>
    </w:p>
    <w:p>
      <w:pPr>
        <w:keepNext/>
        <w:spacing w:before="260" w:after="100"/>
        <w:pBdr>
          <w:bottom w:val="single" w:sz="10" w:space="4" w:color="1F6E70"/>
        </w:pBdr>
      </w:pPr>
      <w:r>
        <w:rPr>
          <w:rFonts w:ascii="Calibri" w:hAnsi="Calibri" w:eastAsia="맑은 고딕"/>
          <w:b/>
          <w:color w:val="1B355E"/>
          <w:sz w:val="29"/>
        </w:rPr>
        <w:t>문헌 목록 및 핵심 근거 정리</w:t>
      </w:r>
    </w:p>
    <w:p>
      <w:pPr>
        <w:spacing w:after="80" w:line="269" w:lineRule="auto"/>
      </w:pPr>
      <w:r>
        <w:rPr>
          <w:rFonts w:ascii="Calibri" w:hAnsi="Calibri" w:eastAsia="맑은 고딕"/>
          <w:b w:val="0"/>
          <w:color w:val="1A202C"/>
          <w:sz w:val="21"/>
        </w:rPr>
        <w:t>작성일 2026-07 · PubMed/저널 목록 대조.</w:t>
      </w:r>
    </w:p>
    <w:p>
      <w:pPr>
        <w:keepNext/>
        <w:spacing w:before="260" w:after="100"/>
        <w:pBdr>
          <w:bottom w:val="single" w:sz="10" w:space="4" w:color="1F6E70"/>
        </w:pBdr>
      </w:pPr>
      <w:r>
        <w:rPr>
          <w:rFonts w:ascii="Calibri" w:hAnsi="Calibri" w:eastAsia="맑은 고딕"/>
          <w:b/>
          <w:color w:val="1B355E"/>
          <w:sz w:val="29"/>
        </w:rPr>
        <w:t>핵심 근거 요약표</w:t>
      </w:r>
    </w:p>
    <w:tbl>
      <w:tblPr>
        <w:tblStyle w:val="TableGrid"/>
        <w:tblW w:type="auto" w:w="0"/>
        <w:jc w:val="center"/>
        <w:tblLook w:firstColumn="1" w:firstRow="1" w:lastColumn="0" w:lastRow="0" w:noHBand="0" w:noVBand="1" w:val="04A0"/>
      </w:tblPr>
      <w:tblGrid>
        <w:gridCol w:w="2376"/>
        <w:gridCol w:w="2376"/>
        <w:gridCol w:w="2376"/>
        <w:gridCol w:w="2376"/>
      </w:tblGrid>
      <w:tr>
        <w:trPr>
          <w:cantSplit/>
          <w:tblHeader/>
        </w:trPr>
        <w:tc>
          <w:tcPr>
            <w:tcW w:type="dxa" w:w="2376"/>
            <w:shd w:val="clear" w:fill="1B355E"/>
          </w:tcPr>
          <w:p>
            <w:pPr>
              <w:jc w:val="center"/>
            </w:pPr>
            <w:r>
              <w:rPr>
                <w:rFonts w:ascii="Calibri" w:hAnsi="Calibri" w:eastAsia="맑은 고딕"/>
                <w:b/>
                <w:color w:val="FFFFFF"/>
                <w:sz w:val="18"/>
              </w:rPr>
              <w:t>영역</w:t>
            </w:r>
          </w:p>
        </w:tc>
        <w:tc>
          <w:tcPr>
            <w:tcW w:type="dxa" w:w="2376"/>
            <w:shd w:val="clear" w:fill="1B355E"/>
          </w:tcPr>
          <w:p>
            <w:pPr>
              <w:jc w:val="center"/>
            </w:pPr>
            <w:r>
              <w:rPr>
                <w:rFonts w:ascii="Calibri" w:hAnsi="Calibri" w:eastAsia="맑은 고딕"/>
                <w:b/>
                <w:color w:val="FFFFFF"/>
                <w:sz w:val="18"/>
              </w:rPr>
              <w:t>대표 문헌</w:t>
            </w:r>
          </w:p>
        </w:tc>
        <w:tc>
          <w:tcPr>
            <w:tcW w:type="dxa" w:w="2376"/>
            <w:shd w:val="clear" w:fill="1B355E"/>
          </w:tcPr>
          <w:p>
            <w:pPr>
              <w:jc w:val="center"/>
            </w:pPr>
            <w:r>
              <w:rPr>
                <w:rFonts w:ascii="Calibri" w:hAnsi="Calibri" w:eastAsia="맑은 고딕"/>
                <w:b/>
                <w:color w:val="FFFFFF"/>
                <w:sz w:val="18"/>
              </w:rPr>
              <w:t>설계</w:t>
            </w:r>
          </w:p>
        </w:tc>
        <w:tc>
          <w:tcPr>
            <w:tcW w:type="dxa" w:w="2376"/>
            <w:shd w:val="clear" w:fill="1B355E"/>
          </w:tcPr>
          <w:p>
            <w:pPr>
              <w:jc w:val="center"/>
            </w:pPr>
            <w:r>
              <w:rPr>
                <w:rFonts w:ascii="Calibri" w:hAnsi="Calibri" w:eastAsia="맑은 고딕"/>
                <w:b/>
                <w:color w:val="FFFFFF"/>
                <w:sz w:val="18"/>
              </w:rPr>
              <w:t>핵심 결과</w:t>
            </w:r>
          </w:p>
        </w:tc>
      </w:tr>
      <w:tr>
        <w:trPr>
          <w:cantSplit/>
        </w:trPr>
        <w:tc>
          <w:tcPr>
            <w:tcW w:type="dxa" w:w="2376"/>
            <w:shd w:val="clear" w:fill="EEF2F6"/>
          </w:tcPr>
          <w:p>
            <w:pPr>
              <w:spacing w:before="20" w:after="20"/>
              <w:jc w:val="left"/>
            </w:pPr>
            <w:r>
              <w:rPr>
                <w:rFonts w:ascii="Calibri" w:hAnsi="Calibri" w:eastAsia="맑은 고딕"/>
                <w:b w:val="0"/>
                <w:color w:val="1A202C"/>
                <w:sz w:val="18"/>
              </w:rPr>
              <w:t>ESWT(경련)</w:t>
            </w:r>
          </w:p>
        </w:tc>
        <w:tc>
          <w:tcPr>
            <w:tcW w:type="dxa" w:w="2376"/>
            <w:shd w:val="clear" w:fill="EEF2F6"/>
          </w:tcPr>
          <w:p>
            <w:pPr>
              <w:spacing w:before="20" w:after="20"/>
              <w:jc w:val="center"/>
            </w:pPr>
            <w:r>
              <w:rPr>
                <w:rFonts w:ascii="Calibri" w:hAnsi="Calibri" w:eastAsia="맑은 고딕"/>
                <w:b w:val="0"/>
                <w:color w:val="1A202C"/>
                <w:sz w:val="18"/>
              </w:rPr>
              <w:t>Li 2021</w:t>
            </w:r>
          </w:p>
        </w:tc>
        <w:tc>
          <w:tcPr>
            <w:tcW w:type="dxa" w:w="2376"/>
            <w:shd w:val="clear" w:fill="EEF2F6"/>
          </w:tcPr>
          <w:p>
            <w:pPr>
              <w:spacing w:before="20" w:after="20"/>
              <w:jc w:val="center"/>
            </w:pPr>
            <w:r>
              <w:rPr>
                <w:rFonts w:ascii="Calibri" w:hAnsi="Calibri" w:eastAsia="맑은 고딕"/>
                <w:b w:val="0"/>
                <w:color w:val="1A202C"/>
                <w:sz w:val="18"/>
              </w:rPr>
              <w:t>후향 n=126</w:t>
            </w:r>
          </w:p>
        </w:tc>
        <w:tc>
          <w:tcPr>
            <w:tcW w:type="dxa" w:w="2376"/>
            <w:shd w:val="clear" w:fill="EEF2F6"/>
          </w:tcPr>
          <w:p>
            <w:pPr>
              <w:spacing w:before="20" w:after="20"/>
              <w:jc w:val="center"/>
            </w:pPr>
            <w:r>
              <w:rPr>
                <w:rFonts w:ascii="Calibri" w:hAnsi="Calibri" w:eastAsia="맑은 고딕"/>
                <w:b w:val="0"/>
                <w:color w:val="1A202C"/>
                <w:sz w:val="18"/>
              </w:rPr>
              <w:t>빈도 5.7→1.3, 지속 57.6→10.6초</w:t>
            </w:r>
          </w:p>
        </w:tc>
      </w:tr>
      <w:tr>
        <w:trPr>
          <w:cantSplit/>
        </w:trPr>
        <w:tc>
          <w:tcPr>
            <w:tcW w:type="dxa" w:w="2376"/>
          </w:tcPr>
          <w:p>
            <w:pPr>
              <w:spacing w:before="20" w:after="20"/>
              <w:jc w:val="left"/>
            </w:pPr>
            <w:r>
              <w:rPr>
                <w:rFonts w:ascii="Calibri" w:hAnsi="Calibri" w:eastAsia="맑은 고딕"/>
                <w:b w:val="0"/>
                <w:color w:val="1A202C"/>
                <w:sz w:val="18"/>
              </w:rPr>
              <w:t>ESWT(경직)</w:t>
            </w:r>
          </w:p>
        </w:tc>
        <w:tc>
          <w:tcPr>
            <w:tcW w:type="dxa" w:w="2376"/>
          </w:tcPr>
          <w:p>
            <w:pPr>
              <w:spacing w:before="20" w:after="20"/>
              <w:jc w:val="center"/>
            </w:pPr>
            <w:r>
              <w:rPr>
                <w:rFonts w:ascii="Calibri" w:hAnsi="Calibri" w:eastAsia="맑은 고딕"/>
                <w:b w:val="0"/>
                <w:color w:val="1A202C"/>
                <w:sz w:val="18"/>
              </w:rPr>
              <w:t>Otero-Luis 2024</w:t>
            </w:r>
          </w:p>
        </w:tc>
        <w:tc>
          <w:tcPr>
            <w:tcW w:type="dxa" w:w="2376"/>
          </w:tcPr>
          <w:p>
            <w:pPr>
              <w:spacing w:before="20" w:after="20"/>
              <w:jc w:val="center"/>
            </w:pPr>
            <w:r>
              <w:rPr>
                <w:rFonts w:ascii="Calibri" w:hAnsi="Calibri" w:eastAsia="맑은 고딕"/>
                <w:b w:val="0"/>
                <w:color w:val="1A202C"/>
                <w:sz w:val="18"/>
              </w:rPr>
              <w:t>SR/MA 16 RCT</w:t>
            </w:r>
          </w:p>
        </w:tc>
        <w:tc>
          <w:tcPr>
            <w:tcW w:type="dxa" w:w="2376"/>
          </w:tcPr>
          <w:p>
            <w:pPr>
              <w:spacing w:before="20" w:after="20"/>
              <w:jc w:val="center"/>
            </w:pPr>
            <w:r>
              <w:rPr>
                <w:rFonts w:ascii="Calibri" w:hAnsi="Calibri" w:eastAsia="맑은 고딕"/>
                <w:b w:val="0"/>
                <w:color w:val="1A202C"/>
                <w:sz w:val="18"/>
              </w:rPr>
              <w:t>하지 MAS −0.40</w:t>
            </w:r>
          </w:p>
        </w:tc>
      </w:tr>
      <w:tr>
        <w:trPr>
          <w:cantSplit/>
        </w:trPr>
        <w:tc>
          <w:tcPr>
            <w:tcW w:type="dxa" w:w="2376"/>
            <w:shd w:val="clear" w:fill="EEF2F6"/>
          </w:tcPr>
          <w:p>
            <w:pPr>
              <w:spacing w:before="20" w:after="20"/>
              <w:jc w:val="left"/>
            </w:pPr>
            <w:r>
              <w:rPr>
                <w:rFonts w:ascii="Calibri" w:hAnsi="Calibri" w:eastAsia="맑은 고딕"/>
                <w:b w:val="0"/>
                <w:color w:val="1A202C"/>
                <w:sz w:val="18"/>
              </w:rPr>
              <w:t>유발점 주사</w:t>
            </w:r>
          </w:p>
        </w:tc>
        <w:tc>
          <w:tcPr>
            <w:tcW w:type="dxa" w:w="2376"/>
            <w:shd w:val="clear" w:fill="EEF2F6"/>
          </w:tcPr>
          <w:p>
            <w:pPr>
              <w:spacing w:before="20" w:after="20"/>
              <w:jc w:val="center"/>
            </w:pPr>
            <w:r>
              <w:rPr>
                <w:rFonts w:ascii="Calibri" w:hAnsi="Calibri" w:eastAsia="맑은 고딕"/>
                <w:b w:val="0"/>
                <w:color w:val="1A202C"/>
                <w:sz w:val="18"/>
              </w:rPr>
              <w:t>Kim 2015</w:t>
            </w:r>
          </w:p>
        </w:tc>
        <w:tc>
          <w:tcPr>
            <w:tcW w:type="dxa" w:w="2376"/>
            <w:shd w:val="clear" w:fill="EEF2F6"/>
          </w:tcPr>
          <w:p>
            <w:pPr>
              <w:spacing w:before="20" w:after="20"/>
              <w:jc w:val="center"/>
            </w:pPr>
            <w:r>
              <w:rPr>
                <w:rFonts w:ascii="Calibri" w:hAnsi="Calibri" w:eastAsia="맑은 고딕"/>
                <w:b w:val="0"/>
                <w:color w:val="1A202C"/>
                <w:sz w:val="18"/>
              </w:rPr>
              <w:t>전향 n=12</w:t>
            </w:r>
          </w:p>
        </w:tc>
        <w:tc>
          <w:tcPr>
            <w:tcW w:type="dxa" w:w="2376"/>
            <w:shd w:val="clear" w:fill="EEF2F6"/>
          </w:tcPr>
          <w:p>
            <w:pPr>
              <w:spacing w:before="20" w:after="20"/>
              <w:jc w:val="center"/>
            </w:pPr>
            <w:r>
              <w:rPr>
                <w:rFonts w:ascii="Calibri" w:hAnsi="Calibri" w:eastAsia="맑은 고딕"/>
                <w:b w:val="0"/>
                <w:color w:val="1A202C"/>
                <w:sz w:val="18"/>
              </w:rPr>
              <w:t>NRS·빈도·ISI 개선</w:t>
            </w:r>
          </w:p>
        </w:tc>
      </w:tr>
      <w:tr>
        <w:trPr>
          <w:cantSplit/>
        </w:trPr>
        <w:tc>
          <w:tcPr>
            <w:tcW w:type="dxa" w:w="2376"/>
          </w:tcPr>
          <w:p>
            <w:pPr>
              <w:spacing w:before="20" w:after="20"/>
              <w:jc w:val="left"/>
            </w:pPr>
            <w:r>
              <w:rPr>
                <w:rFonts w:ascii="Calibri" w:hAnsi="Calibri" w:eastAsia="맑은 고딕"/>
                <w:b w:val="0"/>
                <w:color w:val="1A202C"/>
                <w:sz w:val="18"/>
              </w:rPr>
              <w:t>Dry needling</w:t>
            </w:r>
          </w:p>
        </w:tc>
        <w:tc>
          <w:tcPr>
            <w:tcW w:type="dxa" w:w="2376"/>
          </w:tcPr>
          <w:p>
            <w:pPr>
              <w:spacing w:before="20" w:after="20"/>
              <w:jc w:val="center"/>
            </w:pPr>
            <w:r>
              <w:rPr>
                <w:rFonts w:ascii="Calibri" w:hAnsi="Calibri" w:eastAsia="맑은 고딕"/>
                <w:b w:val="0"/>
                <w:color w:val="1A202C"/>
                <w:sz w:val="18"/>
              </w:rPr>
              <w:t>Temel 2023</w:t>
            </w:r>
          </w:p>
        </w:tc>
        <w:tc>
          <w:tcPr>
            <w:tcW w:type="dxa" w:w="2376"/>
          </w:tcPr>
          <w:p>
            <w:pPr>
              <w:spacing w:before="20" w:after="20"/>
              <w:jc w:val="center"/>
            </w:pPr>
            <w:r>
              <w:rPr>
                <w:rFonts w:ascii="Calibri" w:hAnsi="Calibri" w:eastAsia="맑은 고딕"/>
                <w:b w:val="0"/>
                <w:color w:val="1A202C"/>
                <w:sz w:val="18"/>
              </w:rPr>
              <w:t>RCT n=42</w:t>
            </w:r>
          </w:p>
        </w:tc>
        <w:tc>
          <w:tcPr>
            <w:tcW w:type="dxa" w:w="2376"/>
          </w:tcPr>
          <w:p>
            <w:pPr>
              <w:spacing w:before="20" w:after="20"/>
              <w:jc w:val="center"/>
            </w:pPr>
            <w:r>
              <w:rPr>
                <w:rFonts w:ascii="Calibri" w:hAnsi="Calibri" w:eastAsia="맑은 고딕"/>
                <w:b w:val="0"/>
                <w:color w:val="1A202C"/>
                <w:sz w:val="18"/>
              </w:rPr>
              <w:t>3개월 빈도·강도·PSQI 우월</w:t>
            </w:r>
          </w:p>
        </w:tc>
      </w:tr>
      <w:tr>
        <w:trPr>
          <w:cantSplit/>
        </w:trPr>
        <w:tc>
          <w:tcPr>
            <w:tcW w:type="dxa" w:w="2376"/>
            <w:shd w:val="clear" w:fill="EEF2F6"/>
          </w:tcPr>
          <w:p>
            <w:pPr>
              <w:spacing w:before="20" w:after="20"/>
              <w:jc w:val="left"/>
            </w:pPr>
            <w:r>
              <w:rPr>
                <w:rFonts w:ascii="Calibri" w:hAnsi="Calibri" w:eastAsia="맑은 고딕"/>
                <w:b w:val="0"/>
                <w:color w:val="1A202C"/>
                <w:sz w:val="18"/>
              </w:rPr>
              <w:t>신경차단</w:t>
            </w:r>
          </w:p>
        </w:tc>
        <w:tc>
          <w:tcPr>
            <w:tcW w:type="dxa" w:w="2376"/>
            <w:shd w:val="clear" w:fill="EEF2F6"/>
          </w:tcPr>
          <w:p>
            <w:pPr>
              <w:spacing w:before="20" w:after="20"/>
              <w:jc w:val="center"/>
            </w:pPr>
            <w:r>
              <w:rPr>
                <w:rFonts w:ascii="Calibri" w:hAnsi="Calibri" w:eastAsia="맑은 고딕"/>
                <w:b w:val="0"/>
                <w:color w:val="1A202C"/>
                <w:sz w:val="18"/>
              </w:rPr>
              <w:t>Imura 2015</w:t>
            </w:r>
          </w:p>
        </w:tc>
        <w:tc>
          <w:tcPr>
            <w:tcW w:type="dxa" w:w="2376"/>
            <w:shd w:val="clear" w:fill="EEF2F6"/>
          </w:tcPr>
          <w:p>
            <w:pPr>
              <w:spacing w:before="20" w:after="20"/>
              <w:jc w:val="center"/>
            </w:pPr>
            <w:r>
              <w:rPr>
                <w:rFonts w:ascii="Calibri" w:hAnsi="Calibri" w:eastAsia="맑은 고딕"/>
                <w:b w:val="0"/>
                <w:color w:val="1A202C"/>
                <w:sz w:val="18"/>
              </w:rPr>
              <w:t>전향 비교 n=66</w:t>
            </w:r>
          </w:p>
        </w:tc>
        <w:tc>
          <w:tcPr>
            <w:tcW w:type="dxa" w:w="2376"/>
            <w:shd w:val="clear" w:fill="EEF2F6"/>
          </w:tcPr>
          <w:p>
            <w:pPr>
              <w:spacing w:before="20" w:after="20"/>
              <w:jc w:val="center"/>
            </w:pPr>
            <w:r>
              <w:rPr>
                <w:rFonts w:ascii="Calibri" w:hAnsi="Calibri" w:eastAsia="맑은 고딕"/>
                <w:b w:val="0"/>
                <w:color w:val="1A202C"/>
                <w:sz w:val="18"/>
              </w:rPr>
              <w:t>2주 빈도 1/4↓ 61%</w:t>
            </w:r>
          </w:p>
        </w:tc>
      </w:tr>
      <w:tr>
        <w:trPr>
          <w:cantSplit/>
        </w:trPr>
        <w:tc>
          <w:tcPr>
            <w:tcW w:type="dxa" w:w="2376"/>
          </w:tcPr>
          <w:p>
            <w:pPr>
              <w:spacing w:before="20" w:after="20"/>
              <w:jc w:val="left"/>
            </w:pPr>
            <w:r>
              <w:rPr>
                <w:rFonts w:ascii="Calibri" w:hAnsi="Calibri" w:eastAsia="맑은 고딕"/>
                <w:b w:val="0"/>
                <w:color w:val="1A202C"/>
                <w:sz w:val="18"/>
              </w:rPr>
              <w:t>보툴리눔</w:t>
            </w:r>
          </w:p>
        </w:tc>
        <w:tc>
          <w:tcPr>
            <w:tcW w:type="dxa" w:w="2376"/>
          </w:tcPr>
          <w:p>
            <w:pPr>
              <w:spacing w:before="20" w:after="20"/>
              <w:jc w:val="center"/>
            </w:pPr>
            <w:r>
              <w:rPr>
                <w:rFonts w:ascii="Calibri" w:hAnsi="Calibri" w:eastAsia="맑은 고딕"/>
                <w:b w:val="0"/>
                <w:color w:val="1A202C"/>
                <w:sz w:val="18"/>
              </w:rPr>
              <w:t>Park 2017</w:t>
            </w:r>
          </w:p>
        </w:tc>
        <w:tc>
          <w:tcPr>
            <w:tcW w:type="dxa" w:w="2376"/>
          </w:tcPr>
          <w:p>
            <w:pPr>
              <w:spacing w:before="20" w:after="20"/>
              <w:jc w:val="center"/>
            </w:pPr>
            <w:r>
              <w:rPr>
                <w:rFonts w:ascii="Calibri" w:hAnsi="Calibri" w:eastAsia="맑은 고딕"/>
                <w:b w:val="0"/>
                <w:color w:val="1A202C"/>
                <w:sz w:val="18"/>
              </w:rPr>
              <w:t>RCT n=50</w:t>
            </w:r>
          </w:p>
        </w:tc>
        <w:tc>
          <w:tcPr>
            <w:tcW w:type="dxa" w:w="2376"/>
          </w:tcPr>
          <w:p>
            <w:pPr>
              <w:spacing w:before="20" w:after="20"/>
              <w:jc w:val="center"/>
            </w:pPr>
            <w:r>
              <w:rPr>
                <w:rFonts w:ascii="Calibri" w:hAnsi="Calibri" w:eastAsia="맑은 고딕"/>
                <w:b w:val="0"/>
                <w:color w:val="1A202C"/>
                <w:sz w:val="18"/>
              </w:rPr>
              <w:t>전 시점 유의 개선</w:t>
            </w:r>
          </w:p>
        </w:tc>
      </w:tr>
      <w:tr>
        <w:trPr>
          <w:cantSplit/>
        </w:trPr>
        <w:tc>
          <w:tcPr>
            <w:tcW w:type="dxa" w:w="2376"/>
            <w:shd w:val="clear" w:fill="EEF2F6"/>
          </w:tcPr>
          <w:p>
            <w:pPr>
              <w:spacing w:before="20" w:after="20"/>
              <w:jc w:val="left"/>
            </w:pPr>
            <w:r>
              <w:rPr>
                <w:rFonts w:ascii="Calibri" w:hAnsi="Calibri" w:eastAsia="맑은 고딕"/>
                <w:b w:val="0"/>
                <w:color w:val="1A202C"/>
                <w:sz w:val="18"/>
              </w:rPr>
              <w:t>quinine</w:t>
            </w:r>
          </w:p>
        </w:tc>
        <w:tc>
          <w:tcPr>
            <w:tcW w:type="dxa" w:w="2376"/>
            <w:shd w:val="clear" w:fill="EEF2F6"/>
          </w:tcPr>
          <w:p>
            <w:pPr>
              <w:spacing w:before="20" w:after="20"/>
              <w:jc w:val="center"/>
            </w:pPr>
            <w:r>
              <w:rPr>
                <w:rFonts w:ascii="Calibri" w:hAnsi="Calibri" w:eastAsia="맑은 고딕"/>
                <w:b w:val="0"/>
                <w:color w:val="1A202C"/>
                <w:sz w:val="18"/>
              </w:rPr>
              <w:t>El-Tawil 2015</w:t>
            </w:r>
          </w:p>
        </w:tc>
        <w:tc>
          <w:tcPr>
            <w:tcW w:type="dxa" w:w="2376"/>
            <w:shd w:val="clear" w:fill="EEF2F6"/>
          </w:tcPr>
          <w:p>
            <w:pPr>
              <w:spacing w:before="20" w:after="20"/>
              <w:jc w:val="center"/>
            </w:pPr>
            <w:r>
              <w:rPr>
                <w:rFonts w:ascii="Calibri" w:hAnsi="Calibri" w:eastAsia="맑은 고딕"/>
                <w:b w:val="0"/>
                <w:color w:val="1A202C"/>
                <w:sz w:val="18"/>
              </w:rPr>
              <w:t>Cochrane</w:t>
            </w:r>
          </w:p>
        </w:tc>
        <w:tc>
          <w:tcPr>
            <w:tcW w:type="dxa" w:w="2376"/>
            <w:shd w:val="clear" w:fill="EEF2F6"/>
          </w:tcPr>
          <w:p>
            <w:pPr>
              <w:spacing w:before="20" w:after="20"/>
              <w:jc w:val="center"/>
            </w:pPr>
            <w:r>
              <w:rPr>
                <w:rFonts w:ascii="Calibri" w:hAnsi="Calibri" w:eastAsia="맑은 고딕"/>
                <w:b w:val="0"/>
                <w:color w:val="1A202C"/>
                <w:sz w:val="18"/>
              </w:rPr>
              <w:t>빈도·강도 감소(독성 경고)</w:t>
            </w:r>
          </w:p>
        </w:tc>
      </w:tr>
      <w:tr>
        <w:trPr>
          <w:cantSplit/>
        </w:trPr>
        <w:tc>
          <w:tcPr>
            <w:tcW w:type="dxa" w:w="2376"/>
          </w:tcPr>
          <w:p>
            <w:pPr>
              <w:spacing w:before="20" w:after="20"/>
              <w:jc w:val="left"/>
            </w:pPr>
            <w:r>
              <w:rPr>
                <w:rFonts w:ascii="Calibri" w:hAnsi="Calibri" w:eastAsia="맑은 고딕"/>
                <w:b w:val="0"/>
                <w:color w:val="1A202C"/>
                <w:sz w:val="18"/>
              </w:rPr>
              <w:t>마그네슘</w:t>
            </w:r>
          </w:p>
        </w:tc>
        <w:tc>
          <w:tcPr>
            <w:tcW w:type="dxa" w:w="2376"/>
          </w:tcPr>
          <w:p>
            <w:pPr>
              <w:spacing w:before="20" w:after="20"/>
              <w:jc w:val="center"/>
            </w:pPr>
            <w:r>
              <w:rPr>
                <w:rFonts w:ascii="Calibri" w:hAnsi="Calibri" w:eastAsia="맑은 고딕"/>
                <w:b w:val="0"/>
                <w:color w:val="1A202C"/>
                <w:sz w:val="18"/>
              </w:rPr>
              <w:t>Garrison 2020</w:t>
            </w:r>
          </w:p>
        </w:tc>
        <w:tc>
          <w:tcPr>
            <w:tcW w:type="dxa" w:w="2376"/>
          </w:tcPr>
          <w:p>
            <w:pPr>
              <w:spacing w:before="20" w:after="20"/>
              <w:jc w:val="center"/>
            </w:pPr>
            <w:r>
              <w:rPr>
                <w:rFonts w:ascii="Calibri" w:hAnsi="Calibri" w:eastAsia="맑은 고딕"/>
                <w:b w:val="0"/>
                <w:color w:val="1A202C"/>
                <w:sz w:val="18"/>
              </w:rPr>
              <w:t>Cochrane</w:t>
            </w:r>
          </w:p>
        </w:tc>
        <w:tc>
          <w:tcPr>
            <w:tcW w:type="dxa" w:w="2376"/>
          </w:tcPr>
          <w:p>
            <w:pPr>
              <w:spacing w:before="20" w:after="20"/>
              <w:jc w:val="center"/>
            </w:pPr>
            <w:r>
              <w:rPr>
                <w:rFonts w:ascii="Calibri" w:hAnsi="Calibri" w:eastAsia="맑은 고딕"/>
                <w:b w:val="0"/>
                <w:color w:val="1A202C"/>
                <w:sz w:val="18"/>
              </w:rPr>
              <w:t>특발성 무효</w:t>
            </w:r>
          </w:p>
        </w:tc>
      </w:tr>
      <w:tr>
        <w:trPr>
          <w:cantSplit/>
        </w:trPr>
        <w:tc>
          <w:tcPr>
            <w:tcW w:type="dxa" w:w="2376"/>
            <w:shd w:val="clear" w:fill="EEF2F6"/>
          </w:tcPr>
          <w:p>
            <w:pPr>
              <w:spacing w:before="20" w:after="20"/>
              <w:jc w:val="left"/>
            </w:pPr>
            <w:r>
              <w:rPr>
                <w:rFonts w:ascii="Calibri" w:hAnsi="Calibri" w:eastAsia="맑은 고딕"/>
                <w:b w:val="0"/>
                <w:color w:val="1A202C"/>
                <w:sz w:val="18"/>
              </w:rPr>
              <w:t>스트레칭</w:t>
            </w:r>
          </w:p>
        </w:tc>
        <w:tc>
          <w:tcPr>
            <w:tcW w:type="dxa" w:w="2376"/>
            <w:shd w:val="clear" w:fill="EEF2F6"/>
          </w:tcPr>
          <w:p>
            <w:pPr>
              <w:spacing w:before="20" w:after="20"/>
              <w:jc w:val="center"/>
            </w:pPr>
            <w:r>
              <w:rPr>
                <w:rFonts w:ascii="Calibri" w:hAnsi="Calibri" w:eastAsia="맑은 고딕"/>
                <w:b w:val="0"/>
                <w:color w:val="1A202C"/>
                <w:sz w:val="18"/>
              </w:rPr>
              <w:t>Hallegraeff 2012</w:t>
            </w:r>
          </w:p>
        </w:tc>
        <w:tc>
          <w:tcPr>
            <w:tcW w:type="dxa" w:w="2376"/>
            <w:shd w:val="clear" w:fill="EEF2F6"/>
          </w:tcPr>
          <w:p>
            <w:pPr>
              <w:spacing w:before="20" w:after="20"/>
              <w:jc w:val="center"/>
            </w:pPr>
            <w:r>
              <w:rPr>
                <w:rFonts w:ascii="Calibri" w:hAnsi="Calibri" w:eastAsia="맑은 고딕"/>
                <w:b w:val="0"/>
                <w:color w:val="1A202C"/>
                <w:sz w:val="18"/>
              </w:rPr>
              <w:t>RCT n=80</w:t>
            </w:r>
          </w:p>
        </w:tc>
        <w:tc>
          <w:tcPr>
            <w:tcW w:type="dxa" w:w="2376"/>
            <w:shd w:val="clear" w:fill="EEF2F6"/>
          </w:tcPr>
          <w:p>
            <w:pPr>
              <w:spacing w:before="20" w:after="20"/>
              <w:jc w:val="center"/>
            </w:pPr>
            <w:r>
              <w:rPr>
                <w:rFonts w:ascii="Calibri" w:hAnsi="Calibri" w:eastAsia="맑은 고딕"/>
                <w:b w:val="0"/>
                <w:color w:val="1A202C"/>
                <w:sz w:val="18"/>
              </w:rPr>
              <w:t>빈도 −1.2/야, 강도 −1.3 VAS</w:t>
            </w:r>
          </w:p>
        </w:tc>
      </w:tr>
    </w:tbl>
    <w:p>
      <w:pPr>
        <w:spacing w:after="40"/>
      </w:pPr>
    </w:p>
    <w:p>
      <w:pPr>
        <w:keepNext/>
        <w:spacing w:before="260" w:after="100"/>
        <w:pBdr>
          <w:bottom w:val="single" w:sz="10" w:space="4" w:color="1F6E70"/>
        </w:pBdr>
      </w:pPr>
      <w:r>
        <w:rPr>
          <w:rFonts w:ascii="Calibri" w:hAnsi="Calibri" w:eastAsia="맑은 고딕"/>
          <w:b/>
          <w:color w:val="1B355E"/>
          <w:sz w:val="29"/>
        </w:rPr>
        <w:t>참고문헌</w:t>
      </w:r>
    </w:p>
    <w:p>
      <w:pPr>
        <w:spacing w:after="60" w:line="259" w:lineRule="auto"/>
        <w:ind w:left="432" w:hanging="317"/>
      </w:pPr>
      <w:r>
        <w:rPr>
          <w:rFonts w:ascii="Calibri" w:hAnsi="Calibri" w:eastAsia="맑은 고딕"/>
          <w:b/>
          <w:color w:val="1F6E70"/>
          <w:sz w:val="20"/>
        </w:rPr>
        <w:t xml:space="preserve">1. </w:t>
      </w:r>
      <w:r>
        <w:rPr>
          <w:rFonts w:ascii="Calibri" w:hAnsi="Calibri" w:eastAsia="맑은 고딕"/>
          <w:b w:val="0"/>
          <w:color w:val="1A202C"/>
          <w:sz w:val="20"/>
        </w:rPr>
        <w:t>Miller TM, Layzer RB. Muscle cramps. Muscle Nerve. 2005;32(4):431-442. PMID 15902691.</w:t>
      </w:r>
    </w:p>
    <w:p>
      <w:pPr>
        <w:spacing w:after="60" w:line="259" w:lineRule="auto"/>
        <w:ind w:left="432" w:hanging="317"/>
      </w:pPr>
      <w:r>
        <w:rPr>
          <w:rFonts w:ascii="Calibri" w:hAnsi="Calibri" w:eastAsia="맑은 고딕"/>
          <w:b/>
          <w:color w:val="1F6E70"/>
          <w:sz w:val="20"/>
        </w:rPr>
        <w:t xml:space="preserve">2. </w:t>
      </w:r>
      <w:r>
        <w:rPr>
          <w:rFonts w:ascii="Calibri" w:hAnsi="Calibri" w:eastAsia="맑은 고딕"/>
          <w:b w:val="0"/>
          <w:color w:val="1A202C"/>
          <w:sz w:val="20"/>
        </w:rPr>
        <w:t>Minetto MA, Holobar A, Botter A, Ravenni R, Farina D. Mechanisms of cramp contractions: peripheral or central generation? J Physiol. 2011;589(Pt 23):5759-5773. PMID 21969448.</w:t>
      </w:r>
    </w:p>
    <w:p>
      <w:pPr>
        <w:spacing w:after="60" w:line="259" w:lineRule="auto"/>
        <w:ind w:left="432" w:hanging="317"/>
      </w:pPr>
      <w:r>
        <w:rPr>
          <w:rFonts w:ascii="Calibri" w:hAnsi="Calibri" w:eastAsia="맑은 고딕"/>
          <w:b/>
          <w:color w:val="1F6E70"/>
          <w:sz w:val="20"/>
        </w:rPr>
        <w:t xml:space="preserve">3. </w:t>
      </w:r>
      <w:r>
        <w:rPr>
          <w:rFonts w:ascii="Calibri" w:hAnsi="Calibri" w:eastAsia="맑은 고딕"/>
          <w:b w:val="0"/>
          <w:color w:val="1A202C"/>
          <w:sz w:val="20"/>
        </w:rPr>
        <w:t>Minetto MA, Holobar A, Botter A, Farina D. Origin and development of muscle cramps. Exerc Sport Sci Rev. 2013;41(1):3-10. PMID 23038243.</w:t>
      </w:r>
    </w:p>
    <w:p>
      <w:pPr>
        <w:spacing w:after="60" w:line="259" w:lineRule="auto"/>
        <w:ind w:left="432" w:hanging="317"/>
      </w:pPr>
      <w:r>
        <w:rPr>
          <w:rFonts w:ascii="Calibri" w:hAnsi="Calibri" w:eastAsia="맑은 고딕"/>
          <w:b/>
          <w:color w:val="1F6E70"/>
          <w:sz w:val="20"/>
        </w:rPr>
        <w:t xml:space="preserve">4. </w:t>
      </w:r>
      <w:r>
        <w:rPr>
          <w:rFonts w:ascii="Calibri" w:hAnsi="Calibri" w:eastAsia="맑은 고딕"/>
          <w:b w:val="0"/>
          <w:color w:val="1A202C"/>
          <w:sz w:val="20"/>
        </w:rPr>
        <w:t>Khan SI, Burne JA. Reflex inhibition of normal cramp following electrical stimulation of the muscle tendon. J Neurophysiol. 2007;98(3):1102-1107. PMID 17634341.</w:t>
      </w:r>
    </w:p>
    <w:p>
      <w:pPr>
        <w:spacing w:after="60" w:line="259" w:lineRule="auto"/>
        <w:ind w:left="432" w:hanging="317"/>
      </w:pPr>
      <w:r>
        <w:rPr>
          <w:rFonts w:ascii="Calibri" w:hAnsi="Calibri" w:eastAsia="맑은 고딕"/>
          <w:b/>
          <w:color w:val="1F6E70"/>
          <w:sz w:val="20"/>
        </w:rPr>
        <w:t xml:space="preserve">5. </w:t>
      </w:r>
      <w:r>
        <w:rPr>
          <w:rFonts w:ascii="Calibri" w:hAnsi="Calibri" w:eastAsia="맑은 고딕"/>
          <w:b w:val="0"/>
          <w:color w:val="1A202C"/>
          <w:sz w:val="20"/>
        </w:rPr>
        <w:t>Hallegraeff J, de Greef M, Krijnen W, van der Schans C. Criteria in diagnosing nocturnal leg cramps: a systematic review. BMC Fam Pract. 2017;18(1):29. PMID 28241802.</w:t>
      </w:r>
    </w:p>
    <w:p>
      <w:pPr>
        <w:spacing w:after="60" w:line="259" w:lineRule="auto"/>
        <w:ind w:left="432" w:hanging="317"/>
      </w:pPr>
      <w:r>
        <w:rPr>
          <w:rFonts w:ascii="Calibri" w:hAnsi="Calibri" w:eastAsia="맑은 고딕"/>
          <w:b/>
          <w:color w:val="1F6E70"/>
          <w:sz w:val="20"/>
        </w:rPr>
        <w:t xml:space="preserve">6. </w:t>
      </w:r>
      <w:r>
        <w:rPr>
          <w:rFonts w:ascii="Calibri" w:hAnsi="Calibri" w:eastAsia="맑은 고딕"/>
          <w:b w:val="0"/>
          <w:color w:val="1A202C"/>
          <w:sz w:val="20"/>
        </w:rPr>
        <w:t>Hallegraeff JM, van der Schans CP, de Ruiter R, de Greef MHG. Stretching before sleep reduces the frequency and severity of nocturnal leg cramps in older adults: a randomised trial. J Physiother. 2012;58(1):17-22. PMID 22341378.</w:t>
      </w:r>
    </w:p>
    <w:p>
      <w:pPr>
        <w:spacing w:after="60" w:line="259" w:lineRule="auto"/>
        <w:ind w:left="432" w:hanging="317"/>
      </w:pPr>
      <w:r>
        <w:rPr>
          <w:rFonts w:ascii="Calibri" w:hAnsi="Calibri" w:eastAsia="맑은 고딕"/>
          <w:b/>
          <w:color w:val="1F6E70"/>
          <w:sz w:val="20"/>
        </w:rPr>
        <w:t xml:space="preserve">7. </w:t>
      </w:r>
      <w:r>
        <w:rPr>
          <w:rFonts w:ascii="Calibri" w:hAnsi="Calibri" w:eastAsia="맑은 고딕"/>
          <w:b w:val="0"/>
          <w:color w:val="1A202C"/>
          <w:sz w:val="20"/>
        </w:rPr>
        <w:t>Li BZ, Li HF, Zhang ZW, Li Y, Wang W, Xiong Y. Effectiveness of extracorporeal shock wave therapy reduces leg cramps in patients of lumbar degenerative disorders: a retrospective study. Biomed Res Int. 2021;2021:3554397. PMID 34734084.</w:t>
      </w:r>
    </w:p>
    <w:p>
      <w:pPr>
        <w:spacing w:after="60" w:line="259" w:lineRule="auto"/>
        <w:ind w:left="432" w:hanging="317"/>
      </w:pPr>
      <w:r>
        <w:rPr>
          <w:rFonts w:ascii="Calibri" w:hAnsi="Calibri" w:eastAsia="맑은 고딕"/>
          <w:b/>
          <w:color w:val="1F6E70"/>
          <w:sz w:val="20"/>
        </w:rPr>
        <w:t xml:space="preserve">8. </w:t>
      </w:r>
      <w:r>
        <w:rPr>
          <w:rFonts w:ascii="Calibri" w:hAnsi="Calibri" w:eastAsia="맑은 고딕"/>
          <w:b w:val="0"/>
          <w:color w:val="1A202C"/>
          <w:sz w:val="20"/>
        </w:rPr>
        <w:t>Otero-Luis I, Cavero-Redondo I, Álvarez-Bueno C, et al. Effectiveness of extracorporeal shock wave therapy in treatment of spasticity of different aetiologies: a systematic review and meta-analysis. J Clin Med. 2024;13(5):1323. PMID 38592705.</w:t>
      </w:r>
    </w:p>
    <w:p>
      <w:pPr>
        <w:spacing w:after="60" w:line="259" w:lineRule="auto"/>
        <w:ind w:left="432" w:hanging="317"/>
      </w:pPr>
      <w:r>
        <w:rPr>
          <w:rFonts w:ascii="Calibri" w:hAnsi="Calibri" w:eastAsia="맑은 고딕"/>
          <w:b/>
          <w:color w:val="1F6E70"/>
          <w:sz w:val="20"/>
        </w:rPr>
        <w:t xml:space="preserve">9. </w:t>
      </w:r>
      <w:r>
        <w:rPr>
          <w:rFonts w:ascii="Calibri" w:hAnsi="Calibri" w:eastAsia="맑은 고딕"/>
          <w:b w:val="0"/>
          <w:color w:val="1A202C"/>
          <w:sz w:val="20"/>
        </w:rPr>
        <w:t>Mihai EE, Dumitru L, Mihai IV, Berteanu M. Long-term efficacy of extracorporeal shock wave therapy on lower limb post-stroke spasticity: a systematic review and meta-analysis of RCTs. J Clin Med. 2020;10(1):86. PMID 33383655.</w:t>
      </w:r>
    </w:p>
    <w:p>
      <w:pPr>
        <w:spacing w:after="60" w:line="259" w:lineRule="auto"/>
        <w:ind w:left="432" w:hanging="317"/>
      </w:pPr>
      <w:r>
        <w:rPr>
          <w:rFonts w:ascii="Calibri" w:hAnsi="Calibri" w:eastAsia="맑은 고딕"/>
          <w:b/>
          <w:color w:val="1F6E70"/>
          <w:sz w:val="20"/>
        </w:rPr>
        <w:t xml:space="preserve">10. </w:t>
      </w:r>
      <w:r>
        <w:rPr>
          <w:rFonts w:ascii="Calibri" w:hAnsi="Calibri" w:eastAsia="맑은 고딕"/>
          <w:b w:val="0"/>
          <w:color w:val="1A202C"/>
          <w:sz w:val="20"/>
        </w:rPr>
        <w:t>Yang E, Lew HL, Özçakar L, Wu CH. Recent advances in the treatment of spasticity: extracorporeal shock wave therapy. J Clin Med. 2021;10(20):4723. PMID 34682846.</w:t>
      </w:r>
    </w:p>
    <w:p>
      <w:pPr>
        <w:spacing w:after="60" w:line="259" w:lineRule="auto"/>
        <w:ind w:left="432" w:hanging="317"/>
      </w:pPr>
      <w:r>
        <w:rPr>
          <w:rFonts w:ascii="Calibri" w:hAnsi="Calibri" w:eastAsia="맑은 고딕"/>
          <w:b/>
          <w:color w:val="1F6E70"/>
          <w:sz w:val="20"/>
        </w:rPr>
        <w:t xml:space="preserve">11. </w:t>
      </w:r>
      <w:r>
        <w:rPr>
          <w:rFonts w:ascii="Calibri" w:hAnsi="Calibri" w:eastAsia="맑은 고딕"/>
          <w:b w:val="0"/>
          <w:color w:val="1A202C"/>
          <w:sz w:val="20"/>
        </w:rPr>
        <w:t>Kim DH, Yoon DM, Yoon KB. The effects of myofascial trigger point injections on nocturnal calf cramps. J Am Board Fam Med. 2015;28(1):21-27. PMID 25567819.</w:t>
      </w:r>
    </w:p>
    <w:p>
      <w:pPr>
        <w:spacing w:after="60" w:line="259" w:lineRule="auto"/>
        <w:ind w:left="432" w:hanging="317"/>
      </w:pPr>
      <w:r>
        <w:rPr>
          <w:rFonts w:ascii="Calibri" w:hAnsi="Calibri" w:eastAsia="맑은 고딕"/>
          <w:b/>
          <w:color w:val="1F6E70"/>
          <w:sz w:val="20"/>
        </w:rPr>
        <w:t xml:space="preserve">12. </w:t>
      </w:r>
      <w:r>
        <w:rPr>
          <w:rFonts w:ascii="Calibri" w:hAnsi="Calibri" w:eastAsia="맑은 고딕"/>
          <w:b w:val="0"/>
          <w:color w:val="1A202C"/>
          <w:sz w:val="20"/>
        </w:rPr>
        <w:t>Prateepavanich P, Kupniratsaikul V, Charoensak T. The relationship between myofascial trigger points of gastrocnemius muscle and nocturnal calf cramps. J Med Assoc Thai. 1999;82(5):451-459. PMID 10443094.</w:t>
      </w:r>
    </w:p>
    <w:p>
      <w:pPr>
        <w:spacing w:after="60" w:line="259" w:lineRule="auto"/>
        <w:ind w:left="432" w:hanging="317"/>
      </w:pPr>
      <w:r>
        <w:rPr>
          <w:rFonts w:ascii="Calibri" w:hAnsi="Calibri" w:eastAsia="맑은 고딕"/>
          <w:b/>
          <w:color w:val="1F6E70"/>
          <w:sz w:val="20"/>
        </w:rPr>
        <w:t xml:space="preserve">13. </w:t>
      </w:r>
      <w:r>
        <w:rPr>
          <w:rFonts w:ascii="Calibri" w:hAnsi="Calibri" w:eastAsia="맑은 고딕"/>
          <w:b w:val="0"/>
          <w:color w:val="1A202C"/>
          <w:sz w:val="20"/>
        </w:rPr>
        <w:t>Temel MH, Çelik Y, Bozdağ M, Bağcıer F. Does dry needling contribute to conventional treatment on nocturnal calf cramps? A randomized controlled study. Turk J Osteoporos. 2023;29(3):170-176.</w:t>
      </w:r>
    </w:p>
    <w:p>
      <w:pPr>
        <w:spacing w:after="60" w:line="259" w:lineRule="auto"/>
        <w:ind w:left="432" w:hanging="317"/>
      </w:pPr>
      <w:r>
        <w:rPr>
          <w:rFonts w:ascii="Calibri" w:hAnsi="Calibri" w:eastAsia="맑은 고딕"/>
          <w:b/>
          <w:color w:val="1F6E70"/>
          <w:sz w:val="20"/>
        </w:rPr>
        <w:t xml:space="preserve">14. </w:t>
      </w:r>
      <w:r>
        <w:rPr>
          <w:rFonts w:ascii="Calibri" w:hAnsi="Calibri" w:eastAsia="맑은 고딕"/>
          <w:b w:val="0"/>
          <w:color w:val="1A202C"/>
          <w:sz w:val="20"/>
        </w:rPr>
        <w:t>Bagcier F, Yurdakul OV. Dry needling treatment of the myofascial trigger point in nocturnal calf cramp. J Am Board Fam Med. 2021;34(1):245-246. PMID 33452105.</w:t>
      </w:r>
    </w:p>
    <w:p>
      <w:pPr>
        <w:spacing w:after="60" w:line="259" w:lineRule="auto"/>
        <w:ind w:left="432" w:hanging="317"/>
      </w:pPr>
      <w:r>
        <w:rPr>
          <w:rFonts w:ascii="Calibri" w:hAnsi="Calibri" w:eastAsia="맑은 고딕"/>
          <w:b/>
          <w:color w:val="1F6E70"/>
          <w:sz w:val="20"/>
        </w:rPr>
        <w:t xml:space="preserve">15. </w:t>
      </w:r>
      <w:r>
        <w:rPr>
          <w:rFonts w:ascii="Calibri" w:hAnsi="Calibri" w:eastAsia="맑은 고딕"/>
          <w:b w:val="0"/>
          <w:color w:val="1A202C"/>
          <w:sz w:val="20"/>
        </w:rPr>
        <w:t>Imura T, Inoue G, Nakazawa T, et al. Treatment of nocturnal leg cramps by blockade of the medial branch of the deep peroneal nerve after lumbar spine surgery. Brain Behav. 2015;5(9):e00370. PMID 26445706.</w:t>
      </w:r>
    </w:p>
    <w:p>
      <w:pPr>
        <w:spacing w:after="60" w:line="259" w:lineRule="auto"/>
        <w:ind w:left="432" w:hanging="317"/>
      </w:pPr>
      <w:r>
        <w:rPr>
          <w:rFonts w:ascii="Calibri" w:hAnsi="Calibri" w:eastAsia="맑은 고딕"/>
          <w:b/>
          <w:color w:val="1F6E70"/>
          <w:sz w:val="20"/>
        </w:rPr>
        <w:t xml:space="preserve">16. </w:t>
      </w:r>
      <w:r>
        <w:rPr>
          <w:rFonts w:ascii="Calibri" w:hAnsi="Calibri" w:eastAsia="맑은 고딕"/>
          <w:b w:val="0"/>
          <w:color w:val="1A202C"/>
          <w:sz w:val="20"/>
        </w:rPr>
        <w:t>Park SJ, Yoon KB, Yoon DM, Kim SH. Botulinum toxin treatment for nocturnal calf cramps in patients with lumbar spinal stenosis: a randomized clinical trial. Arch Phys Med Rehabil. 2017;98(5):957-963. PMID 28209505.</w:t>
      </w:r>
    </w:p>
    <w:p>
      <w:pPr>
        <w:spacing w:after="60" w:line="259" w:lineRule="auto"/>
        <w:ind w:left="432" w:hanging="317"/>
      </w:pPr>
      <w:r>
        <w:rPr>
          <w:rFonts w:ascii="Calibri" w:hAnsi="Calibri" w:eastAsia="맑은 고딕"/>
          <w:b/>
          <w:color w:val="1F6E70"/>
          <w:sz w:val="20"/>
        </w:rPr>
        <w:t xml:space="preserve">17. </w:t>
      </w:r>
      <w:r>
        <w:rPr>
          <w:rFonts w:ascii="Calibri" w:hAnsi="Calibri" w:eastAsia="맑은 고딕"/>
          <w:b w:val="0"/>
          <w:color w:val="1A202C"/>
          <w:sz w:val="20"/>
        </w:rPr>
        <w:t>Restivo DA, Casabona A, Nicotra A, et al. Efficacy of botulinum toxin A for treating cramps in diabetic neuropathy. Ann Neurol. 2018;84(5):674-682. PMID 30225985.</w:t>
      </w:r>
    </w:p>
    <w:p>
      <w:pPr>
        <w:spacing w:after="60" w:line="259" w:lineRule="auto"/>
        <w:ind w:left="432" w:hanging="317"/>
      </w:pPr>
      <w:r>
        <w:rPr>
          <w:rFonts w:ascii="Calibri" w:hAnsi="Calibri" w:eastAsia="맑은 고딕"/>
          <w:b/>
          <w:color w:val="1F6E70"/>
          <w:sz w:val="20"/>
        </w:rPr>
        <w:t xml:space="preserve">18. </w:t>
      </w:r>
      <w:r>
        <w:rPr>
          <w:rFonts w:ascii="Calibri" w:hAnsi="Calibri" w:eastAsia="맑은 고딕"/>
          <w:b w:val="0"/>
          <w:color w:val="1A202C"/>
          <w:sz w:val="20"/>
        </w:rPr>
        <w:t>El-Tawil S, Al Musa T, Valli H, et al. Quinine for muscle cramps. Cochrane Database Syst Rev. 2015;(4):CD005044. PMID 25842375.</w:t>
      </w:r>
    </w:p>
    <w:p>
      <w:pPr>
        <w:spacing w:after="60" w:line="259" w:lineRule="auto"/>
        <w:ind w:left="432" w:hanging="317"/>
      </w:pPr>
      <w:r>
        <w:rPr>
          <w:rFonts w:ascii="Calibri" w:hAnsi="Calibri" w:eastAsia="맑은 고딕"/>
          <w:b/>
          <w:color w:val="1F6E70"/>
          <w:sz w:val="20"/>
        </w:rPr>
        <w:t xml:space="preserve">19. </w:t>
      </w:r>
      <w:r>
        <w:rPr>
          <w:rFonts w:ascii="Calibri" w:hAnsi="Calibri" w:eastAsia="맑은 고딕"/>
          <w:b w:val="0"/>
          <w:color w:val="1A202C"/>
          <w:sz w:val="20"/>
        </w:rPr>
        <w:t>Garrison SR, Korownyk CS, Kolber MR, et al. Magnesium for skeletal muscle cramps. Cochrane Database Syst Rev. 2020;9:CD009402. PMID 32956536.</w:t>
      </w:r>
    </w:p>
    <w:p>
      <w:pPr>
        <w:spacing w:after="60" w:line="259" w:lineRule="auto"/>
        <w:ind w:left="432" w:hanging="317"/>
      </w:pPr>
      <w:r>
        <w:rPr>
          <w:rFonts w:ascii="Calibri" w:hAnsi="Calibri" w:eastAsia="맑은 고딕"/>
          <w:b/>
          <w:color w:val="1F6E70"/>
          <w:sz w:val="20"/>
        </w:rPr>
        <w:t xml:space="preserve">20. </w:t>
      </w:r>
      <w:r>
        <w:rPr>
          <w:rFonts w:ascii="Calibri" w:hAnsi="Calibri" w:eastAsia="맑은 고딕"/>
          <w:b w:val="0"/>
          <w:color w:val="1A202C"/>
          <w:sz w:val="20"/>
        </w:rPr>
        <w:t>Chan P, Huang TY, Chen YJ, Huang WP, Liu YC. Randomized, double-blind, placebo-controlled study of the safety and efficacy of vitamin B complex in the treatment of nocturnal leg cramps in elderly patients with hypertension. J Clin Pharmacol. 1998;38(12):1151-1154. PMID 11301568.</w:t>
      </w:r>
    </w:p>
    <w:p>
      <w:pPr>
        <w:spacing w:after="60" w:line="259" w:lineRule="auto"/>
        <w:ind w:left="432" w:hanging="317"/>
      </w:pPr>
      <w:r>
        <w:rPr>
          <w:rFonts w:ascii="Calibri" w:hAnsi="Calibri" w:eastAsia="맑은 고딕"/>
          <w:b/>
          <w:color w:val="1F6E70"/>
          <w:sz w:val="20"/>
        </w:rPr>
        <w:t xml:space="preserve">21. </w:t>
      </w:r>
      <w:r>
        <w:rPr>
          <w:rFonts w:ascii="Calibri" w:hAnsi="Calibri" w:eastAsia="맑은 고딕"/>
          <w:b w:val="0"/>
          <w:color w:val="1A202C"/>
          <w:sz w:val="20"/>
        </w:rPr>
        <w:t>Voon WC, Sheu SH. Diltiazem for nocturnal leg cramps. Age Ageing. 2001;30(1):91-92. PMID 11322688.</w:t>
      </w:r>
    </w:p>
    <w:p>
      <w:pPr>
        <w:spacing w:after="60" w:line="259" w:lineRule="auto"/>
        <w:ind w:left="432" w:hanging="317"/>
      </w:pPr>
      <w:r>
        <w:rPr>
          <w:rFonts w:ascii="Calibri" w:hAnsi="Calibri" w:eastAsia="맑은 고딕"/>
          <w:b/>
          <w:color w:val="1F6E70"/>
          <w:sz w:val="20"/>
        </w:rPr>
        <w:t xml:space="preserve">22. </w:t>
      </w:r>
      <w:r>
        <w:rPr>
          <w:rFonts w:ascii="Calibri" w:hAnsi="Calibri" w:eastAsia="맑은 고딕"/>
          <w:b w:val="0"/>
          <w:color w:val="1A202C"/>
          <w:sz w:val="20"/>
        </w:rPr>
        <w:t>Tan J, Zhu R, et al. Vitamin K2 in managing nocturnal leg cramps: a randomized clinical trial. JAMA Intern Med. 2024;184(12):1443-1447. PMID 39466236 (정정·교체 통지 2025).</w:t>
      </w:r>
    </w:p>
    <w:p>
      <w:pPr>
        <w:spacing w:after="60" w:line="259" w:lineRule="auto"/>
        <w:ind w:left="432" w:hanging="317"/>
      </w:pPr>
      <w:r>
        <w:rPr>
          <w:rFonts w:ascii="Calibri" w:hAnsi="Calibri" w:eastAsia="맑은 고딕"/>
          <w:b/>
          <w:color w:val="1F6E70"/>
          <w:sz w:val="20"/>
        </w:rPr>
        <w:t xml:space="preserve">23. </w:t>
      </w:r>
      <w:r>
        <w:rPr>
          <w:rFonts w:ascii="Calibri" w:hAnsi="Calibri" w:eastAsia="맑은 고딕"/>
          <w:b w:val="0"/>
          <w:color w:val="1A202C"/>
          <w:sz w:val="20"/>
        </w:rPr>
        <w:t>Garrison SR, Dormuth CR, Morrow RL, Carney GA, Khan KM. Nocturnal leg cramps and prescription use that precedes them: a sequence symmetry analysis. Arch Intern Med. 2012;172(2):120-126. PMID 22157068.</w:t>
      </w:r>
    </w:p>
    <w:p>
      <w:pPr>
        <w:spacing w:after="60" w:line="259" w:lineRule="auto"/>
        <w:ind w:left="432" w:hanging="317"/>
      </w:pPr>
      <w:r>
        <w:rPr>
          <w:rFonts w:ascii="Calibri" w:hAnsi="Calibri" w:eastAsia="맑은 고딕"/>
          <w:b/>
          <w:color w:val="1F6E70"/>
          <w:sz w:val="20"/>
        </w:rPr>
        <w:t xml:space="preserve">24. </w:t>
      </w:r>
      <w:r>
        <w:rPr>
          <w:rFonts w:ascii="Calibri" w:hAnsi="Calibri" w:eastAsia="맑은 고딕"/>
          <w:b w:val="0"/>
          <w:color w:val="1A202C"/>
          <w:sz w:val="20"/>
        </w:rPr>
        <w:t>Matsumoto M, Watanabe K, Tsuji T, et al. Nocturnal leg cramps: a common complaint in patients with lumbar spinal canal stenosis. Spine. 2009;34(5):E189-E194. PMID 19247159.</w:t>
      </w:r>
    </w:p>
    <w:p>
      <w:pPr>
        <w:spacing w:after="80" w:line="269" w:lineRule="auto"/>
      </w:pPr>
      <w:r>
        <w:rPr>
          <w:rFonts w:ascii="Calibri" w:hAnsi="Calibri" w:eastAsia="맑은 고딕"/>
          <w:b w:val="0"/>
          <w:color w:val="1A202C"/>
          <w:sz w:val="21"/>
        </w:rPr>
        <w:t>*검증 메모: 서지정보는 PubMed/저널 목록 대조로 정리. 특발성 NLC를 표적한 ESWT RCT는 확인되지 않아 '직접 근거 공백'으로 명시함. 일부 인용의 권·페이지는 원문 재확인 권장.*</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