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Calibri" w:hAnsi="Calibri" w:eastAsia="맑은 고딕"/>
          <w:b/>
          <w:color w:val="1B355E"/>
          <w:sz w:val="38"/>
        </w:rPr>
        <w:t>하지불안증후군(RLS) 요약본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병태생리 · 주된 호소 · 치료 핵심 (ESWT · 주사 · 경구약제)</w:t>
      </w:r>
    </w:p>
    <w:p>
      <w:pPr>
        <w:spacing w:after="80" w:line="269" w:lineRule="auto"/>
      </w:pPr>
      <w:r>
        <w:rPr>
          <w:rFonts w:ascii="Calibri" w:hAnsi="Calibri" w:eastAsia="맑은 고딕"/>
          <w:b w:val="0"/>
          <w:color w:val="1A202C"/>
          <w:sz w:val="21"/>
        </w:rPr>
        <w:t>작성일 2026-07 · 교육·연구 참고용.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한눈에 보는 핵심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병태생리:</w:t>
      </w:r>
      <w:r>
        <w:rPr>
          <w:rFonts w:ascii="Calibri" w:hAnsi="Calibri" w:eastAsia="맑은 고딕"/>
          <w:b w:val="0"/>
          <w:color w:val="1A202C"/>
          <w:sz w:val="20"/>
        </w:rPr>
        <w:t xml:space="preserve"> 뇌 국소 철분 결핍 → 도파민·아데노신 신호 이상. 유전·이차요인.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주된 호소(IRLSSG 5기준):</w:t>
      </w:r>
      <w:r>
        <w:rPr>
          <w:rFonts w:ascii="Calibri" w:hAnsi="Calibri" w:eastAsia="맑은 고딕"/>
          <w:b w:val="0"/>
          <w:color w:val="1A202C"/>
          <w:sz w:val="20"/>
        </w:rPr>
        <w:t xml:space="preserve"> 움직이고 싶은 충동 + 안정 시 악화 + 움직이면 완화 + 저녁·밤 악화 + mimic 배제. 통증보다 이상감각, 근경직 없음.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감별:</w:t>
      </w:r>
      <w:r>
        <w:rPr>
          <w:rFonts w:ascii="Calibri" w:hAnsi="Calibri" w:eastAsia="맑은 고딕"/>
          <w:b w:val="0"/>
          <w:color w:val="1A202C"/>
          <w:sz w:val="20"/>
        </w:rPr>
        <w:t xml:space="preserve"> NLC(통증성 근수축·근경직·족배굴곡 완화)와 구분.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치료 3축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  <w:tblHeader/>
        </w:trPr>
        <w:tc>
          <w:tcPr>
            <w:tcW w:type="dxa" w:w="2376"/>
            <w:shd w:val="clear" w:fill="1B355E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18"/>
              </w:rPr>
              <w:t>치료 축</w:t>
            </w:r>
          </w:p>
        </w:tc>
        <w:tc>
          <w:tcPr>
            <w:tcW w:type="dxa" w:w="2376"/>
            <w:shd w:val="clear" w:fill="1B355E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18"/>
              </w:rPr>
              <w:t>대표 치료</w:t>
            </w:r>
          </w:p>
        </w:tc>
        <w:tc>
          <w:tcPr>
            <w:tcW w:type="dxa" w:w="2376"/>
            <w:shd w:val="clear" w:fill="1B355E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18"/>
              </w:rPr>
              <w:t>근거</w:t>
            </w:r>
          </w:p>
        </w:tc>
        <w:tc>
          <w:tcPr>
            <w:tcW w:type="dxa" w:w="2376"/>
            <w:shd w:val="clear" w:fill="1B355E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18"/>
              </w:rPr>
              <w:t>위치</w:t>
            </w:r>
          </w:p>
        </w:tc>
      </w:tr>
      <w:tr>
        <w:trPr>
          <w:cantSplit/>
        </w:trPr>
        <w:tc>
          <w:tcPr>
            <w:tcW w:type="dxa" w:w="2376"/>
            <w:shd w:val="clear" w:fill="EEF2F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ESWT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체외충격파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RLS 표적 연구 없음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권고 불가(비골신경자극이 대안)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주사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IV 철분(FCM)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Earley 2024 RCT·메타분석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철결핍 시 강한 권고</w:t>
            </w:r>
          </w:p>
        </w:tc>
      </w:tr>
      <w:tr>
        <w:trPr>
          <w:cantSplit/>
        </w:trPr>
        <w:tc>
          <w:tcPr>
            <w:tcW w:type="dxa" w:w="2376"/>
            <w:shd w:val="clear" w:fill="EEF2F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주사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보툴리눔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Mittal 2018·SR 2021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근거 약함·연구단계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경구약제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α2δ 리간드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Allen 2014 등 다수 RCT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1차(강한 권고)</w:t>
            </w:r>
          </w:p>
        </w:tc>
      </w:tr>
      <w:tr>
        <w:trPr>
          <w:cantSplit/>
        </w:trPr>
        <w:tc>
          <w:tcPr>
            <w:tcW w:type="dxa" w:w="2376"/>
            <w:shd w:val="clear" w:fill="EEF2F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경구약제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도파민 작용제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Winkelman 2006</w:t>
            </w:r>
          </w:p>
        </w:tc>
        <w:tc>
          <w:tcPr>
            <w:tcW w:type="dxa" w:w="2376"/>
            <w:shd w:val="clear" w:fill="EEF2F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단기효과, augmentation로 후순위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20" w:after="20"/>
              <w:jc w:val="left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경구약제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dipyridamole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Garcia-Borreguero 2021</w:t>
            </w:r>
          </w:p>
        </w:tc>
        <w:tc>
          <w:tcPr>
            <w:tcW w:type="dxa" w:w="2376"/>
          </w:tcPr>
          <w:p>
            <w:pPr>
              <w:spacing w:before="20" w:after="20"/>
              <w:jc w:val="center"/>
            </w:pPr>
            <w:r>
              <w:rPr>
                <w:rFonts w:ascii="Calibri" w:hAnsi="Calibri" w:eastAsia="맑은 고딕"/>
                <w:b w:val="0"/>
                <w:color w:val="1A202C"/>
                <w:sz w:val="18"/>
              </w:rPr>
              <w:t>조건부(신규)</w:t>
            </w:r>
          </w:p>
        </w:tc>
      </w:tr>
    </w:tbl>
    <w:p>
      <w:pPr>
        <w:spacing w:after="40"/>
      </w:pP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주사·용량 핵심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IV 철분:</w:t>
      </w:r>
      <w:r>
        <w:rPr>
          <w:rFonts w:ascii="Calibri" w:hAnsi="Calibri" w:eastAsia="맑은 고딕"/>
          <w:b w:val="0"/>
          <w:color w:val="1A202C"/>
          <w:sz w:val="20"/>
        </w:rPr>
        <w:t xml:space="preserve"> FCM 1000 mg 단회(또는 750 mg×2). 적응 ferritin ≤100 또는 경구 부적절.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보툴리눔(Mittal 2018):</w:t>
      </w:r>
      <w:r>
        <w:rPr>
          <w:rFonts w:ascii="Calibri" w:hAnsi="Calibri" w:eastAsia="맑은 고딕"/>
          <w:b w:val="0"/>
          <w:color w:val="1A202C"/>
          <w:sz w:val="20"/>
        </w:rPr>
        <w:t xml:space="preserve"> incoA 100U → 전경골근·비복근·대퇴이두근.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핵심 메시지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1. </w:t>
      </w:r>
      <w:r>
        <w:rPr>
          <w:rFonts w:ascii="Calibri" w:hAnsi="Calibri" w:eastAsia="맑은 고딕"/>
          <w:b w:val="0"/>
          <w:color w:val="1A202C"/>
          <w:sz w:val="20"/>
        </w:rPr>
        <w:t>철분 교정이 기반, α2δ 리간드가 1차 약물. 2. 도파민제는 augmentation으로 후순위. 3. 주사 중 근거 최강은 정맥 철분. 4. ESWT는 RLS 근거 없음 — 비약물은 비골신경 자극.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