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요추교감신경차단(LSB) 문헌고찰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방법(Technique) · 적응증(Indication) · 효과(Efficacy)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*Lumbar Sympathetic Block / Sympatholysis — Technique, Indications, and Efficacy*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 문헌고찰. 개별 환자의 진료 결정은 담당 의사의 판단에 따른다.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개요: 요추교감신경차단(LSB)과 교감신경 신경파괴(sympatholysis)는 70년 이상 다양한 하지 통증·허혈 질환에 사용되어 왔다. 국소마취제 차단(진단적/치료적)과 화학적/열적 신경파괴로 나뉜다.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1. 해부 및 원리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요추 교감신경절은 척추체 전외측에 위치하며, 신경절 밀도가 가장 높은 </w:t>
      </w:r>
      <w:r>
        <w:rPr>
          <w:rFonts w:ascii="Calibri" w:hAnsi="Calibri" w:eastAsia="맑은 고딕"/>
          <w:b/>
          <w:color w:val="1A202C"/>
          <w:sz w:val="20"/>
        </w:rPr>
        <w:t>L2–L3</w:t>
      </w:r>
      <w:r>
        <w:rPr>
          <w:rFonts w:ascii="Calibri" w:hAnsi="Calibri" w:eastAsia="맑은 고딕"/>
          <w:b w:val="0"/>
          <w:color w:val="1A202C"/>
          <w:sz w:val="20"/>
        </w:rPr>
        <w:t>(보통 'L2 하 1/3 ~ L3 상 1/3')가 대표 표적이다. 일부는 L2/L3/L4 다분절.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원리: 교감신경 차단 → 혈관 확장·측부순환 증가 → 조직 산소화 개선, 그리고 교감신경 매개 통증(sympathetically-maintained pain) 경로 및 자율신경 동반 침해 구심로 차단.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2. 방법 (Technique)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2-1. 접근·영상 유도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표준: 방척추(paravertebral) 접근 + 투시(fluoroscopy).</w:t>
      </w:r>
      <w:r>
        <w:rPr>
          <w:rFonts w:ascii="Calibri" w:hAnsi="Calibri" w:eastAsia="맑은 고딕"/>
          <w:b w:val="0"/>
          <w:color w:val="1A202C"/>
          <w:sz w:val="20"/>
        </w:rPr>
        <w:t xml:space="preserve"> CT·초음파도 사용 가능.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바늘 진입은 정중선에서 약 </w:t>
      </w:r>
      <w:r>
        <w:rPr>
          <w:rFonts w:ascii="Calibri" w:hAnsi="Calibri" w:eastAsia="맑은 고딕"/>
          <w:b/>
          <w:color w:val="1A202C"/>
          <w:sz w:val="20"/>
        </w:rPr>
        <w:t>7 cm 외측</w:t>
      </w:r>
      <w:r>
        <w:rPr>
          <w:rFonts w:ascii="Calibri" w:hAnsi="Calibri" w:eastAsia="맑은 고딕"/>
          <w:b w:val="0"/>
          <w:color w:val="1A202C"/>
          <w:sz w:val="20"/>
        </w:rPr>
        <w:t>. 척추체에 접촉하면 바늘을 전내측으로 'walk'하여 척추체 전외측(perivertebral space)으로 진입.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흡인 후 조영제를 주입하여 </w:t>
      </w:r>
      <w:r>
        <w:rPr>
          <w:rFonts w:ascii="Calibri" w:hAnsi="Calibri" w:eastAsia="맑은 고딕"/>
          <w:b/>
          <w:color w:val="1A202C"/>
          <w:sz w:val="20"/>
        </w:rPr>
        <w:t>두미측(craniocaudal) 종방향 확산</w:t>
      </w:r>
      <w:r>
        <w:rPr>
          <w:rFonts w:ascii="Calibri" w:hAnsi="Calibri" w:eastAsia="맑은 고딕"/>
          <w:b w:val="0"/>
          <w:color w:val="1A202C"/>
          <w:sz w:val="20"/>
        </w:rPr>
        <w:t>을 확인한다.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성공 지표:</w:t>
      </w:r>
      <w:r>
        <w:rPr>
          <w:rFonts w:ascii="Calibri" w:hAnsi="Calibri" w:eastAsia="맑은 고딕"/>
          <w:b w:val="0"/>
          <w:color w:val="1A202C"/>
          <w:sz w:val="20"/>
        </w:rPr>
        <w:t xml:space="preserve"> 동측 하지 피부온도 </w:t>
      </w:r>
      <w:r>
        <w:rPr>
          <w:rFonts w:ascii="Calibri" w:hAnsi="Calibri" w:eastAsia="맑은 고딕"/>
          <w:b/>
          <w:color w:val="1A202C"/>
          <w:sz w:val="20"/>
        </w:rPr>
        <w:t>≥2°C 상승</w:t>
      </w:r>
      <w:r>
        <w:rPr>
          <w:rFonts w:ascii="Calibri" w:hAnsi="Calibri" w:eastAsia="맑은 고딕"/>
          <w:b w:val="0"/>
          <w:color w:val="1A202C"/>
          <w:sz w:val="20"/>
        </w:rPr>
        <w:t>(교감 차단 성공의 객관 지표).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2-2. 약제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진단적/치료적 차단(국소마취제): lidocaine 1%, bupivacaine 0.25–0.5%, ropivacaine 0.25–0.36%.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신경파괴(neurolysis): </w:t>
      </w:r>
      <w:r>
        <w:rPr>
          <w:rFonts w:ascii="Calibri" w:hAnsi="Calibri" w:eastAsia="맑은 고딕"/>
          <w:b/>
          <w:color w:val="1A202C"/>
          <w:sz w:val="20"/>
        </w:rPr>
        <w:t>무수알코올(absolute alcohol)</w:t>
      </w:r>
      <w:r>
        <w:rPr>
          <w:rFonts w:ascii="Calibri" w:hAnsi="Calibri" w:eastAsia="맑은 고딕"/>
          <w:b w:val="0"/>
          <w:color w:val="1A202C"/>
          <w:sz w:val="20"/>
        </w:rPr>
        <w:t xml:space="preserve"> 또는 phenol. 열적 방법으로 </w:t>
      </w:r>
      <w:r>
        <w:rPr>
          <w:rFonts w:ascii="Calibri" w:hAnsi="Calibri" w:eastAsia="맑은 고딕"/>
          <w:b/>
          <w:color w:val="1A202C"/>
          <w:sz w:val="20"/>
        </w:rPr>
        <w:t>고주파열응고(RFA)</w:t>
      </w:r>
      <w:r>
        <w:rPr>
          <w:rFonts w:ascii="Calibri" w:hAnsi="Calibri" w:eastAsia="맑은 고딕"/>
          <w:b w:val="0"/>
          <w:color w:val="1A202C"/>
          <w:sz w:val="20"/>
        </w:rPr>
        <w:t>·레이저.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보조제: triamcinolone/dexamethasone 등(연구적).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원칙: </w:t>
      </w:r>
      <w:r>
        <w:rPr>
          <w:rFonts w:ascii="Calibri" w:hAnsi="Calibri" w:eastAsia="맑은 고딕"/>
          <w:b/>
          <w:color w:val="1A202C"/>
          <w:sz w:val="20"/>
        </w:rPr>
        <w:t>신경파괴는 국소마취제 진단적 차단이 양성일 때에만</w:t>
      </w:r>
      <w:r>
        <w:rPr>
          <w:rFonts w:ascii="Calibri" w:hAnsi="Calibri" w:eastAsia="맑은 고딕"/>
          <w:b w:val="0"/>
          <w:color w:val="1A202C"/>
          <w:sz w:val="20"/>
        </w:rPr>
        <w:t xml:space="preserve"> 시행(반응 예측·표적 확인).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3. 적응증 (Indications)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3-1. 복합부위통증증후군(CRPS I/II, 하지) — 대표 적응증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교감신경 매개 통증의 전형. 진단적 차단 → 신경파괴로 장기 통증완화. </w:t>
      </w:r>
      <w:r>
        <w:rPr>
          <w:rFonts w:ascii="Calibri" w:hAnsi="Calibri" w:eastAsia="맑은 고딕"/>
          <w:b/>
          <w:color w:val="1A202C"/>
          <w:sz w:val="20"/>
        </w:rPr>
        <w:t>조기(발병 12개월 이내) 시행 시 진통·기능회복 결과가 더 좋다.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3-2. 허혈성 통증 — 말초혈관·허혈질환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죽상경화성 말초동맥질환(PAD), 버거병(폐색성 혈전혈관염), </w:t>
      </w:r>
      <w:r>
        <w:rPr>
          <w:rFonts w:ascii="Calibri" w:hAnsi="Calibri" w:eastAsia="맑은 고딕"/>
          <w:b/>
          <w:color w:val="1A202C"/>
          <w:sz w:val="20"/>
        </w:rPr>
        <w:t>중증 하지허혈(CLI)의 안정 시 통증(rest pain)</w:t>
      </w:r>
      <w:r>
        <w:rPr>
          <w:rFonts w:ascii="Calibri" w:hAnsi="Calibri" w:eastAsia="맑은 고딕"/>
          <w:b w:val="0"/>
          <w:color w:val="1A202C"/>
          <w:sz w:val="20"/>
        </w:rPr>
        <w:t>, 재건 불가능한 허혈. 색전성 폐색, 동상·한랭손상, 혈관연축질환.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3-3. 기타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당뇨병성 말초신경병증/당뇨발(통증·궤양 관류), 대상포진후신경통(하지 분절), 환상지통·단단통, 족부 다한증, 레이노 증후군(하지)·홍색사지통증, 암성 골반/하지통.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 xml:space="preserve">감별 주의: </w:t>
      </w:r>
      <w:r>
        <w:rPr>
          <w:rFonts w:ascii="Calibri" w:hAnsi="Calibri" w:eastAsia="맑은 고딕"/>
          <w:b/>
          <w:i/>
          <w:color w:val="55606B"/>
          <w:sz w:val="19"/>
        </w:rPr>
        <w:t>특발성 야간 하지경련(NLC)은 LSB의 적응증이 아니다</w:t>
      </w:r>
      <w:r>
        <w:rPr>
          <w:rFonts w:ascii="Calibri" w:hAnsi="Calibri" w:eastAsia="맑은 고딕"/>
          <w:b w:val="0"/>
          <w:i/>
          <w:color w:val="55606B"/>
          <w:sz w:val="19"/>
        </w:rPr>
        <w:t>(직접 근거 없음). 다만 '밤 다리 증상'이 실제로는 허혈성 안정통(PAD/CLI)이라면 LSB가 적응증이 된다. ABI·도플러 등으로 원인 감별이 선행되어야 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4. 효과 (Efficacy)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4-1. 관류 개선 — 실측 근거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Dickey 2024(Cureus):</w:t>
      </w:r>
      <w:r>
        <w:rPr>
          <w:rFonts w:ascii="Calibri" w:hAnsi="Calibri" w:eastAsia="맑은 고딕"/>
          <w:b w:val="0"/>
          <w:color w:val="1A202C"/>
          <w:sz w:val="20"/>
        </w:rPr>
        <w:t xml:space="preserve"> LSB 후 초음파상 후경골동맥 직경 0.17→0.27 cm(+58.8%), 모세혈관 재충혈 3.92→1.30초, 족부온도 +2.8°C로 하지 관류가 실측 개선.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Zhang 2022(Ibrain): LSB가 하지 혈관 긴장도 감소·평활근 연축 완화·측부순환 증가·endothelin 감소를 유도.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4-2. 허혈성 통증(PAD/CLI)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LSB가 하지 통증을 </w:t>
      </w:r>
      <w:r>
        <w:rPr>
          <w:rFonts w:ascii="Calibri" w:hAnsi="Calibri" w:eastAsia="맑은 고딕"/>
          <w:b/>
          <w:color w:val="1A202C"/>
          <w:sz w:val="20"/>
        </w:rPr>
        <w:t>최대 75%까지 감소</w:t>
      </w:r>
      <w:r>
        <w:rPr>
          <w:rFonts w:ascii="Calibri" w:hAnsi="Calibri" w:eastAsia="맑은 고딕"/>
          <w:b w:val="0"/>
          <w:color w:val="1A202C"/>
          <w:sz w:val="20"/>
        </w:rPr>
        <w:t>시켰다는 보고. Fontaine 분류·측부관류 개선(PAD 후향 연구, Medicina 2024).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비재건성 CLI:</w:t>
      </w:r>
      <w:r>
        <w:rPr>
          <w:rFonts w:ascii="Calibri" w:hAnsi="Calibri" w:eastAsia="맑은 고딕"/>
          <w:b w:val="0"/>
          <w:color w:val="1A202C"/>
          <w:sz w:val="20"/>
        </w:rPr>
        <w:t xml:space="preserve"> 교감신경 신경파괴가 절단 외 대안이 없는 환자의 통증조절에 효과적·안전(Barreto 2018 증례).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4-3. CRPS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CRPS는 교감신경 매개 통증의 전형으로, LSB(LSGB) 후 유의한 통증완화를 얻는다는 근거가 축적. 최적 환자 선택·조기 시행이 성공률을 높인다.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Choi 2024(Sci Rep): 교감신경 신경파괴의 효과 지속기간을 전향 관찰로 제시.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반응 예측:</w:t>
      </w:r>
      <w:r>
        <w:rPr>
          <w:rFonts w:ascii="Calibri" w:hAnsi="Calibri" w:eastAsia="맑은 고딕"/>
          <w:b w:val="0"/>
          <w:color w:val="1A202C"/>
          <w:sz w:val="20"/>
        </w:rPr>
        <w:t xml:space="preserve"> 교감신경 피부반응(sympathetic skin response)이 LSB 반응을 예측하는 데 유용(Pain Ther 2023).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한계: 중추 감작이 진행되면 시간이 지날수록 효과가 감소할 수 있다.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4-4. 기전 요약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교감차단 → 측부순환 혈관확장 → 조직 산소화↑ → 조직손상·통증↓. 더불어 교감신경 매개 통증 경로 차단과 신경파괴의 침해섬유 직접 효과가 복합 작용.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5. 합병증·안전성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생식대퇴신경통(genitofemoral neuralgia; 신경파괴 시 5–10%), 외측대퇴피신경 손상, 기립성 저혈압, 혈관·요관·신장 등 내장 구조 천공, 출혈, 신경축(neuraxial) 확산, 신경파괴 후 통증성 신경염(dysesthesia).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6. 근거 수준 및 결론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대부분 관찰연구·증례군·소규모 전향연구이며 대규모 RCT는 부족하다(허혈질환·CRPS에서 Level III~IV).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그럼에도 </w:t>
      </w:r>
      <w:r>
        <w:rPr>
          <w:rFonts w:ascii="Calibri" w:hAnsi="Calibri" w:eastAsia="맑은 고딕"/>
          <w:b/>
          <w:color w:val="1A202C"/>
          <w:sz w:val="20"/>
        </w:rPr>
        <w:t>조기 CRPS</w:t>
      </w:r>
      <w:r>
        <w:rPr>
          <w:rFonts w:ascii="Calibri" w:hAnsi="Calibri" w:eastAsia="맑은 고딕"/>
          <w:b w:val="0"/>
          <w:color w:val="1A202C"/>
          <w:sz w:val="20"/>
        </w:rPr>
        <w:t xml:space="preserve">와 </w:t>
      </w:r>
      <w:r>
        <w:rPr>
          <w:rFonts w:ascii="Calibri" w:hAnsi="Calibri" w:eastAsia="맑은 고딕"/>
          <w:b/>
          <w:color w:val="1A202C"/>
          <w:sz w:val="20"/>
        </w:rPr>
        <w:t>재건 불가능한 중증 하지허혈(안정통)</w:t>
      </w:r>
      <w:r>
        <w:rPr>
          <w:rFonts w:ascii="Calibri" w:hAnsi="Calibri" w:eastAsia="맑은 고딕"/>
          <w:b w:val="0"/>
          <w:color w:val="1A202C"/>
          <w:sz w:val="20"/>
        </w:rPr>
        <w:t>에서 임상적으로 유용한 선택지다.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시행 원칙: 원인 감별 → 국소마취제 진단적 차단(온도 ≥2°C 상승으로 성공 확인) → 반응 양호 시 신경파괴/RFA. 특발성 경련·비허혈성 증상에는 적응증이 아니다.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