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Calibri" w:hAnsi="Calibri" w:eastAsia="맑은 고딕"/>
          <w:b/>
          <w:color w:val="1B355E"/>
          <w:sz w:val="38"/>
        </w:rPr>
        <w:t>요추교감신경차단(LSB) 요약본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방법 · 적응증 · 효과 핵심</w:t>
      </w:r>
    </w:p>
    <w:p>
      <w:pPr>
        <w:spacing w:after="80" w:line="269" w:lineRule="auto"/>
      </w:pPr>
      <w:r>
        <w:rPr>
          <w:rFonts w:ascii="Calibri" w:hAnsi="Calibri" w:eastAsia="맑은 고딕"/>
          <w:b w:val="0"/>
          <w:color w:val="1A202C"/>
          <w:sz w:val="21"/>
        </w:rPr>
        <w:t>작성일 2026-07 · 교육·연구 참고용.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한눈에 보는 핵심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표적:</w:t>
      </w:r>
      <w:r>
        <w:rPr>
          <w:rFonts w:ascii="Calibri" w:hAnsi="Calibri" w:eastAsia="맑은 고딕"/>
          <w:b w:val="0"/>
          <w:color w:val="1A202C"/>
          <w:sz w:val="20"/>
        </w:rPr>
        <w:t xml:space="preserve"> L2–L3 교감신경절(척추체 전외측). </w:t>
      </w:r>
      <w:r>
        <w:rPr>
          <w:rFonts w:ascii="Calibri" w:hAnsi="Calibri" w:eastAsia="맑은 고딕"/>
          <w:b/>
          <w:color w:val="1A202C"/>
          <w:sz w:val="20"/>
        </w:rPr>
        <w:t>표준: 방척추 접근 + 투시</w:t>
      </w:r>
      <w:r>
        <w:rPr>
          <w:rFonts w:ascii="Calibri" w:hAnsi="Calibri" w:eastAsia="맑은 고딕"/>
          <w:b w:val="0"/>
          <w:color w:val="1A202C"/>
          <w:sz w:val="20"/>
        </w:rPr>
        <w:t xml:space="preserve">, 정중선 7 cm 외측, 조영제 두미측 확산 확인. </w:t>
      </w:r>
      <w:r>
        <w:rPr>
          <w:rFonts w:ascii="Calibri" w:hAnsi="Calibri" w:eastAsia="맑은 고딕"/>
          <w:b/>
          <w:color w:val="1A202C"/>
          <w:sz w:val="20"/>
        </w:rPr>
        <w:t>성공지표: 피부온도 ≥2°C 상승.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약제:</w:t>
      </w:r>
      <w:r>
        <w:rPr>
          <w:rFonts w:ascii="Calibri" w:hAnsi="Calibri" w:eastAsia="맑은 고딕"/>
          <w:b w:val="0"/>
          <w:color w:val="1A202C"/>
          <w:sz w:val="20"/>
        </w:rPr>
        <w:t xml:space="preserve"> 진단/치료 — lidocaine 1%·bupivacaine 0.25–0.5%·ropivacaine. 신경파괴 — 무수알코올/phenol, RFA. (신경파괴는 진단적 차단 양성일 때만.)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적응증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blHeader/>
        </w:trPr>
        <w:tc>
          <w:tcPr>
            <w:tcW w:type="dxa" w:w="4752"/>
            <w:shd w:val="clear" w:fill="1B355E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18"/>
              </w:rPr>
              <w:t>범주</w:t>
            </w:r>
          </w:p>
        </w:tc>
        <w:tc>
          <w:tcPr>
            <w:tcW w:type="dxa" w:w="4752"/>
            <w:shd w:val="clear" w:fill="1B355E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18"/>
              </w:rPr>
              <w:t>대표 적응증</w:t>
            </w:r>
          </w:p>
        </w:tc>
      </w:tr>
      <w:tr>
        <w:trPr>
          <w:cantSplit/>
        </w:trPr>
        <w:tc>
          <w:tcPr>
            <w:tcW w:type="dxa" w:w="4752"/>
            <w:shd w:val="clear" w:fill="EEF2F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통증증후군</w:t>
            </w:r>
          </w:p>
        </w:tc>
        <w:tc>
          <w:tcPr>
            <w:tcW w:type="dxa" w:w="4752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하지 CRPS I/II (조기 시행 유리)</w:t>
            </w:r>
          </w:p>
        </w:tc>
      </w:tr>
      <w:tr>
        <w:trPr>
          <w:cantSplit/>
        </w:trPr>
        <w:tc>
          <w:tcPr>
            <w:tcW w:type="dxa" w:w="4752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허혈질환</w:t>
            </w:r>
          </w:p>
        </w:tc>
        <w:tc>
          <w:tcPr>
            <w:tcW w:type="dxa" w:w="4752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PAD·중증 하지허혈(CLI) 안정통·비재건성, 버거병, 색전, 동상, 혈관연축</w:t>
            </w:r>
          </w:p>
        </w:tc>
      </w:tr>
      <w:tr>
        <w:trPr>
          <w:cantSplit/>
        </w:trPr>
        <w:tc>
          <w:tcPr>
            <w:tcW w:type="dxa" w:w="4752"/>
            <w:shd w:val="clear" w:fill="EEF2F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신경병증</w:t>
            </w:r>
          </w:p>
        </w:tc>
        <w:tc>
          <w:tcPr>
            <w:tcW w:type="dxa" w:w="4752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당뇨병성 신경병증/당뇨발, 대상포진후신경통, 환상지통</w:t>
            </w:r>
          </w:p>
        </w:tc>
      </w:tr>
      <w:tr>
        <w:trPr>
          <w:cantSplit/>
        </w:trPr>
        <w:tc>
          <w:tcPr>
            <w:tcW w:type="dxa" w:w="4752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기타</w:t>
            </w:r>
          </w:p>
        </w:tc>
        <w:tc>
          <w:tcPr>
            <w:tcW w:type="dxa" w:w="4752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족부 다한증, 레이노·홍색사지통, 암성 하지통</w:t>
            </w:r>
          </w:p>
        </w:tc>
      </w:tr>
    </w:tbl>
    <w:p>
      <w:pPr>
        <w:spacing w:after="40"/>
      </w:pPr>
    </w:p>
    <w:p>
      <w:pPr>
        <w:spacing w:before="60" w:after="60"/>
        <w:ind w:left="216"/>
      </w:pPr>
      <w:r>
        <w:rPr>
          <w:rFonts w:ascii="Calibri" w:hAnsi="Calibri" w:eastAsia="맑은 고딕"/>
          <w:b w:val="0"/>
          <w:i/>
          <w:color w:val="55606B"/>
          <w:sz w:val="19"/>
        </w:rPr>
        <w:t>특발성 야간 하지경련(NLC)은 적응증 아님. '밤 다리증상'이 허혈성 안정통(PAD/CLI)이면 적응 — 원인 감별 선행.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효과 요약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관류 실측(Dickey 2024):</w:t>
      </w:r>
      <w:r>
        <w:rPr>
          <w:rFonts w:ascii="Calibri" w:hAnsi="Calibri" w:eastAsia="맑은 고딕"/>
          <w:b w:val="0"/>
          <w:color w:val="1A202C"/>
          <w:sz w:val="20"/>
        </w:rPr>
        <w:t xml:space="preserve"> 후경골동맥 +58.8%, 족부온도 +2.8°C.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허혈성 통증(PAD/CLI):</w:t>
      </w:r>
      <w:r>
        <w:rPr>
          <w:rFonts w:ascii="Calibri" w:hAnsi="Calibri" w:eastAsia="맑은 고딕"/>
          <w:b w:val="0"/>
          <w:color w:val="1A202C"/>
          <w:sz w:val="20"/>
        </w:rPr>
        <w:t xml:space="preserve"> 통증 최대 75%↓, Fontaine·관류 개선; 비재건성 CLI 신경파괴는 절단 대안.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CRPS:</w:t>
      </w:r>
      <w:r>
        <w:rPr>
          <w:rFonts w:ascii="Calibri" w:hAnsi="Calibri" w:eastAsia="맑은 고딕"/>
          <w:b w:val="0"/>
          <w:color w:val="1A202C"/>
          <w:sz w:val="20"/>
        </w:rPr>
        <w:t xml:space="preserve"> 유의한 통증완화, 조기·적절 선택 시 성공률↑; 교감피부반응으로 반응 예측.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합병증</w:t>
      </w:r>
    </w:p>
    <w:p>
      <w:pPr>
        <w:spacing w:after="80" w:line="269" w:lineRule="auto"/>
      </w:pPr>
      <w:r>
        <w:rPr>
          <w:rFonts w:ascii="Calibri" w:hAnsi="Calibri" w:eastAsia="맑은 고딕"/>
          <w:b w:val="0"/>
          <w:color w:val="1A202C"/>
          <w:sz w:val="21"/>
        </w:rPr>
        <w:t>생식대퇴신경통(5–10%), 기립성 저혈압, 혈관·요관·신장 손상, 신경파괴 후 신경염.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핵심 메시지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1. </w:t>
      </w:r>
      <w:r>
        <w:rPr>
          <w:rFonts w:ascii="Calibri" w:hAnsi="Calibri" w:eastAsia="맑은 고딕"/>
          <w:b w:val="0"/>
          <w:color w:val="1A202C"/>
          <w:sz w:val="20"/>
        </w:rPr>
        <w:t>표준은 투시 유도 방척추 접근, 성공은 온도 ≥2°C. 2. 최적 적응은 조기 CRPS·비재건성 CLI 안정통. 3. 신경파괴는 진단차단 양성 시에만. 4. 대규모 RCT는 부족(관찰·증례 중심).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