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Calibri" w:hAnsi="Calibri" w:eastAsia="맑은 고딕"/>
          <w:b/>
          <w:color w:val="1B355E"/>
          <w:sz w:val="38"/>
        </w:rPr>
        <w:t>요추교감신경차단(LSB) 참고문헌 · 근거 요약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문헌 목록 및 핵심 근거 정리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작성일 2026-07 · PubMed/저널·StatPearls 목록 대조.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핵심 근거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cantSplit/>
          <w:tblHeader/>
        </w:trPr>
        <w:tc>
          <w:tcPr>
            <w:tcW w:type="dxa" w:w="3168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3168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대표 문헌</w:t>
            </w:r>
          </w:p>
        </w:tc>
        <w:tc>
          <w:tcPr>
            <w:tcW w:type="dxa" w:w="3168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핵심 내용</w:t>
            </w:r>
          </w:p>
        </w:tc>
      </w:tr>
      <w:tr>
        <w:trPr>
          <w:cantSplit/>
        </w:trPr>
        <w:tc>
          <w:tcPr>
            <w:tcW w:type="dxa" w:w="3168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기법·적응·합병증</w:t>
            </w:r>
          </w:p>
        </w:tc>
        <w:tc>
          <w:tcPr>
            <w:tcW w:type="dxa" w:w="3168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StatPearls(NBK431107, NBK560514)</w:t>
            </w:r>
          </w:p>
        </w:tc>
        <w:tc>
          <w:tcPr>
            <w:tcW w:type="dxa" w:w="3168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방척추 투시 접근, 적응·합병증 총설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관류 개선(실측)</w:t>
            </w:r>
          </w:p>
        </w:tc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Dickey 2024</w:t>
            </w:r>
          </w:p>
        </w:tc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후경골동맥 +58.8%, 족부온도 +2.8°C</w:t>
            </w:r>
          </w:p>
        </w:tc>
      </w:tr>
      <w:tr>
        <w:trPr>
          <w:cantSplit/>
        </w:trPr>
        <w:tc>
          <w:tcPr>
            <w:tcW w:type="dxa" w:w="3168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기전</w:t>
            </w:r>
          </w:p>
        </w:tc>
        <w:tc>
          <w:tcPr>
            <w:tcW w:type="dxa" w:w="3168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Zhang 2022</w:t>
            </w:r>
          </w:p>
        </w:tc>
        <w:tc>
          <w:tcPr>
            <w:tcW w:type="dxa" w:w="3168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혈관긴장↓·측부순환↑·endothelin↓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PAD/허혈</w:t>
            </w:r>
          </w:p>
        </w:tc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Medicina 2024 / Barreto 2018</w:t>
            </w:r>
          </w:p>
        </w:tc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통증·Fontaine·관류 개선 / CLI 신경파괴</w:t>
            </w:r>
          </w:p>
        </w:tc>
      </w:tr>
      <w:tr>
        <w:trPr>
          <w:cantSplit/>
        </w:trPr>
        <w:tc>
          <w:tcPr>
            <w:tcW w:type="dxa" w:w="3168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CRPS 지속</w:t>
            </w:r>
          </w:p>
        </w:tc>
        <w:tc>
          <w:tcPr>
            <w:tcW w:type="dxa" w:w="3168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Choi 2024</w:t>
            </w:r>
          </w:p>
        </w:tc>
        <w:tc>
          <w:tcPr>
            <w:tcW w:type="dxa" w:w="3168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신경파괴 효과 지속기간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CRPS 반응예측</w:t>
            </w:r>
          </w:p>
        </w:tc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Pain Ther 2023</w:t>
            </w:r>
          </w:p>
        </w:tc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교감피부반응으로 예측</w:t>
            </w:r>
          </w:p>
        </w:tc>
      </w:tr>
    </w:tbl>
    <w:p>
      <w:pPr>
        <w:spacing w:after="40"/>
      </w:pP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참고문헌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1. </w:t>
      </w:r>
      <w:r>
        <w:rPr>
          <w:rFonts w:ascii="Calibri" w:hAnsi="Calibri" w:eastAsia="맑은 고딕"/>
          <w:b w:val="0"/>
          <w:color w:val="1A202C"/>
          <w:sz w:val="20"/>
        </w:rPr>
        <w:t>Dua A, Varacallo MA. Lumbar sympathetic block. In: StatPearls [Internet]. Treasure Island (FL): StatPearls Publishing; 2026. NBK431107.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2. </w:t>
      </w:r>
      <w:r>
        <w:rPr>
          <w:rFonts w:ascii="Calibri" w:hAnsi="Calibri" w:eastAsia="맑은 고딕"/>
          <w:b w:val="0"/>
          <w:color w:val="1A202C"/>
          <w:sz w:val="20"/>
        </w:rPr>
        <w:t>Lumbar sympatholysis. In: StatPearls [Internet]. Treasure Island (FL): StatPearls Publishing. NBK560514.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3. </w:t>
      </w:r>
      <w:r>
        <w:rPr>
          <w:rFonts w:ascii="Calibri" w:hAnsi="Calibri" w:eastAsia="맑은 고딕"/>
          <w:b w:val="0"/>
          <w:color w:val="1A202C"/>
          <w:sz w:val="20"/>
        </w:rPr>
        <w:t>Zhang JH, Deng YP, Geng MJ. Efficacy of the lumbar sympathetic ganglion block in lower limb pain and its application prospects during the perioperative period. Ibrain. 2022;8(4):442-452. PMID 37786587. PMCID PMC10529158.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4. </w:t>
      </w:r>
      <w:r>
        <w:rPr>
          <w:rFonts w:ascii="Calibri" w:hAnsi="Calibri" w:eastAsia="맑은 고딕"/>
          <w:b w:val="0"/>
          <w:color w:val="1A202C"/>
          <w:sz w:val="20"/>
        </w:rPr>
        <w:t>Dickey Z, Sharma N. Lumbar sympathetic block leading to increased arterial diameter and blood flow: a mechanism of therapeutic benefit. Cureus. 2024;16(6):e61755. PMID 38975506. PMCID PMC11227424.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5. </w:t>
      </w:r>
      <w:r>
        <w:rPr>
          <w:rFonts w:ascii="Calibri" w:hAnsi="Calibri" w:eastAsia="맑은 고딕"/>
          <w:b w:val="0"/>
          <w:color w:val="1A202C"/>
          <w:sz w:val="20"/>
        </w:rPr>
        <w:t>Barreto Junior EPS, Nascimento JS, Castro APCR. Neurolytic block of the lumbar sympathetic chain improves chronic pain in a patient with critical lower limb ischemia. Braz J Anesthesiol. 2018;68(1):100-103. PMCID PMC9391669.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6. </w:t>
      </w:r>
      <w:r>
        <w:rPr>
          <w:rFonts w:ascii="Calibri" w:hAnsi="Calibri" w:eastAsia="맑은 고딕"/>
          <w:b w:val="0"/>
          <w:color w:val="1A202C"/>
          <w:sz w:val="20"/>
        </w:rPr>
        <w:t>Choi EJ, Kim S, Lim D, et al. Effect duration of lumbar sympathetic ganglion neurolysis in patients with complex regional pain syndrome: a prospective observational study. Sci Rep. 2024;14(1):12693. PMID 38830944.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7. </w:t>
      </w:r>
      <w:r>
        <w:rPr>
          <w:rFonts w:ascii="Calibri" w:hAnsi="Calibri" w:eastAsia="맑은 고딕"/>
          <w:b w:val="0"/>
          <w:color w:val="1A202C"/>
          <w:sz w:val="20"/>
        </w:rPr>
        <w:t>Gungor S, Aiyer R, Baykoca B. Sympathetic blocks for the treatment of complex regional pain syndrome: a case series. Medicine (Baltimore). 2018;97(19):e0705. PMID 29742728.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8. </w:t>
      </w:r>
      <w:r>
        <w:rPr>
          <w:rFonts w:ascii="Calibri" w:hAnsi="Calibri" w:eastAsia="맑은 고딕"/>
          <w:b w:val="0"/>
          <w:color w:val="1A202C"/>
          <w:sz w:val="20"/>
        </w:rPr>
        <w:t>Retrospective evaluation of the effect of lumbar sympathetic blockade on pain scores, Fontaine classification, and collateral perfusion status in patients with lower extremity peripheral arterial disease. Medicina (Kaunas). 2024;60(5):682.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9. </w:t>
      </w:r>
      <w:r>
        <w:rPr>
          <w:rFonts w:ascii="Calibri" w:hAnsi="Calibri" w:eastAsia="맑은 고딕"/>
          <w:b w:val="0"/>
          <w:color w:val="1A202C"/>
          <w:sz w:val="20"/>
        </w:rPr>
        <w:t>Prediction of the efficacy of lumbar sympathetic block in patients with lower extremity complex regional pain syndrome type 1 based on the sympathetic skin response. Pain Ther. 2023;12(3):809-822. PMCID PMC10199976.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10. </w:t>
      </w:r>
      <w:r>
        <w:rPr>
          <w:rFonts w:ascii="Calibri" w:hAnsi="Calibri" w:eastAsia="맑은 고딕"/>
          <w:b w:val="0"/>
          <w:color w:val="1A202C"/>
          <w:sz w:val="20"/>
        </w:rPr>
        <w:t>Gunduz OH, Kenis-Coskun O. Ganglion blocks as a treatment of pain: current perspectives (lumbar sympatholysis: how to and when to use). J Pain Res. 2017 / Semin Intervent Radiol reviews (신경파괴 방법·시점 종설).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*검증 메모: 서지정보는 PubMed/PMC/StatPearls·저널 목록을 웹 검색으로 대조해 정리. 일부 종설(항목 8·10)의 권·페이지·저자는 원문 재확인을 권장한다. 조작된 인용은 없다.*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