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Calibri" w:hAnsi="Calibri" w:eastAsia="맑은 고딕"/>
          <w:b/>
          <w:color w:val="1B355E"/>
          <w:sz w:val="38"/>
        </w:rPr>
        <w:t>발바닥 이물감(껌딱지 느낌)·지간신경종 요약본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감별 · 진단 · 치료 핵심 (보존 · 주사 · 시술 · 수술)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작성일 2026-07 · 교육·연구 참고용.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한눈에 보는 핵심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호소:</w:t>
      </w:r>
      <w:r>
        <w:rPr>
          <w:rFonts w:ascii="Calibri" w:hAnsi="Calibri" w:eastAsia="맑은 고딕"/>
          <w:b w:val="0"/>
          <w:color w:val="1A202C"/>
          <w:sz w:val="20"/>
        </w:rPr>
        <w:t xml:space="preserve"> "걸을 때 발바닥에 껌딱지/돌멩이/뭉친 양말이 밟히는 이물감" + 전족부 작열통 + 인접 발가락 저림. 신발·체중부하 시 악화, 탈화·마사지로 완화 → </w:t>
      </w:r>
      <w:r>
        <w:rPr>
          <w:rFonts w:ascii="Calibri" w:hAnsi="Calibri" w:eastAsia="맑은 고딕"/>
          <w:b/>
          <w:color w:val="1A202C"/>
          <w:sz w:val="20"/>
        </w:rPr>
        <w:t>지간신경종(몰톤 신경종)</w:t>
      </w:r>
      <w:r>
        <w:rPr>
          <w:rFonts w:ascii="Calibri" w:hAnsi="Calibri" w:eastAsia="맑은 고딕"/>
          <w:b w:val="0"/>
          <w:color w:val="1A202C"/>
          <w:sz w:val="20"/>
        </w:rPr>
        <w:t>의 전형.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병태생리:</w:t>
      </w:r>
      <w:r>
        <w:rPr>
          <w:rFonts w:ascii="Calibri" w:hAnsi="Calibri" w:eastAsia="맑은 고딕"/>
          <w:b w:val="0"/>
          <w:color w:val="1A202C"/>
          <w:sz w:val="20"/>
        </w:rPr>
        <w:t xml:space="preserve"> 총족지신경의 압박·견인성 신경병증(진성 종양 아님·신경주위 섬유화). 호발 </w:t>
      </w:r>
      <w:r>
        <w:rPr>
          <w:rFonts w:ascii="Calibri" w:hAnsi="Calibri" w:eastAsia="맑은 고딕"/>
          <w:b/>
          <w:color w:val="1A202C"/>
          <w:sz w:val="20"/>
        </w:rPr>
        <w:t>3번 web space &gt; 2번</w:t>
      </w:r>
      <w:r>
        <w:rPr>
          <w:rFonts w:ascii="Calibri" w:hAnsi="Calibri" w:eastAsia="맑은 고딕"/>
          <w:b w:val="0"/>
          <w:color w:val="1A202C"/>
          <w:sz w:val="20"/>
        </w:rPr>
        <w:t>, 심부 횡중족인대 하방. 중년 여성·좁은/굽 높은 신발.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함정:</w:t>
      </w:r>
      <w:r>
        <w:rPr>
          <w:rFonts w:ascii="Calibri" w:hAnsi="Calibri" w:eastAsia="맑은 고딕"/>
          <w:b w:val="0"/>
          <w:color w:val="1A202C"/>
          <w:sz w:val="20"/>
        </w:rPr>
        <w:t xml:space="preserve"> '이물감' 단독 진단력은 약함(민감도 43~53%). '발가락 사이 딸깍(clicking)' 호소가 특이적(특이도 0.96). 지간 압통·방사통·Mulder·초음파를 종합.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감별:</w:t>
      </w:r>
      <w:r>
        <w:rPr>
          <w:rFonts w:ascii="Calibri" w:hAnsi="Calibri" w:eastAsia="맑은 고딕"/>
          <w:b w:val="0"/>
          <w:color w:val="1A202C"/>
          <w:sz w:val="20"/>
        </w:rPr>
        <w:t xml:space="preserve"> 중족골통·족저판 손상·굳은살(IPK)·족저 섬유종·지간 점액낭염·종자골염·족근관/말초신경병증·잔류 이물을 배제·공존 확인.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감별 빠른표(레드플래그)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blHeader/>
        </w:trPr>
        <w:tc>
          <w:tcPr>
            <w:tcW w:type="dxa" w:w="4752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단서</w:t>
            </w:r>
          </w:p>
        </w:tc>
        <w:tc>
          <w:tcPr>
            <w:tcW w:type="dxa" w:w="4752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시사 진단</w:t>
            </w:r>
          </w:p>
        </w:tc>
      </w:tr>
      <w:tr>
        <w:trPr>
          <w:cantSplit/>
        </w:trPr>
        <w:tc>
          <w:tcPr>
            <w:tcW w:type="dxa" w:w="4752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통증이 중족골두·관절 '바로 아래', 발가락 들림/벌어짐</w:t>
            </w:r>
          </w:p>
        </w:tc>
        <w:tc>
          <w:tcPr>
            <w:tcW w:type="dxa" w:w="4752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족저판 손상·중족골통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아치/근막에 만져지는 단단한 결절</w:t>
            </w:r>
          </w:p>
        </w:tc>
        <w:tc>
          <w:tcPr>
            <w:tcW w:type="dxa" w:w="4752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족저 섬유종(Ledderhose)</w:t>
            </w:r>
          </w:p>
        </w:tc>
      </w:tr>
      <w:tr>
        <w:trPr>
          <w:cantSplit/>
        </w:trPr>
        <w:tc>
          <w:tcPr>
            <w:tcW w:type="dxa" w:w="4752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눈에 보이는 각화·점상출혈</w:t>
            </w:r>
          </w:p>
        </w:tc>
        <w:tc>
          <w:tcPr>
            <w:tcW w:type="dxa" w:w="4752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사마귀 / 굳은살(IPK)</w:t>
            </w:r>
          </w:p>
        </w:tc>
      </w:tr>
      <w:tr>
        <w:trPr>
          <w:cantSplit/>
        </w:trPr>
        <w:tc>
          <w:tcPr>
            <w:tcW w:type="dxa" w:w="4752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넓게 퍼지는 저림·야간악화·내과후방 Tinel 양성·양측성</w:t>
            </w:r>
          </w:p>
        </w:tc>
        <w:tc>
          <w:tcPr>
            <w:tcW w:type="dxa" w:w="4752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족근관 / 말초신경병증</w:t>
            </w:r>
          </w:p>
        </w:tc>
      </w:tr>
      <w:tr>
        <w:trPr>
          <w:cantSplit/>
        </w:trPr>
        <w:tc>
          <w:tcPr>
            <w:tcW w:type="dxa" w:w="4752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천자 외상력·한 점 고정 종괴</w:t>
            </w:r>
          </w:p>
        </w:tc>
        <w:tc>
          <w:tcPr>
            <w:tcW w:type="dxa" w:w="4752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잔류 이물 / 육아종</w:t>
            </w:r>
          </w:p>
        </w:tc>
      </w:tr>
    </w:tbl>
    <w:p>
      <w:pPr>
        <w:spacing w:after="40"/>
      </w:pP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치료 단계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치료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위치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1차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신발 교정 + 중족골 패드/돔(</w:t>
            </w:r>
            <w:r>
              <w:rPr>
                <w:rFonts w:ascii="Calibri" w:hAnsi="Calibri" w:eastAsia="맑은 고딕"/>
                <w:b/>
                <w:color w:val="1A202C"/>
                <w:sz w:val="18"/>
              </w:rPr>
              <w:t>중족골두 근위 5~11mm</w:t>
            </w: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)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Hastings 2007·Landorf 2020(간접·생역학)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최우선·저위험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2차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초음파 유도 스테로이드+마취제 주사(2~3회 제한)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Thomson 2013 RCT(단기)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보존 실패 시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2차(대안)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알코올(에탄올) 경화주사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Hughes 2007 / Gurdezi 2013(5년 효과 축소)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선택적·근거 약함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시술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ESWT / 고주파(RFA) / 냉동신경융해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Seok·Fridman RCT / Llombart 2025 / Moulin 2024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예비적·보조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수술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신경절제(표준) / 신경감압(신경보존)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Reichert 2016 / Choi 2022·Villas 2008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불응성</w:t>
            </w:r>
          </w:p>
        </w:tc>
      </w:tr>
    </w:tbl>
    <w:p>
      <w:pPr>
        <w:spacing w:after="40"/>
      </w:pP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주사기법 핵심(논문 기반)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접근:</w:t>
      </w:r>
      <w:r>
        <w:rPr>
          <w:rFonts w:ascii="Calibri" w:hAnsi="Calibri" w:eastAsia="맑은 고딕"/>
          <w:b w:val="0"/>
          <w:color w:val="1A202C"/>
          <w:sz w:val="20"/>
        </w:rPr>
        <w:t xml:space="preserve"> 초음파 유도 </w:t>
      </w:r>
      <w:r>
        <w:rPr>
          <w:rFonts w:ascii="Calibri" w:hAnsi="Calibri" w:eastAsia="맑은 고딕"/>
          <w:b/>
          <w:color w:val="1A202C"/>
          <w:sz w:val="20"/>
        </w:rPr>
        <w:t>배측(dorsal) in-plane</w:t>
      </w:r>
      <w:r>
        <w:rPr>
          <w:rFonts w:ascii="Calibri" w:hAnsi="Calibri" w:eastAsia="맑은 고딕"/>
          <w:b w:val="0"/>
          <w:color w:val="1A202C"/>
          <w:sz w:val="20"/>
        </w:rPr>
        <w:t xml:space="preserve"> — 족저 지방패드 침착·탈색·위축 회피. 25G(23~27G).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스테로이드:</w:t>
      </w:r>
      <w:r>
        <w:rPr>
          <w:rFonts w:ascii="Calibri" w:hAnsi="Calibri" w:eastAsia="맑은 고딕"/>
          <w:b w:val="0"/>
          <w:color w:val="1A202C"/>
          <w:sz w:val="20"/>
        </w:rPr>
        <w:t xml:space="preserve"> 트리암시놀론 40mg 또는 메틸프레드니솔론 20~40mg + 1% 리도카인 1~2mL(총 1~3mL). 초음파 유도 vs 촉지 결과차 없음(Mahadevan 2016)이나 안전상 유도 권장.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알코올:</w:t>
      </w:r>
      <w:r>
        <w:rPr>
          <w:rFonts w:ascii="Calibri" w:hAnsi="Calibri" w:eastAsia="맑은 고딕"/>
          <w:b w:val="0"/>
          <w:color w:val="1A202C"/>
          <w:sz w:val="20"/>
        </w:rPr>
        <w:t xml:space="preserve"> 20~30% 에탄올 0.5~1mL, 1~3주 간격 3~7회 시리즈(비표준). 흡인·저항 확인, 신경내 주입 회피.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핵심 메시지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1. </w:t>
      </w:r>
      <w:r>
        <w:rPr>
          <w:rFonts w:ascii="Calibri" w:hAnsi="Calibri" w:eastAsia="맑은 고딕"/>
          <w:b w:val="0"/>
          <w:color w:val="1A202C"/>
          <w:sz w:val="20"/>
        </w:rPr>
        <w:t xml:space="preserve">이물감 단독으로 확진 금물 — </w:t>
      </w:r>
      <w:r>
        <w:rPr>
          <w:rFonts w:ascii="Calibri" w:hAnsi="Calibri" w:eastAsia="맑은 고딕"/>
          <w:b/>
          <w:color w:val="1A202C"/>
          <w:sz w:val="20"/>
        </w:rPr>
        <w:t>지간 국한 압통·방사통·Mulder·초음파</w:t>
      </w:r>
      <w:r>
        <w:rPr>
          <w:rFonts w:ascii="Calibri" w:hAnsi="Calibri" w:eastAsia="맑은 고딕"/>
          <w:b w:val="0"/>
          <w:color w:val="1A202C"/>
          <w:sz w:val="20"/>
        </w:rPr>
        <w:t>를 종합하고 감별을 나란히 배제.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2. </w:t>
      </w:r>
      <w:r>
        <w:rPr>
          <w:rFonts w:ascii="Calibri" w:hAnsi="Calibri" w:eastAsia="맑은 고딕"/>
          <w:b/>
          <w:color w:val="1A202C"/>
          <w:sz w:val="20"/>
        </w:rPr>
        <w:t>패드는 중족골두 '아래'가 아니라 '근위(뒤)'</w:t>
      </w:r>
      <w:r>
        <w:rPr>
          <w:rFonts w:ascii="Calibri" w:hAnsi="Calibri" w:eastAsia="맑은 고딕"/>
          <w:b w:val="0"/>
          <w:color w:val="1A202C"/>
          <w:sz w:val="20"/>
        </w:rPr>
        <w:t>에 — 배치 오류가 실패의 흔한 원인.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3. </w:t>
      </w:r>
      <w:r>
        <w:rPr>
          <w:rFonts w:ascii="Calibri" w:hAnsi="Calibri" w:eastAsia="맑은 고딕"/>
          <w:b w:val="0"/>
          <w:color w:val="1A202C"/>
          <w:sz w:val="20"/>
        </w:rPr>
        <w:t>스테로이드는 단기 효과·</w:t>
      </w:r>
      <w:r>
        <w:rPr>
          <w:rFonts w:ascii="Calibri" w:hAnsi="Calibri" w:eastAsia="맑은 고딕"/>
          <w:b/>
          <w:color w:val="1A202C"/>
          <w:sz w:val="20"/>
        </w:rPr>
        <w:t>증상 조절/수술 지연</w:t>
      </w:r>
      <w:r>
        <w:rPr>
          <w:rFonts w:ascii="Calibri" w:hAnsi="Calibri" w:eastAsia="맑은 고딕"/>
          <w:b w:val="0"/>
          <w:color w:val="1A202C"/>
          <w:sz w:val="20"/>
        </w:rPr>
        <w:t xml:space="preserve"> 목적, 2~3회 제한, </w:t>
      </w:r>
      <w:r>
        <w:rPr>
          <w:rFonts w:ascii="Calibri" w:hAnsi="Calibri" w:eastAsia="맑은 고딕"/>
          <w:b/>
          <w:color w:val="1A202C"/>
          <w:sz w:val="20"/>
        </w:rPr>
        <w:t>배측 접근</w:t>
      </w:r>
      <w:r>
        <w:rPr>
          <w:rFonts w:ascii="Calibri" w:hAnsi="Calibri" w:eastAsia="맑은 고딕"/>
          <w:b w:val="0"/>
          <w:color w:val="1A202C"/>
          <w:sz w:val="20"/>
        </w:rPr>
        <w:t>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4. </w:t>
      </w:r>
      <w:r>
        <w:rPr>
          <w:rFonts w:ascii="Calibri" w:hAnsi="Calibri" w:eastAsia="맑은 고딕"/>
          <w:b w:val="0"/>
          <w:color w:val="1A202C"/>
          <w:sz w:val="20"/>
        </w:rPr>
        <w:t xml:space="preserve">불응성 표준 치료는 </w:t>
      </w:r>
      <w:r>
        <w:rPr>
          <w:rFonts w:ascii="Calibri" w:hAnsi="Calibri" w:eastAsia="맑은 고딕"/>
          <w:b/>
          <w:color w:val="1A202C"/>
          <w:sz w:val="20"/>
        </w:rPr>
        <w:t>신경절제</w:t>
      </w:r>
      <w:r>
        <w:rPr>
          <w:rFonts w:ascii="Calibri" w:hAnsi="Calibri" w:eastAsia="맑은 고딕"/>
          <w:b w:val="0"/>
          <w:color w:val="1A202C"/>
          <w:sz w:val="20"/>
        </w:rPr>
        <w:t>(만족 ~80%); 감각저하는 합병증이 아닌 내재적 결과, 잔여 신경종 예방이 관건.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5. </w:t>
      </w:r>
      <w:r>
        <w:rPr>
          <w:rFonts w:ascii="Calibri" w:hAnsi="Calibri" w:eastAsia="맑은 고딕"/>
          <w:b w:val="0"/>
          <w:color w:val="1A202C"/>
          <w:sz w:val="20"/>
        </w:rPr>
        <w:t>몰톤 치료는 전반적으로 근거수준이 낮음(Cochrane 2024) — 성공률을 단일 수치로 확언하지 말 것.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