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jc w:val="center"/>
      </w:pPr>
      <w:r>
        <w:rPr>
          <w:rFonts w:ascii="Calibri" w:hAnsi="Calibri" w:eastAsia="맑은 고딕"/>
          <w:b/>
          <w:color w:val="1B355E"/>
          <w:sz w:val="38"/>
        </w:rPr>
        <w:t>발바닥 이물감·지간신경종 참고문헌 · 근거 요약</w:t>
      </w:r>
    </w:p>
    <w:p>
      <w:pPr>
        <w:keepNext/>
        <w:spacing w:before="260" w:after="100"/>
        <w:pBdr>
          <w:bottom w:val="single" w:sz="10" w:space="4" w:color="1F6E70"/>
        </w:pBdr>
      </w:pPr>
      <w:r>
        <w:rPr>
          <w:rFonts w:ascii="Calibri" w:hAnsi="Calibri" w:eastAsia="맑은 고딕"/>
          <w:b/>
          <w:color w:val="1B355E"/>
          <w:sz w:val="29"/>
        </w:rPr>
        <w:t>문헌 목록 및 핵심 근거 정리</w:t>
      </w:r>
    </w:p>
    <w:p>
      <w:pPr>
        <w:spacing w:after="80" w:line="269" w:lineRule="auto"/>
      </w:pPr>
      <w:r>
        <w:rPr>
          <w:rFonts w:ascii="Calibri" w:hAnsi="Calibri" w:eastAsia="맑은 고딕"/>
          <w:b w:val="0"/>
          <w:color w:val="1A202C"/>
          <w:sz w:val="21"/>
        </w:rPr>
        <w:t>작성일 2026-07 · PubMed/저널 목록 웹 대조.</w:t>
      </w:r>
    </w:p>
    <w:p>
      <w:pPr>
        <w:keepNext/>
        <w:spacing w:before="260" w:after="100"/>
        <w:pBdr>
          <w:bottom w:val="single" w:sz="10" w:space="4" w:color="1F6E70"/>
        </w:pBdr>
      </w:pPr>
      <w:r>
        <w:rPr>
          <w:rFonts w:ascii="Calibri" w:hAnsi="Calibri" w:eastAsia="맑은 고딕"/>
          <w:b/>
          <w:color w:val="1B355E"/>
          <w:sz w:val="29"/>
        </w:rPr>
        <w:t>핵심 근거 요약표</w:t>
      </w:r>
    </w:p>
    <w:tbl>
      <w:tblPr>
        <w:tblStyle w:val="TableGrid"/>
        <w:tblW w:type="auto" w:w="0"/>
        <w:jc w:val="center"/>
        <w:tblLook w:firstColumn="1" w:firstRow="1" w:lastColumn="0" w:lastRow="0" w:noHBand="0" w:noVBand="1" w:val="04A0"/>
      </w:tblPr>
      <w:tblGrid>
        <w:gridCol w:w="2376"/>
        <w:gridCol w:w="2376"/>
        <w:gridCol w:w="2376"/>
        <w:gridCol w:w="2376"/>
      </w:tblGrid>
      <w:tr>
        <w:trPr>
          <w:cantSplit/>
          <w:tblHeader/>
        </w:trPr>
        <w:tc>
          <w:tcPr>
            <w:tcW w:type="dxa" w:w="2376"/>
            <w:shd w:val="clear" w:fill="1B355E"/>
          </w:tcPr>
          <w:p>
            <w:pPr>
              <w:jc w:val="center"/>
            </w:pPr>
            <w:r>
              <w:rPr>
                <w:rFonts w:ascii="Calibri" w:hAnsi="Calibri" w:eastAsia="맑은 고딕"/>
                <w:b/>
                <w:color w:val="FFFFFF"/>
                <w:sz w:val="18"/>
              </w:rPr>
              <w:t>영역</w:t>
            </w:r>
          </w:p>
        </w:tc>
        <w:tc>
          <w:tcPr>
            <w:tcW w:type="dxa" w:w="2376"/>
            <w:shd w:val="clear" w:fill="1B355E"/>
          </w:tcPr>
          <w:p>
            <w:pPr>
              <w:jc w:val="center"/>
            </w:pPr>
            <w:r>
              <w:rPr>
                <w:rFonts w:ascii="Calibri" w:hAnsi="Calibri" w:eastAsia="맑은 고딕"/>
                <w:b/>
                <w:color w:val="FFFFFF"/>
                <w:sz w:val="18"/>
              </w:rPr>
              <w:t>대표 문헌</w:t>
            </w:r>
          </w:p>
        </w:tc>
        <w:tc>
          <w:tcPr>
            <w:tcW w:type="dxa" w:w="2376"/>
            <w:shd w:val="clear" w:fill="1B355E"/>
          </w:tcPr>
          <w:p>
            <w:pPr>
              <w:jc w:val="center"/>
            </w:pPr>
            <w:r>
              <w:rPr>
                <w:rFonts w:ascii="Calibri" w:hAnsi="Calibri" w:eastAsia="맑은 고딕"/>
                <w:b/>
                <w:color w:val="FFFFFF"/>
                <w:sz w:val="18"/>
              </w:rPr>
              <w:t>설계</w:t>
            </w:r>
          </w:p>
        </w:tc>
        <w:tc>
          <w:tcPr>
            <w:tcW w:type="dxa" w:w="2376"/>
            <w:shd w:val="clear" w:fill="1B355E"/>
          </w:tcPr>
          <w:p>
            <w:pPr>
              <w:jc w:val="center"/>
            </w:pPr>
            <w:r>
              <w:rPr>
                <w:rFonts w:ascii="Calibri" w:hAnsi="Calibri" w:eastAsia="맑은 고딕"/>
                <w:b/>
                <w:color w:val="FFFFFF"/>
                <w:sz w:val="18"/>
              </w:rPr>
              <w:t>핵심 결과</w:t>
            </w:r>
          </w:p>
        </w:tc>
      </w:tr>
      <w:tr>
        <w:trPr>
          <w:cantSplit/>
        </w:trPr>
        <w:tc>
          <w:tcPr>
            <w:tcW w:type="dxa" w:w="2376"/>
            <w:shd w:val="clear" w:fill="EEF2F6"/>
          </w:tcPr>
          <w:p>
            <w:pPr>
              <w:spacing w:before="20" w:after="20"/>
              <w:jc w:val="left"/>
            </w:pPr>
            <w:r>
              <w:rPr>
                <w:rFonts w:ascii="Calibri" w:hAnsi="Calibri" w:eastAsia="맑은 고딕"/>
                <w:b w:val="0"/>
                <w:color w:val="1A202C"/>
                <w:sz w:val="18"/>
              </w:rPr>
              <w:t>진단(영상)</w:t>
            </w:r>
          </w:p>
        </w:tc>
        <w:tc>
          <w:tcPr>
            <w:tcW w:type="dxa" w:w="2376"/>
            <w:shd w:val="clear" w:fill="EEF2F6"/>
          </w:tcPr>
          <w:p>
            <w:pPr>
              <w:spacing w:before="20" w:after="20"/>
              <w:jc w:val="center"/>
            </w:pPr>
            <w:r>
              <w:rPr>
                <w:rFonts w:ascii="Calibri" w:hAnsi="Calibri" w:eastAsia="맑은 고딕"/>
                <w:b w:val="0"/>
                <w:color w:val="1A202C"/>
                <w:sz w:val="18"/>
              </w:rPr>
              <w:t>Bignotti 2015</w:t>
            </w:r>
          </w:p>
        </w:tc>
        <w:tc>
          <w:tcPr>
            <w:tcW w:type="dxa" w:w="2376"/>
            <w:shd w:val="clear" w:fill="EEF2F6"/>
          </w:tcPr>
          <w:p>
            <w:pPr>
              <w:spacing w:before="20" w:after="20"/>
              <w:jc w:val="center"/>
            </w:pPr>
            <w:r>
              <w:rPr>
                <w:rFonts w:ascii="Calibri" w:hAnsi="Calibri" w:eastAsia="맑은 고딕"/>
                <w:b w:val="0"/>
                <w:color w:val="1A202C"/>
                <w:sz w:val="18"/>
              </w:rPr>
              <w:t>SR/MA 14편</w:t>
            </w:r>
          </w:p>
        </w:tc>
        <w:tc>
          <w:tcPr>
            <w:tcW w:type="dxa" w:w="2376"/>
            <w:shd w:val="clear" w:fill="EEF2F6"/>
          </w:tcPr>
          <w:p>
            <w:pPr>
              <w:spacing w:before="20" w:after="20"/>
              <w:jc w:val="center"/>
            </w:pPr>
            <w:r>
              <w:rPr>
                <w:rFonts w:ascii="Calibri" w:hAnsi="Calibri" w:eastAsia="맑은 고딕"/>
                <w:b w:val="0"/>
                <w:color w:val="1A202C"/>
                <w:sz w:val="18"/>
              </w:rPr>
              <w:t>US 민감도 0.91 ≈ MRI 0.90(US 1차 권장)</w:t>
            </w:r>
          </w:p>
        </w:tc>
      </w:tr>
      <w:tr>
        <w:trPr>
          <w:cantSplit/>
        </w:trPr>
        <w:tc>
          <w:tcPr>
            <w:tcW w:type="dxa" w:w="2376"/>
          </w:tcPr>
          <w:p>
            <w:pPr>
              <w:spacing w:before="20" w:after="20"/>
              <w:jc w:val="left"/>
            </w:pPr>
            <w:r>
              <w:rPr>
                <w:rFonts w:ascii="Calibri" w:hAnsi="Calibri" w:eastAsia="맑은 고딕"/>
                <w:b w:val="0"/>
                <w:color w:val="1A202C"/>
                <w:sz w:val="18"/>
              </w:rPr>
              <w:t>진단(문진·이학)</w:t>
            </w:r>
          </w:p>
        </w:tc>
        <w:tc>
          <w:tcPr>
            <w:tcW w:type="dxa" w:w="2376"/>
          </w:tcPr>
          <w:p>
            <w:pPr>
              <w:spacing w:before="20" w:after="20"/>
              <w:jc w:val="center"/>
            </w:pPr>
            <w:r>
              <w:rPr>
                <w:rFonts w:ascii="Calibri" w:hAnsi="Calibri" w:eastAsia="맑은 고딕"/>
                <w:b w:val="0"/>
                <w:color w:val="1A202C"/>
                <w:sz w:val="18"/>
              </w:rPr>
              <w:t>Pitcher 2024</w:t>
            </w:r>
          </w:p>
        </w:tc>
        <w:tc>
          <w:tcPr>
            <w:tcW w:type="dxa" w:w="2376"/>
          </w:tcPr>
          <w:p>
            <w:pPr>
              <w:spacing w:before="20" w:after="20"/>
              <w:jc w:val="center"/>
            </w:pPr>
            <w:r>
              <w:rPr>
                <w:rFonts w:ascii="Calibri" w:hAnsi="Calibri" w:eastAsia="맑은 고딕"/>
                <w:b w:val="0"/>
                <w:color w:val="1A202C"/>
                <w:sz w:val="18"/>
              </w:rPr>
              <w:t>SR</w:t>
            </w:r>
          </w:p>
        </w:tc>
        <w:tc>
          <w:tcPr>
            <w:tcW w:type="dxa" w:w="2376"/>
          </w:tcPr>
          <w:p>
            <w:pPr>
              <w:spacing w:before="20" w:after="20"/>
              <w:jc w:val="center"/>
            </w:pPr>
            <w:r>
              <w:rPr>
                <w:rFonts w:ascii="Calibri" w:hAnsi="Calibri" w:eastAsia="맑은 고딕"/>
                <w:b w:val="0"/>
                <w:color w:val="1A202C"/>
                <w:sz w:val="18"/>
              </w:rPr>
              <w:t>이물감 민감도 43~53%, 딸깍 특이도 0.96(LR+ 13.14)</w:t>
            </w:r>
          </w:p>
        </w:tc>
      </w:tr>
      <w:tr>
        <w:trPr>
          <w:cantSplit/>
        </w:trPr>
        <w:tc>
          <w:tcPr>
            <w:tcW w:type="dxa" w:w="2376"/>
            <w:shd w:val="clear" w:fill="EEF2F6"/>
          </w:tcPr>
          <w:p>
            <w:pPr>
              <w:spacing w:before="20" w:after="20"/>
              <w:jc w:val="left"/>
            </w:pPr>
            <w:r>
              <w:rPr>
                <w:rFonts w:ascii="Calibri" w:hAnsi="Calibri" w:eastAsia="맑은 고딕"/>
                <w:b w:val="0"/>
                <w:color w:val="1A202C"/>
                <w:sz w:val="18"/>
              </w:rPr>
              <w:t>크기-예후</w:t>
            </w:r>
          </w:p>
        </w:tc>
        <w:tc>
          <w:tcPr>
            <w:tcW w:type="dxa" w:w="2376"/>
            <w:shd w:val="clear" w:fill="EEF2F6"/>
          </w:tcPr>
          <w:p>
            <w:pPr>
              <w:spacing w:before="20" w:after="20"/>
              <w:jc w:val="center"/>
            </w:pPr>
            <w:r>
              <w:rPr>
                <w:rFonts w:ascii="Calibri" w:hAnsi="Calibri" w:eastAsia="맑은 고딕"/>
                <w:b w:val="0"/>
                <w:color w:val="1A202C"/>
                <w:sz w:val="18"/>
              </w:rPr>
              <w:t>Sharp 2003</w:t>
            </w:r>
          </w:p>
        </w:tc>
        <w:tc>
          <w:tcPr>
            <w:tcW w:type="dxa" w:w="2376"/>
            <w:shd w:val="clear" w:fill="EEF2F6"/>
          </w:tcPr>
          <w:p>
            <w:pPr>
              <w:spacing w:before="20" w:after="20"/>
              <w:jc w:val="center"/>
            </w:pPr>
            <w:r>
              <w:rPr>
                <w:rFonts w:ascii="Calibri" w:hAnsi="Calibri" w:eastAsia="맑은 고딕"/>
                <w:b w:val="0"/>
                <w:color w:val="1A202C"/>
                <w:sz w:val="18"/>
              </w:rPr>
              <w:t>후향 n=29</w:t>
            </w:r>
          </w:p>
        </w:tc>
        <w:tc>
          <w:tcPr>
            <w:tcW w:type="dxa" w:w="2376"/>
            <w:shd w:val="clear" w:fill="EEF2F6"/>
          </w:tcPr>
          <w:p>
            <w:pPr>
              <w:spacing w:before="20" w:after="20"/>
              <w:jc w:val="center"/>
            </w:pPr>
            <w:r>
              <w:rPr>
                <w:rFonts w:ascii="Calibri" w:hAnsi="Calibri" w:eastAsia="맑은 고딕"/>
                <w:b w:val="0"/>
                <w:color w:val="1A202C"/>
                <w:sz w:val="18"/>
              </w:rPr>
              <w:t>&gt;5mm 양호결과 77% vs ≤5mm 17%</w:t>
            </w:r>
          </w:p>
        </w:tc>
      </w:tr>
      <w:tr>
        <w:trPr>
          <w:cantSplit/>
        </w:trPr>
        <w:tc>
          <w:tcPr>
            <w:tcW w:type="dxa" w:w="2376"/>
          </w:tcPr>
          <w:p>
            <w:pPr>
              <w:spacing w:before="20" w:after="20"/>
              <w:jc w:val="left"/>
            </w:pPr>
            <w:r>
              <w:rPr>
                <w:rFonts w:ascii="Calibri" w:hAnsi="Calibri" w:eastAsia="맑은 고딕"/>
                <w:b w:val="0"/>
                <w:color w:val="1A202C"/>
                <w:sz w:val="18"/>
              </w:rPr>
              <w:t>보존(패드 위치)</w:t>
            </w:r>
          </w:p>
        </w:tc>
        <w:tc>
          <w:tcPr>
            <w:tcW w:type="dxa" w:w="2376"/>
          </w:tcPr>
          <w:p>
            <w:pPr>
              <w:spacing w:before="20" w:after="20"/>
              <w:jc w:val="center"/>
            </w:pPr>
            <w:r>
              <w:rPr>
                <w:rFonts w:ascii="Calibri" w:hAnsi="Calibri" w:eastAsia="맑은 고딕"/>
                <w:b w:val="0"/>
                <w:color w:val="1A202C"/>
                <w:sz w:val="18"/>
              </w:rPr>
              <w:t>Landorf 2020 / Hastings 2007</w:t>
            </w:r>
          </w:p>
        </w:tc>
        <w:tc>
          <w:tcPr>
            <w:tcW w:type="dxa" w:w="2376"/>
          </w:tcPr>
          <w:p>
            <w:pPr>
              <w:spacing w:before="20" w:after="20"/>
              <w:jc w:val="center"/>
            </w:pPr>
            <w:r>
              <w:rPr>
                <w:rFonts w:ascii="Calibri" w:hAnsi="Calibri" w:eastAsia="맑은 고딕"/>
                <w:b w:val="0"/>
                <w:color w:val="1A202C"/>
                <w:sz w:val="18"/>
              </w:rPr>
              <w:t>생역학 교차/비교</w:t>
            </w:r>
          </w:p>
        </w:tc>
        <w:tc>
          <w:tcPr>
            <w:tcW w:type="dxa" w:w="2376"/>
          </w:tcPr>
          <w:p>
            <w:pPr>
              <w:spacing w:before="20" w:after="20"/>
              <w:jc w:val="center"/>
            </w:pPr>
            <w:r>
              <w:rPr>
                <w:rFonts w:ascii="Calibri" w:hAnsi="Calibri" w:eastAsia="맑은 고딕"/>
                <w:b w:val="0"/>
                <w:color w:val="1A202C"/>
                <w:sz w:val="18"/>
              </w:rPr>
              <w:t>중족골두 근위 5~11mm 배치가 첨부압 최적 감소</w:t>
            </w:r>
          </w:p>
        </w:tc>
      </w:tr>
      <w:tr>
        <w:trPr>
          <w:cantSplit/>
        </w:trPr>
        <w:tc>
          <w:tcPr>
            <w:tcW w:type="dxa" w:w="2376"/>
            <w:shd w:val="clear" w:fill="EEF2F6"/>
          </w:tcPr>
          <w:p>
            <w:pPr>
              <w:spacing w:before="20" w:after="20"/>
              <w:jc w:val="left"/>
            </w:pPr>
            <w:r>
              <w:rPr>
                <w:rFonts w:ascii="Calibri" w:hAnsi="Calibri" w:eastAsia="맑은 고딕"/>
                <w:b w:val="0"/>
                <w:color w:val="1A202C"/>
                <w:sz w:val="18"/>
              </w:rPr>
              <w:t>보존 근거 종합</w:t>
            </w:r>
          </w:p>
        </w:tc>
        <w:tc>
          <w:tcPr>
            <w:tcW w:type="dxa" w:w="2376"/>
            <w:shd w:val="clear" w:fill="EEF2F6"/>
          </w:tcPr>
          <w:p>
            <w:pPr>
              <w:spacing w:before="20" w:after="20"/>
              <w:jc w:val="center"/>
            </w:pPr>
            <w:r>
              <w:rPr>
                <w:rFonts w:ascii="Calibri" w:hAnsi="Calibri" w:eastAsia="맑은 고딕"/>
                <w:b w:val="0"/>
                <w:color w:val="1A202C"/>
                <w:sz w:val="18"/>
              </w:rPr>
              <w:t>Matthews 2019</w:t>
            </w:r>
          </w:p>
        </w:tc>
        <w:tc>
          <w:tcPr>
            <w:tcW w:type="dxa" w:w="2376"/>
            <w:shd w:val="clear" w:fill="EEF2F6"/>
          </w:tcPr>
          <w:p>
            <w:pPr>
              <w:spacing w:before="20" w:after="20"/>
              <w:jc w:val="center"/>
            </w:pPr>
            <w:r>
              <w:rPr>
                <w:rFonts w:ascii="Calibri" w:hAnsi="Calibri" w:eastAsia="맑은 고딕"/>
                <w:b w:val="0"/>
                <w:color w:val="1A202C"/>
                <w:sz w:val="18"/>
              </w:rPr>
              <w:t>SR/MA</w:t>
            </w:r>
          </w:p>
        </w:tc>
        <w:tc>
          <w:tcPr>
            <w:tcW w:type="dxa" w:w="2376"/>
            <w:shd w:val="clear" w:fill="EEF2F6"/>
          </w:tcPr>
          <w:p>
            <w:pPr>
              <w:spacing w:before="20" w:after="20"/>
              <w:jc w:val="center"/>
            </w:pPr>
            <w:r>
              <w:rPr>
                <w:rFonts w:ascii="Calibri" w:hAnsi="Calibri" w:eastAsia="맑은 고딕"/>
                <w:b w:val="0"/>
                <w:color w:val="1A202C"/>
                <w:sz w:val="18"/>
              </w:rPr>
              <w:t>주사 &gt; 신발·패딩(성공 OR 6.0), 보존 근거 low</w:t>
            </w:r>
          </w:p>
        </w:tc>
      </w:tr>
      <w:tr>
        <w:trPr>
          <w:cantSplit/>
        </w:trPr>
        <w:tc>
          <w:tcPr>
            <w:tcW w:type="dxa" w:w="2376"/>
          </w:tcPr>
          <w:p>
            <w:pPr>
              <w:spacing w:before="20" w:after="20"/>
              <w:jc w:val="left"/>
            </w:pPr>
            <w:r>
              <w:rPr>
                <w:rFonts w:ascii="Calibri" w:hAnsi="Calibri" w:eastAsia="맑은 고딕"/>
                <w:b w:val="0"/>
                <w:color w:val="1A202C"/>
                <w:sz w:val="18"/>
              </w:rPr>
              <w:t>스테로이드 주사</w:t>
            </w:r>
          </w:p>
        </w:tc>
        <w:tc>
          <w:tcPr>
            <w:tcW w:type="dxa" w:w="2376"/>
          </w:tcPr>
          <w:p>
            <w:pPr>
              <w:spacing w:before="20" w:after="20"/>
              <w:jc w:val="center"/>
            </w:pPr>
            <w:r>
              <w:rPr>
                <w:rFonts w:ascii="Calibri" w:hAnsi="Calibri" w:eastAsia="맑은 고딕"/>
                <w:b w:val="0"/>
                <w:color w:val="1A202C"/>
                <w:sz w:val="18"/>
              </w:rPr>
              <w:t>Thomson 2013(MortISE)</w:t>
            </w:r>
          </w:p>
        </w:tc>
        <w:tc>
          <w:tcPr>
            <w:tcW w:type="dxa" w:w="2376"/>
          </w:tcPr>
          <w:p>
            <w:pPr>
              <w:spacing w:before="20" w:after="20"/>
              <w:jc w:val="center"/>
            </w:pPr>
            <w:r>
              <w:rPr>
                <w:rFonts w:ascii="Calibri" w:hAnsi="Calibri" w:eastAsia="맑은 고딕"/>
                <w:b w:val="0"/>
                <w:color w:val="1A202C"/>
                <w:sz w:val="18"/>
              </w:rPr>
              <w:t>환자맹검 RCT</w:t>
            </w:r>
          </w:p>
        </w:tc>
        <w:tc>
          <w:tcPr>
            <w:tcW w:type="dxa" w:w="2376"/>
          </w:tcPr>
          <w:p>
            <w:pPr>
              <w:spacing w:before="20" w:after="20"/>
              <w:jc w:val="center"/>
            </w:pPr>
            <w:r>
              <w:rPr>
                <w:rFonts w:ascii="Calibri" w:hAnsi="Calibri" w:eastAsia="맑은 고딕"/>
                <w:b w:val="0"/>
                <w:color w:val="1A202C"/>
                <w:sz w:val="18"/>
              </w:rPr>
              <w:t>3개월 증상 개선(지속기간 제한)</w:t>
            </w:r>
          </w:p>
        </w:tc>
      </w:tr>
      <w:tr>
        <w:trPr>
          <w:cantSplit/>
        </w:trPr>
        <w:tc>
          <w:tcPr>
            <w:tcW w:type="dxa" w:w="2376"/>
            <w:shd w:val="clear" w:fill="EEF2F6"/>
          </w:tcPr>
          <w:p>
            <w:pPr>
              <w:spacing w:before="20" w:after="20"/>
              <w:jc w:val="left"/>
            </w:pPr>
            <w:r>
              <w:rPr>
                <w:rFonts w:ascii="Calibri" w:hAnsi="Calibri" w:eastAsia="맑은 고딕"/>
                <w:b w:val="0"/>
                <w:color w:val="1A202C"/>
                <w:sz w:val="18"/>
              </w:rPr>
              <w:t>유도 vs 촉지</w:t>
            </w:r>
          </w:p>
        </w:tc>
        <w:tc>
          <w:tcPr>
            <w:tcW w:type="dxa" w:w="2376"/>
            <w:shd w:val="clear" w:fill="EEF2F6"/>
          </w:tcPr>
          <w:p>
            <w:pPr>
              <w:spacing w:before="20" w:after="20"/>
              <w:jc w:val="center"/>
            </w:pPr>
            <w:r>
              <w:rPr>
                <w:rFonts w:ascii="Calibri" w:hAnsi="Calibri" w:eastAsia="맑은 고딕"/>
                <w:b w:val="0"/>
                <w:color w:val="1A202C"/>
                <w:sz w:val="18"/>
              </w:rPr>
              <w:t>Mahadevan 2016</w:t>
            </w:r>
          </w:p>
        </w:tc>
        <w:tc>
          <w:tcPr>
            <w:tcW w:type="dxa" w:w="2376"/>
            <w:shd w:val="clear" w:fill="EEF2F6"/>
          </w:tcPr>
          <w:p>
            <w:pPr>
              <w:spacing w:before="20" w:after="20"/>
              <w:jc w:val="center"/>
            </w:pPr>
            <w:r>
              <w:rPr>
                <w:rFonts w:ascii="Calibri" w:hAnsi="Calibri" w:eastAsia="맑은 고딕"/>
                <w:b w:val="0"/>
                <w:color w:val="1A202C"/>
                <w:sz w:val="18"/>
              </w:rPr>
              <w:t>이중맹검 RCT n=45족</w:t>
            </w:r>
          </w:p>
        </w:tc>
        <w:tc>
          <w:tcPr>
            <w:tcW w:type="dxa" w:w="2376"/>
            <w:shd w:val="clear" w:fill="EEF2F6"/>
          </w:tcPr>
          <w:p>
            <w:pPr>
              <w:spacing w:before="20" w:after="20"/>
              <w:jc w:val="center"/>
            </w:pPr>
            <w:r>
              <w:rPr>
                <w:rFonts w:ascii="Calibri" w:hAnsi="Calibri" w:eastAsia="맑은 고딕"/>
                <w:b w:val="0"/>
                <w:color w:val="1A202C"/>
                <w:sz w:val="18"/>
              </w:rPr>
              <w:t>임상결과 차이 없음(안전상 유도 권장)</w:t>
            </w:r>
          </w:p>
        </w:tc>
      </w:tr>
      <w:tr>
        <w:trPr>
          <w:cantSplit/>
        </w:trPr>
        <w:tc>
          <w:tcPr>
            <w:tcW w:type="dxa" w:w="2376"/>
          </w:tcPr>
          <w:p>
            <w:pPr>
              <w:spacing w:before="20" w:after="20"/>
              <w:jc w:val="left"/>
            </w:pPr>
            <w:r>
              <w:rPr>
                <w:rFonts w:ascii="Calibri" w:hAnsi="Calibri" w:eastAsia="맑은 고딕"/>
                <w:b w:val="0"/>
                <w:color w:val="1A202C"/>
                <w:sz w:val="18"/>
              </w:rPr>
              <w:t>알코올 경화</w:t>
            </w:r>
          </w:p>
        </w:tc>
        <w:tc>
          <w:tcPr>
            <w:tcW w:type="dxa" w:w="2376"/>
          </w:tcPr>
          <w:p>
            <w:pPr>
              <w:spacing w:before="20" w:after="20"/>
              <w:jc w:val="center"/>
            </w:pPr>
            <w:r>
              <w:rPr>
                <w:rFonts w:ascii="Calibri" w:hAnsi="Calibri" w:eastAsia="맑은 고딕"/>
                <w:b w:val="0"/>
                <w:color w:val="1A202C"/>
                <w:sz w:val="18"/>
              </w:rPr>
              <w:t>Gurdezi 2013</w:t>
            </w:r>
          </w:p>
        </w:tc>
        <w:tc>
          <w:tcPr>
            <w:tcW w:type="dxa" w:w="2376"/>
          </w:tcPr>
          <w:p>
            <w:pPr>
              <w:spacing w:before="20" w:after="20"/>
              <w:jc w:val="center"/>
            </w:pPr>
            <w:r>
              <w:rPr>
                <w:rFonts w:ascii="Calibri" w:hAnsi="Calibri" w:eastAsia="맑은 고딕"/>
                <w:b w:val="0"/>
                <w:color w:val="1A202C"/>
                <w:sz w:val="18"/>
              </w:rPr>
              <w:t>5년 추적 n=45</w:t>
            </w:r>
          </w:p>
        </w:tc>
        <w:tc>
          <w:tcPr>
            <w:tcW w:type="dxa" w:w="2376"/>
          </w:tcPr>
          <w:p>
            <w:pPr>
              <w:spacing w:before="20" w:after="20"/>
              <w:jc w:val="center"/>
            </w:pPr>
            <w:r>
              <w:rPr>
                <w:rFonts w:ascii="Calibri" w:hAnsi="Calibri" w:eastAsia="맑은 고딕"/>
                <w:b w:val="0"/>
                <w:color w:val="1A202C"/>
                <w:sz w:val="18"/>
              </w:rPr>
              <w:t>초기효과 장기 크게 축소·재발</w:t>
            </w:r>
          </w:p>
        </w:tc>
      </w:tr>
      <w:tr>
        <w:trPr>
          <w:cantSplit/>
        </w:trPr>
        <w:tc>
          <w:tcPr>
            <w:tcW w:type="dxa" w:w="2376"/>
            <w:shd w:val="clear" w:fill="EEF2F6"/>
          </w:tcPr>
          <w:p>
            <w:pPr>
              <w:spacing w:before="20" w:after="20"/>
              <w:jc w:val="left"/>
            </w:pPr>
            <w:r>
              <w:rPr>
                <w:rFonts w:ascii="Calibri" w:hAnsi="Calibri" w:eastAsia="맑은 고딕"/>
                <w:b w:val="0"/>
                <w:color w:val="1A202C"/>
                <w:sz w:val="18"/>
              </w:rPr>
              <w:t>알코올 근거 종합</w:t>
            </w:r>
          </w:p>
        </w:tc>
        <w:tc>
          <w:tcPr>
            <w:tcW w:type="dxa" w:w="2376"/>
            <w:shd w:val="clear" w:fill="EEF2F6"/>
          </w:tcPr>
          <w:p>
            <w:pPr>
              <w:spacing w:before="20" w:after="20"/>
              <w:jc w:val="center"/>
            </w:pPr>
            <w:r>
              <w:rPr>
                <w:rFonts w:ascii="Calibri" w:hAnsi="Calibri" w:eastAsia="맑은 고딕"/>
                <w:b w:val="0"/>
                <w:color w:val="1A202C"/>
                <w:sz w:val="18"/>
              </w:rPr>
              <w:t>Santos 2018</w:t>
            </w:r>
          </w:p>
        </w:tc>
        <w:tc>
          <w:tcPr>
            <w:tcW w:type="dxa" w:w="2376"/>
            <w:shd w:val="clear" w:fill="EEF2F6"/>
          </w:tcPr>
          <w:p>
            <w:pPr>
              <w:spacing w:before="20" w:after="20"/>
              <w:jc w:val="center"/>
            </w:pPr>
            <w:r>
              <w:rPr>
                <w:rFonts w:ascii="Calibri" w:hAnsi="Calibri" w:eastAsia="맑은 고딕"/>
                <w:b w:val="0"/>
                <w:color w:val="1A202C"/>
                <w:sz w:val="18"/>
              </w:rPr>
              <w:t>SR 11편</w:t>
            </w:r>
          </w:p>
        </w:tc>
        <w:tc>
          <w:tcPr>
            <w:tcW w:type="dxa" w:w="2376"/>
            <w:shd w:val="clear" w:fill="EEF2F6"/>
          </w:tcPr>
          <w:p>
            <w:pPr>
              <w:spacing w:before="20" w:after="20"/>
              <w:jc w:val="center"/>
            </w:pPr>
            <w:r>
              <w:rPr>
                <w:rFonts w:ascii="Calibri" w:hAnsi="Calibri" w:eastAsia="맑은 고딕"/>
                <w:b w:val="0"/>
                <w:color w:val="1A202C"/>
                <w:sz w:val="18"/>
              </w:rPr>
              <w:t>근거 불충분·결론 곤란</w:t>
            </w:r>
          </w:p>
        </w:tc>
      </w:tr>
      <w:tr>
        <w:trPr>
          <w:cantSplit/>
        </w:trPr>
        <w:tc>
          <w:tcPr>
            <w:tcW w:type="dxa" w:w="2376"/>
          </w:tcPr>
          <w:p>
            <w:pPr>
              <w:spacing w:before="20" w:after="20"/>
              <w:jc w:val="left"/>
            </w:pPr>
            <w:r>
              <w:rPr>
                <w:rFonts w:ascii="Calibri" w:hAnsi="Calibri" w:eastAsia="맑은 고딕"/>
                <w:b w:val="0"/>
                <w:color w:val="1A202C"/>
                <w:sz w:val="18"/>
              </w:rPr>
              <w:t>ESWT</w:t>
            </w:r>
          </w:p>
        </w:tc>
        <w:tc>
          <w:tcPr>
            <w:tcW w:type="dxa" w:w="2376"/>
          </w:tcPr>
          <w:p>
            <w:pPr>
              <w:spacing w:before="20" w:after="20"/>
              <w:jc w:val="center"/>
            </w:pPr>
            <w:r>
              <w:rPr>
                <w:rFonts w:ascii="Calibri" w:hAnsi="Calibri" w:eastAsia="맑은 고딕"/>
                <w:b w:val="0"/>
                <w:color w:val="1A202C"/>
                <w:sz w:val="18"/>
              </w:rPr>
              <w:t>Seok 2016 · Fridman 2009</w:t>
            </w:r>
          </w:p>
        </w:tc>
        <w:tc>
          <w:tcPr>
            <w:tcW w:type="dxa" w:w="2376"/>
          </w:tcPr>
          <w:p>
            <w:pPr>
              <w:spacing w:before="20" w:after="20"/>
              <w:jc w:val="center"/>
            </w:pPr>
            <w:r>
              <w:rPr>
                <w:rFonts w:ascii="Calibri" w:hAnsi="Calibri" w:eastAsia="맑은 고딕"/>
                <w:b w:val="0"/>
                <w:color w:val="1A202C"/>
                <w:sz w:val="18"/>
              </w:rPr>
              <w:t>sham RCT</w:t>
            </w:r>
          </w:p>
        </w:tc>
        <w:tc>
          <w:tcPr>
            <w:tcW w:type="dxa" w:w="2376"/>
          </w:tcPr>
          <w:p>
            <w:pPr>
              <w:spacing w:before="20" w:after="20"/>
              <w:jc w:val="center"/>
            </w:pPr>
            <w:r>
              <w:rPr>
                <w:rFonts w:ascii="Calibri" w:hAnsi="Calibri" w:eastAsia="맑은 고딕"/>
                <w:b w:val="0"/>
                <w:color w:val="1A202C"/>
                <w:sz w:val="18"/>
              </w:rPr>
              <w:t>단기 VAS·AOFAS 유의 개선</w:t>
            </w:r>
          </w:p>
        </w:tc>
      </w:tr>
      <w:tr>
        <w:trPr>
          <w:cantSplit/>
        </w:trPr>
        <w:tc>
          <w:tcPr>
            <w:tcW w:type="dxa" w:w="2376"/>
            <w:shd w:val="clear" w:fill="EEF2F6"/>
          </w:tcPr>
          <w:p>
            <w:pPr>
              <w:spacing w:before="20" w:after="20"/>
              <w:jc w:val="left"/>
            </w:pPr>
            <w:r>
              <w:rPr>
                <w:rFonts w:ascii="Calibri" w:hAnsi="Calibri" w:eastAsia="맑은 고딕"/>
                <w:b w:val="0"/>
                <w:color w:val="1A202C"/>
                <w:sz w:val="18"/>
              </w:rPr>
              <w:t>고주파(RFA)</w:t>
            </w:r>
          </w:p>
        </w:tc>
        <w:tc>
          <w:tcPr>
            <w:tcW w:type="dxa" w:w="2376"/>
            <w:shd w:val="clear" w:fill="EEF2F6"/>
          </w:tcPr>
          <w:p>
            <w:pPr>
              <w:spacing w:before="20" w:after="20"/>
              <w:jc w:val="center"/>
            </w:pPr>
            <w:r>
              <w:rPr>
                <w:rFonts w:ascii="Calibri" w:hAnsi="Calibri" w:eastAsia="맑은 고딕"/>
                <w:b w:val="0"/>
                <w:color w:val="1A202C"/>
                <w:sz w:val="18"/>
              </w:rPr>
              <w:t>Llombart-Blanco 2025</w:t>
            </w:r>
          </w:p>
        </w:tc>
        <w:tc>
          <w:tcPr>
            <w:tcW w:type="dxa" w:w="2376"/>
            <w:shd w:val="clear" w:fill="EEF2F6"/>
          </w:tcPr>
          <w:p>
            <w:pPr>
              <w:spacing w:before="20" w:after="20"/>
              <w:jc w:val="center"/>
            </w:pPr>
            <w:r>
              <w:rPr>
                <w:rFonts w:ascii="Calibri" w:hAnsi="Calibri" w:eastAsia="맑은 고딕"/>
                <w:b w:val="0"/>
                <w:color w:val="1A202C"/>
                <w:sz w:val="18"/>
              </w:rPr>
              <w:t>SR/MA 8편·n=237</w:t>
            </w:r>
          </w:p>
        </w:tc>
        <w:tc>
          <w:tcPr>
            <w:tcW w:type="dxa" w:w="2376"/>
            <w:shd w:val="clear" w:fill="EEF2F6"/>
          </w:tcPr>
          <w:p>
            <w:pPr>
              <w:spacing w:before="20" w:after="20"/>
              <w:jc w:val="center"/>
            </w:pPr>
            <w:r>
              <w:rPr>
                <w:rFonts w:ascii="Calibri" w:hAnsi="Calibri" w:eastAsia="맑은 고딕"/>
                <w:b w:val="0"/>
                <w:color w:val="1A202C"/>
                <w:sz w:val="18"/>
              </w:rPr>
              <w:t>완전 통증소실 47.6%, 무효 16.4%</w:t>
            </w:r>
          </w:p>
        </w:tc>
      </w:tr>
      <w:tr>
        <w:trPr>
          <w:cantSplit/>
        </w:trPr>
        <w:tc>
          <w:tcPr>
            <w:tcW w:type="dxa" w:w="2376"/>
          </w:tcPr>
          <w:p>
            <w:pPr>
              <w:spacing w:before="20" w:after="20"/>
              <w:jc w:val="left"/>
            </w:pPr>
            <w:r>
              <w:rPr>
                <w:rFonts w:ascii="Calibri" w:hAnsi="Calibri" w:eastAsia="맑은 고딕"/>
                <w:b w:val="0"/>
                <w:color w:val="1A202C"/>
                <w:sz w:val="18"/>
              </w:rPr>
              <w:t>냉동신경융해</w:t>
            </w:r>
          </w:p>
        </w:tc>
        <w:tc>
          <w:tcPr>
            <w:tcW w:type="dxa" w:w="2376"/>
          </w:tcPr>
          <w:p>
            <w:pPr>
              <w:spacing w:before="20" w:after="20"/>
              <w:jc w:val="center"/>
            </w:pPr>
            <w:r>
              <w:rPr>
                <w:rFonts w:ascii="Calibri" w:hAnsi="Calibri" w:eastAsia="맑은 고딕"/>
                <w:b w:val="0"/>
                <w:color w:val="1A202C"/>
                <w:sz w:val="18"/>
              </w:rPr>
              <w:t>Moulin 2024</w:t>
            </w:r>
          </w:p>
        </w:tc>
        <w:tc>
          <w:tcPr>
            <w:tcW w:type="dxa" w:w="2376"/>
          </w:tcPr>
          <w:p>
            <w:pPr>
              <w:spacing w:before="20" w:after="20"/>
              <w:jc w:val="center"/>
            </w:pPr>
            <w:r>
              <w:rPr>
                <w:rFonts w:ascii="Calibri" w:hAnsi="Calibri" w:eastAsia="맑은 고딕"/>
                <w:b w:val="0"/>
                <w:color w:val="1A202C"/>
                <w:sz w:val="18"/>
              </w:rPr>
              <w:t>후향 n=54</w:t>
            </w:r>
          </w:p>
        </w:tc>
        <w:tc>
          <w:tcPr>
            <w:tcW w:type="dxa" w:w="2376"/>
          </w:tcPr>
          <w:p>
            <w:pPr>
              <w:spacing w:before="20" w:after="20"/>
              <w:jc w:val="center"/>
            </w:pPr>
            <w:r>
              <w:rPr>
                <w:rFonts w:ascii="Calibri" w:hAnsi="Calibri" w:eastAsia="맑은 고딕"/>
                <w:b w:val="0"/>
                <w:color w:val="1A202C"/>
                <w:sz w:val="18"/>
              </w:rPr>
              <w:t>6개월 NRS 7.1→2.7, 완전소실 60.4%</w:t>
            </w:r>
          </w:p>
        </w:tc>
      </w:tr>
      <w:tr>
        <w:trPr>
          <w:cantSplit/>
        </w:trPr>
        <w:tc>
          <w:tcPr>
            <w:tcW w:type="dxa" w:w="2376"/>
            <w:shd w:val="clear" w:fill="EEF2F6"/>
          </w:tcPr>
          <w:p>
            <w:pPr>
              <w:spacing w:before="20" w:after="20"/>
              <w:jc w:val="left"/>
            </w:pPr>
            <w:r>
              <w:rPr>
                <w:rFonts w:ascii="Calibri" w:hAnsi="Calibri" w:eastAsia="맑은 고딕"/>
                <w:b w:val="0"/>
                <w:color w:val="1A202C"/>
                <w:sz w:val="18"/>
              </w:rPr>
              <w:t>수술(배측 신경절제)</w:t>
            </w:r>
          </w:p>
        </w:tc>
        <w:tc>
          <w:tcPr>
            <w:tcW w:type="dxa" w:w="2376"/>
            <w:shd w:val="clear" w:fill="EEF2F6"/>
          </w:tcPr>
          <w:p>
            <w:pPr>
              <w:spacing w:before="20" w:after="20"/>
              <w:jc w:val="center"/>
            </w:pPr>
            <w:r>
              <w:rPr>
                <w:rFonts w:ascii="Calibri" w:hAnsi="Calibri" w:eastAsia="맑은 고딕"/>
                <w:b w:val="0"/>
                <w:color w:val="1A202C"/>
                <w:sz w:val="18"/>
              </w:rPr>
              <w:t>Reichert 2016</w:t>
            </w:r>
          </w:p>
        </w:tc>
        <w:tc>
          <w:tcPr>
            <w:tcW w:type="dxa" w:w="2376"/>
            <w:shd w:val="clear" w:fill="EEF2F6"/>
          </w:tcPr>
          <w:p>
            <w:pPr>
              <w:spacing w:before="20" w:after="20"/>
              <w:jc w:val="center"/>
            </w:pPr>
            <w:r>
              <w:rPr>
                <w:rFonts w:ascii="Calibri" w:hAnsi="Calibri" w:eastAsia="맑은 고딕"/>
                <w:b w:val="0"/>
                <w:color w:val="1A202C"/>
                <w:sz w:val="18"/>
              </w:rPr>
              <w:t>후향 장기 n=41</w:t>
            </w:r>
          </w:p>
        </w:tc>
        <w:tc>
          <w:tcPr>
            <w:tcW w:type="dxa" w:w="2376"/>
            <w:shd w:val="clear" w:fill="EEF2F6"/>
          </w:tcPr>
          <w:p>
            <w:pPr>
              <w:spacing w:before="20" w:after="20"/>
              <w:jc w:val="center"/>
            </w:pPr>
            <w:r>
              <w:rPr>
                <w:rFonts w:ascii="Calibri" w:hAnsi="Calibri" w:eastAsia="맑은 고딕"/>
                <w:b w:val="0"/>
                <w:color w:val="1A202C"/>
                <w:sz w:val="18"/>
              </w:rPr>
              <w:t>AOFAS 39.4→83.4, 91% 좋음↑</w:t>
            </w:r>
          </w:p>
        </w:tc>
      </w:tr>
      <w:tr>
        <w:trPr>
          <w:cantSplit/>
        </w:trPr>
        <w:tc>
          <w:tcPr>
            <w:tcW w:type="dxa" w:w="2376"/>
          </w:tcPr>
          <w:p>
            <w:pPr>
              <w:spacing w:before="20" w:after="20"/>
              <w:jc w:val="left"/>
            </w:pPr>
            <w:r>
              <w:rPr>
                <w:rFonts w:ascii="Calibri" w:hAnsi="Calibri" w:eastAsia="맑은 고딕"/>
                <w:b w:val="0"/>
                <w:color w:val="1A202C"/>
                <w:sz w:val="18"/>
              </w:rPr>
              <w:t>수술 접근 비교</w:t>
            </w:r>
          </w:p>
        </w:tc>
        <w:tc>
          <w:tcPr>
            <w:tcW w:type="dxa" w:w="2376"/>
          </w:tcPr>
          <w:p>
            <w:pPr>
              <w:spacing w:before="20" w:after="20"/>
              <w:jc w:val="center"/>
            </w:pPr>
            <w:r>
              <w:rPr>
                <w:rFonts w:ascii="Calibri" w:hAnsi="Calibri" w:eastAsia="맑은 고딕"/>
                <w:b w:val="0"/>
                <w:color w:val="1A202C"/>
                <w:sz w:val="18"/>
              </w:rPr>
              <w:t>Zhang 2023</w:t>
            </w:r>
          </w:p>
        </w:tc>
        <w:tc>
          <w:tcPr>
            <w:tcW w:type="dxa" w:w="2376"/>
          </w:tcPr>
          <w:p>
            <w:pPr>
              <w:spacing w:before="20" w:after="20"/>
              <w:jc w:val="center"/>
            </w:pPr>
            <w:r>
              <w:rPr>
                <w:rFonts w:ascii="Calibri" w:hAnsi="Calibri" w:eastAsia="맑은 고딕"/>
                <w:b w:val="0"/>
                <w:color w:val="1A202C"/>
                <w:sz w:val="18"/>
              </w:rPr>
              <w:t>SR/MA 5편</w:t>
            </w:r>
          </w:p>
        </w:tc>
        <w:tc>
          <w:tcPr>
            <w:tcW w:type="dxa" w:w="2376"/>
          </w:tcPr>
          <w:p>
            <w:pPr>
              <w:spacing w:before="20" w:after="20"/>
              <w:jc w:val="center"/>
            </w:pPr>
            <w:r>
              <w:rPr>
                <w:rFonts w:ascii="Calibri" w:hAnsi="Calibri" w:eastAsia="맑은 고딕"/>
                <w:b w:val="0"/>
                <w:color w:val="1A202C"/>
                <w:sz w:val="18"/>
              </w:rPr>
              <w:t>족저 접근 반흔·창상 문제 유의↑</w:t>
            </w:r>
          </w:p>
        </w:tc>
      </w:tr>
      <w:tr>
        <w:trPr>
          <w:cantSplit/>
        </w:trPr>
        <w:tc>
          <w:tcPr>
            <w:tcW w:type="dxa" w:w="2376"/>
            <w:shd w:val="clear" w:fill="EEF2F6"/>
          </w:tcPr>
          <w:p>
            <w:pPr>
              <w:spacing w:before="20" w:after="20"/>
              <w:jc w:val="left"/>
            </w:pPr>
            <w:r>
              <w:rPr>
                <w:rFonts w:ascii="Calibri" w:hAnsi="Calibri" w:eastAsia="맑은 고딕"/>
                <w:b w:val="0"/>
                <w:color w:val="1A202C"/>
                <w:sz w:val="18"/>
              </w:rPr>
              <w:t>수술 vs 주사</w:t>
            </w:r>
          </w:p>
        </w:tc>
        <w:tc>
          <w:tcPr>
            <w:tcW w:type="dxa" w:w="2376"/>
            <w:shd w:val="clear" w:fill="EEF2F6"/>
          </w:tcPr>
          <w:p>
            <w:pPr>
              <w:spacing w:before="20" w:after="20"/>
              <w:jc w:val="center"/>
            </w:pPr>
            <w:r>
              <w:rPr>
                <w:rFonts w:ascii="Calibri" w:hAnsi="Calibri" w:eastAsia="맑은 고딕"/>
                <w:b w:val="0"/>
                <w:color w:val="1A202C"/>
                <w:sz w:val="18"/>
              </w:rPr>
              <w:t>Lu 2021</w:t>
            </w:r>
          </w:p>
        </w:tc>
        <w:tc>
          <w:tcPr>
            <w:tcW w:type="dxa" w:w="2376"/>
            <w:shd w:val="clear" w:fill="EEF2F6"/>
          </w:tcPr>
          <w:p>
            <w:pPr>
              <w:spacing w:before="20" w:after="20"/>
              <w:jc w:val="center"/>
            </w:pPr>
            <w:r>
              <w:rPr>
                <w:rFonts w:ascii="Calibri" w:hAnsi="Calibri" w:eastAsia="맑은 고딕"/>
                <w:b w:val="0"/>
                <w:color w:val="1A202C"/>
                <w:sz w:val="18"/>
              </w:rPr>
              <w:t>SR/MA 35편</w:t>
            </w:r>
          </w:p>
        </w:tc>
        <w:tc>
          <w:tcPr>
            <w:tcW w:type="dxa" w:w="2376"/>
            <w:shd w:val="clear" w:fill="EEF2F6"/>
          </w:tcPr>
          <w:p>
            <w:pPr>
              <w:spacing w:before="20" w:after="20"/>
              <w:jc w:val="center"/>
            </w:pPr>
            <w:r>
              <w:rPr>
                <w:rFonts w:ascii="Calibri" w:hAnsi="Calibri" w:eastAsia="맑은 고딕"/>
                <w:b w:val="0"/>
                <w:color w:val="1A202C"/>
                <w:sz w:val="18"/>
              </w:rPr>
              <w:t>재수술 주사 15% &gt; 절제 5% &gt; 용해 2%</w:t>
            </w:r>
          </w:p>
        </w:tc>
      </w:tr>
      <w:tr>
        <w:trPr>
          <w:cantSplit/>
        </w:trPr>
        <w:tc>
          <w:tcPr>
            <w:tcW w:type="dxa" w:w="2376"/>
          </w:tcPr>
          <w:p>
            <w:pPr>
              <w:spacing w:before="20" w:after="20"/>
              <w:jc w:val="left"/>
            </w:pPr>
            <w:r>
              <w:rPr>
                <w:rFonts w:ascii="Calibri" w:hAnsi="Calibri" w:eastAsia="맑은 고딕"/>
                <w:b w:val="0"/>
                <w:color w:val="1A202C"/>
                <w:sz w:val="18"/>
              </w:rPr>
              <w:t>감별(족저판)</w:t>
            </w:r>
          </w:p>
        </w:tc>
        <w:tc>
          <w:tcPr>
            <w:tcW w:type="dxa" w:w="2376"/>
          </w:tcPr>
          <w:p>
            <w:pPr>
              <w:spacing w:before="20" w:after="20"/>
              <w:jc w:val="center"/>
            </w:pPr>
            <w:r>
              <w:rPr>
                <w:rFonts w:ascii="Calibri" w:hAnsi="Calibri" w:eastAsia="맑은 고딕"/>
                <w:b w:val="0"/>
                <w:color w:val="1A202C"/>
                <w:sz w:val="18"/>
              </w:rPr>
              <w:t>Klein 2014</w:t>
            </w:r>
          </w:p>
        </w:tc>
        <w:tc>
          <w:tcPr>
            <w:tcW w:type="dxa" w:w="2376"/>
          </w:tcPr>
          <w:p>
            <w:pPr>
              <w:spacing w:before="20" w:after="20"/>
              <w:jc w:val="center"/>
            </w:pPr>
            <w:r>
              <w:rPr>
                <w:rFonts w:ascii="Calibri" w:hAnsi="Calibri" w:eastAsia="맑은 고딕"/>
                <w:b w:val="0"/>
                <w:color w:val="1A202C"/>
                <w:sz w:val="18"/>
              </w:rPr>
              <w:t>진단연구</w:t>
            </w:r>
          </w:p>
        </w:tc>
        <w:tc>
          <w:tcPr>
            <w:tcW w:type="dxa" w:w="2376"/>
          </w:tcPr>
          <w:p>
            <w:pPr>
              <w:spacing w:before="20" w:after="20"/>
              <w:jc w:val="center"/>
            </w:pPr>
            <w:r>
              <w:rPr>
                <w:rFonts w:ascii="Calibri" w:hAnsi="Calibri" w:eastAsia="맑은 고딕"/>
                <w:b w:val="0"/>
                <w:color w:val="1A202C"/>
                <w:sz w:val="18"/>
              </w:rPr>
              <w:t>drawer test 민감도 91.5%(고등급 파열 시사)</w:t>
            </w:r>
          </w:p>
        </w:tc>
      </w:tr>
    </w:tbl>
    <w:p>
      <w:pPr>
        <w:spacing w:after="40"/>
      </w:pPr>
    </w:p>
    <w:p>
      <w:pPr>
        <w:keepNext/>
        <w:spacing w:before="260" w:after="100"/>
        <w:pBdr>
          <w:bottom w:val="single" w:sz="10" w:space="4" w:color="1F6E70"/>
        </w:pBdr>
      </w:pPr>
      <w:r>
        <w:rPr>
          <w:rFonts w:ascii="Calibri" w:hAnsi="Calibri" w:eastAsia="맑은 고딕"/>
          <w:b/>
          <w:color w:val="1B355E"/>
          <w:sz w:val="29"/>
        </w:rPr>
        <w:t>참고문헌</w:t>
      </w:r>
    </w:p>
    <w:p>
      <w:pPr>
        <w:keepNext/>
        <w:spacing w:before="180" w:after="40"/>
      </w:pPr>
      <w:r>
        <w:rPr>
          <w:rFonts w:ascii="Calibri" w:hAnsi="Calibri" w:eastAsia="맑은 고딕"/>
          <w:b/>
          <w:color w:val="1F6E70"/>
          <w:sz w:val="22"/>
        </w:rPr>
        <w:t xml:space="preserve">▍ </w:t>
      </w:r>
      <w:r>
        <w:rPr>
          <w:rFonts w:ascii="Calibri" w:hAnsi="Calibri" w:eastAsia="맑은 고딕"/>
          <w:b/>
          <w:color w:val="1B355E"/>
          <w:sz w:val="23"/>
        </w:rPr>
        <w:t>진단·병태생리·개관</w:t>
      </w:r>
    </w:p>
    <w:p>
      <w:pPr>
        <w:spacing w:after="60" w:line="259" w:lineRule="auto"/>
        <w:ind w:left="432" w:hanging="317"/>
      </w:pPr>
      <w:r>
        <w:rPr>
          <w:rFonts w:ascii="Calibri" w:hAnsi="Calibri" w:eastAsia="맑은 고딕"/>
          <w:b/>
          <w:color w:val="1F6E70"/>
          <w:sz w:val="20"/>
        </w:rPr>
        <w:t xml:space="preserve">1. </w:t>
      </w:r>
      <w:r>
        <w:rPr>
          <w:rFonts w:ascii="Calibri" w:hAnsi="Calibri" w:eastAsia="맑은 고딕"/>
          <w:b w:val="0"/>
          <w:color w:val="1A202C"/>
          <w:sz w:val="20"/>
        </w:rPr>
        <w:t>Mak MS, Chowdhury R, Johnson R. Morton's neuroma: review of anatomy, pathomechanism, and imaging. Clin Radiol. 2021;76(3):235.e15-235.e23. PMID 33168237.</w:t>
      </w:r>
    </w:p>
    <w:p>
      <w:pPr>
        <w:spacing w:after="60" w:line="259" w:lineRule="auto"/>
        <w:ind w:left="432" w:hanging="317"/>
      </w:pPr>
      <w:r>
        <w:rPr>
          <w:rFonts w:ascii="Calibri" w:hAnsi="Calibri" w:eastAsia="맑은 고딕"/>
          <w:b/>
          <w:color w:val="1F6E70"/>
          <w:sz w:val="20"/>
        </w:rPr>
        <w:t xml:space="preserve">2. </w:t>
      </w:r>
      <w:r>
        <w:rPr>
          <w:rFonts w:ascii="Calibri" w:hAnsi="Calibri" w:eastAsia="맑은 고딕"/>
          <w:b w:val="0"/>
          <w:color w:val="1A202C"/>
          <w:sz w:val="20"/>
        </w:rPr>
        <w:t>Bignotti B, Signori A, Sormani MP, Molfetta L, Martinoli C, Tagliafico A. Ultrasound versus magnetic resonance imaging for Morton neuroma: systematic review and meta-analysis. Eur Radiol. 2015;25(8):2254-2262. PMID 25809742.</w:t>
      </w:r>
    </w:p>
    <w:p>
      <w:pPr>
        <w:spacing w:after="60" w:line="259" w:lineRule="auto"/>
        <w:ind w:left="432" w:hanging="317"/>
      </w:pPr>
      <w:r>
        <w:rPr>
          <w:rFonts w:ascii="Calibri" w:hAnsi="Calibri" w:eastAsia="맑은 고딕"/>
          <w:b/>
          <w:color w:val="1F6E70"/>
          <w:sz w:val="20"/>
        </w:rPr>
        <w:t xml:space="preserve">3. </w:t>
      </w:r>
      <w:r>
        <w:rPr>
          <w:rFonts w:ascii="Calibri" w:hAnsi="Calibri" w:eastAsia="맑은 고딕"/>
          <w:b w:val="0"/>
          <w:color w:val="1A202C"/>
          <w:sz w:val="20"/>
        </w:rPr>
        <w:t>Pitcher M, Moulson A, Pitcher D, Herbland A, Cairns MC. Diagnostic accuracy of subjective features and physical examination tests for Morton neuroma: a systematic review. Foot Ankle Orthop. 2024;9(4):24730114241291055. doi:10.1177/24730114241291055. PMC11574893.</w:t>
      </w:r>
    </w:p>
    <w:p>
      <w:pPr>
        <w:spacing w:after="60" w:line="259" w:lineRule="auto"/>
        <w:ind w:left="432" w:hanging="317"/>
      </w:pPr>
      <w:r>
        <w:rPr>
          <w:rFonts w:ascii="Calibri" w:hAnsi="Calibri" w:eastAsia="맑은 고딕"/>
          <w:b/>
          <w:color w:val="1F6E70"/>
          <w:sz w:val="20"/>
        </w:rPr>
        <w:t xml:space="preserve">4. </w:t>
      </w:r>
      <w:r>
        <w:rPr>
          <w:rFonts w:ascii="Calibri" w:hAnsi="Calibri" w:eastAsia="맑은 고딕"/>
          <w:b w:val="0"/>
          <w:color w:val="1A202C"/>
          <w:sz w:val="20"/>
        </w:rPr>
        <w:t>Sharp RJ, Wade CM, Hennessy MS, Saxby TS. The role of MRI and ultrasound imaging in Morton's neuroma and the effect of size of lesion on symptoms. J Bone Joint Surg Br. 2003;85-B(7):999-1005. PMID 14516035.</w:t>
      </w:r>
    </w:p>
    <w:p>
      <w:pPr>
        <w:spacing w:after="60" w:line="259" w:lineRule="auto"/>
        <w:ind w:left="432" w:hanging="317"/>
      </w:pPr>
      <w:r>
        <w:rPr>
          <w:rFonts w:ascii="Calibri" w:hAnsi="Calibri" w:eastAsia="맑은 고딕"/>
          <w:b/>
          <w:color w:val="1F6E70"/>
          <w:sz w:val="20"/>
        </w:rPr>
        <w:t xml:space="preserve">5. </w:t>
      </w:r>
      <w:r>
        <w:rPr>
          <w:rFonts w:ascii="Calibri" w:hAnsi="Calibri" w:eastAsia="맑은 고딕"/>
          <w:b w:val="0"/>
          <w:color w:val="1A202C"/>
          <w:sz w:val="20"/>
        </w:rPr>
        <w:t>Gougoulias N, Lampridis V, Sakellariou A. Morton's interdigital neuroma: instructional review. EFORT Open Rev. 2019;4(1):14-24. PMID 30800476.</w:t>
      </w:r>
    </w:p>
    <w:p>
      <w:pPr>
        <w:spacing w:after="60" w:line="259" w:lineRule="auto"/>
        <w:ind w:left="432" w:hanging="317"/>
      </w:pPr>
      <w:r>
        <w:rPr>
          <w:rFonts w:ascii="Calibri" w:hAnsi="Calibri" w:eastAsia="맑은 고딕"/>
          <w:b/>
          <w:color w:val="1F6E70"/>
          <w:sz w:val="20"/>
        </w:rPr>
        <w:t xml:space="preserve">6. </w:t>
      </w:r>
      <w:r>
        <w:rPr>
          <w:rFonts w:ascii="Calibri" w:hAnsi="Calibri" w:eastAsia="맑은 고딕"/>
          <w:b w:val="0"/>
          <w:color w:val="1A202C"/>
          <w:sz w:val="20"/>
        </w:rPr>
        <w:t>Di Caprio F, Meringolo R, Shehab Eddine M, Ponziani L. Morton's interdigital neuroma of the foot: a literature review. Foot Ankle Surg. 2018;24(2):92-98. PMID 29409221.</w:t>
      </w:r>
    </w:p>
    <w:p>
      <w:pPr>
        <w:keepNext/>
        <w:spacing w:before="180" w:after="40"/>
      </w:pPr>
      <w:r>
        <w:rPr>
          <w:rFonts w:ascii="Calibri" w:hAnsi="Calibri" w:eastAsia="맑은 고딕"/>
          <w:b/>
          <w:color w:val="1F6E70"/>
          <w:sz w:val="22"/>
        </w:rPr>
        <w:t xml:space="preserve">▍ </w:t>
      </w:r>
      <w:r>
        <w:rPr>
          <w:rFonts w:ascii="Calibri" w:hAnsi="Calibri" w:eastAsia="맑은 고딕"/>
          <w:b/>
          <w:color w:val="1B355E"/>
          <w:sz w:val="23"/>
        </w:rPr>
        <w:t>보존치료(신발·중족골 패드·깔창·물리치료)</w:t>
      </w:r>
    </w:p>
    <w:p>
      <w:pPr>
        <w:spacing w:after="60" w:line="259" w:lineRule="auto"/>
        <w:ind w:left="432" w:hanging="317"/>
      </w:pPr>
      <w:r>
        <w:rPr>
          <w:rFonts w:ascii="Calibri" w:hAnsi="Calibri" w:eastAsia="맑은 고딕"/>
          <w:b/>
          <w:color w:val="1F6E70"/>
          <w:sz w:val="20"/>
        </w:rPr>
        <w:t xml:space="preserve">7. </w:t>
      </w:r>
      <w:r>
        <w:rPr>
          <w:rFonts w:ascii="Calibri" w:hAnsi="Calibri" w:eastAsia="맑은 고딕"/>
          <w:b w:val="0"/>
          <w:color w:val="1A202C"/>
          <w:sz w:val="20"/>
        </w:rPr>
        <w:t>Matthews BG, Hurn SE, Harding MP, Henry RA, Ware RS. The effectiveness of non-surgical interventions for common plantar digital compressive neuropathy (Morton's neuroma): a systematic review and meta-analysis. J Foot Ankle Res. 2019;12:12. PMID 30809275.</w:t>
      </w:r>
    </w:p>
    <w:p>
      <w:pPr>
        <w:spacing w:after="60" w:line="259" w:lineRule="auto"/>
        <w:ind w:left="432" w:hanging="317"/>
      </w:pPr>
      <w:r>
        <w:rPr>
          <w:rFonts w:ascii="Calibri" w:hAnsi="Calibri" w:eastAsia="맑은 고딕"/>
          <w:b/>
          <w:color w:val="1F6E70"/>
          <w:sz w:val="20"/>
        </w:rPr>
        <w:t xml:space="preserve">8. </w:t>
      </w:r>
      <w:r>
        <w:rPr>
          <w:rFonts w:ascii="Calibri" w:hAnsi="Calibri" w:eastAsia="맑은 고딕"/>
          <w:b w:val="0"/>
          <w:color w:val="1A202C"/>
          <w:sz w:val="20"/>
        </w:rPr>
        <w:t>Thomson L, Aujla RS, Divall P, Bhatia M. Non-surgical treatments for Morton's neuroma: a systematic review. Foot Ankle Surg. 2020;26(7):736-743. PMID 31718949.</w:t>
      </w:r>
    </w:p>
    <w:p>
      <w:pPr>
        <w:spacing w:after="60" w:line="259" w:lineRule="auto"/>
        <w:ind w:left="432" w:hanging="317"/>
      </w:pPr>
      <w:r>
        <w:rPr>
          <w:rFonts w:ascii="Calibri" w:hAnsi="Calibri" w:eastAsia="맑은 고딕"/>
          <w:b/>
          <w:color w:val="1F6E70"/>
          <w:sz w:val="20"/>
        </w:rPr>
        <w:t xml:space="preserve">9. </w:t>
      </w:r>
      <w:r>
        <w:rPr>
          <w:rFonts w:ascii="Calibri" w:hAnsi="Calibri" w:eastAsia="맑은 고딕"/>
          <w:b w:val="0"/>
          <w:color w:val="1A202C"/>
          <w:sz w:val="20"/>
        </w:rPr>
        <w:t>Thomson CE, Gibson JNA, Martin D. Interventions for the treatment of Morton's neuroma. Cochrane Database Syst Rev. 2004;(3):CD003118. PMID 15266472.</w:t>
      </w:r>
    </w:p>
    <w:p>
      <w:pPr>
        <w:spacing w:after="60" w:line="259" w:lineRule="auto"/>
        <w:ind w:left="432" w:hanging="317"/>
      </w:pPr>
      <w:r>
        <w:rPr>
          <w:rFonts w:ascii="Calibri" w:hAnsi="Calibri" w:eastAsia="맑은 고딕"/>
          <w:b/>
          <w:color w:val="1F6E70"/>
          <w:sz w:val="20"/>
        </w:rPr>
        <w:t xml:space="preserve">10. </w:t>
      </w:r>
      <w:r>
        <w:rPr>
          <w:rFonts w:ascii="Calibri" w:hAnsi="Calibri" w:eastAsia="맑은 고딕"/>
          <w:b w:val="0"/>
          <w:color w:val="1A202C"/>
          <w:sz w:val="20"/>
        </w:rPr>
        <w:t>Matthews BG, Thomson CE, Harding MP, McKinley JC, Ware RS. Treatments for Morton's neuroma. Cochrane Database Syst Rev. 2024;(2):CD014687. doi:10.1002/14651858.CD014687.pub2.</w:t>
      </w:r>
    </w:p>
    <w:p>
      <w:pPr>
        <w:spacing w:after="60" w:line="259" w:lineRule="auto"/>
        <w:ind w:left="432" w:hanging="317"/>
      </w:pPr>
      <w:r>
        <w:rPr>
          <w:rFonts w:ascii="Calibri" w:hAnsi="Calibri" w:eastAsia="맑은 고딕"/>
          <w:b/>
          <w:color w:val="1F6E70"/>
          <w:sz w:val="20"/>
        </w:rPr>
        <w:t xml:space="preserve">11. </w:t>
      </w:r>
      <w:r>
        <w:rPr>
          <w:rFonts w:ascii="Calibri" w:hAnsi="Calibri" w:eastAsia="맑은 고딕"/>
          <w:b w:val="0"/>
          <w:color w:val="1A202C"/>
          <w:sz w:val="20"/>
        </w:rPr>
        <w:t>Hastings MK, Mueller MJ, Pilgram TK, Lott DJ, Commean PK, Johnson JE. Effect of metatarsal pad placement on plantar pressure in people with diabetes mellitus and peripheral neuropathy. Foot Ankle Int. 2007;28(1):84-88. PMID 17257544.</w:t>
      </w:r>
    </w:p>
    <w:p>
      <w:pPr>
        <w:spacing w:after="60" w:line="259" w:lineRule="auto"/>
        <w:ind w:left="432" w:hanging="317"/>
      </w:pPr>
      <w:r>
        <w:rPr>
          <w:rFonts w:ascii="Calibri" w:hAnsi="Calibri" w:eastAsia="맑은 고딕"/>
          <w:b/>
          <w:color w:val="1F6E70"/>
          <w:sz w:val="20"/>
        </w:rPr>
        <w:t xml:space="preserve">12. </w:t>
      </w:r>
      <w:r>
        <w:rPr>
          <w:rFonts w:ascii="Calibri" w:hAnsi="Calibri" w:eastAsia="맑은 고딕"/>
          <w:b w:val="0"/>
          <w:color w:val="1A202C"/>
          <w:sz w:val="20"/>
        </w:rPr>
        <w:t>Landorf KB, Ackland CA, Bonanno DR, Menz HB, Forghany S. Effects of metatarsal domes on plantar pressures in older people with a history of forefoot pain. J Foot Ankle Res. 2020;13(1):18. PMID 32375847.</w:t>
      </w:r>
    </w:p>
    <w:p>
      <w:pPr>
        <w:spacing w:after="60" w:line="259" w:lineRule="auto"/>
        <w:ind w:left="432" w:hanging="317"/>
      </w:pPr>
      <w:r>
        <w:rPr>
          <w:rFonts w:ascii="Calibri" w:hAnsi="Calibri" w:eastAsia="맑은 고딕"/>
          <w:b/>
          <w:color w:val="1F6E70"/>
          <w:sz w:val="20"/>
        </w:rPr>
        <w:t xml:space="preserve">13. </w:t>
      </w:r>
      <w:r>
        <w:rPr>
          <w:rFonts w:ascii="Calibri" w:hAnsi="Calibri" w:eastAsia="맑은 고딕"/>
          <w:b w:val="0"/>
          <w:color w:val="1A202C"/>
          <w:sz w:val="20"/>
        </w:rPr>
        <w:t>Kang JH, Chen MD, Chen SC, Hsi WL. Correlations between subjective treatment responses and plantar pressure parameters of metatarsal pad treatment in metatarsalgia patients: a prospective study. BMC Musculoskelet Disord. 2006;7:95. PMID 17147793.</w:t>
      </w:r>
    </w:p>
    <w:p>
      <w:pPr>
        <w:spacing w:after="60" w:line="259" w:lineRule="auto"/>
        <w:ind w:left="432" w:hanging="317"/>
      </w:pPr>
      <w:r>
        <w:rPr>
          <w:rFonts w:ascii="Calibri" w:hAnsi="Calibri" w:eastAsia="맑은 고딕"/>
          <w:b/>
          <w:color w:val="1F6E70"/>
          <w:sz w:val="20"/>
        </w:rPr>
        <w:t xml:space="preserve">14. </w:t>
      </w:r>
      <w:r>
        <w:rPr>
          <w:rFonts w:ascii="Calibri" w:hAnsi="Calibri" w:eastAsia="맑은 고딕"/>
          <w:b w:val="0"/>
          <w:color w:val="1A202C"/>
          <w:sz w:val="20"/>
        </w:rPr>
        <w:t>Post M, Maccio JR. Mechanical diagnosis and therapy and Morton's neuroma: a case-series. J Man Manip Ther. 2020;28(1):60-67. PMID 31177965.</w:t>
      </w:r>
    </w:p>
    <w:p>
      <w:pPr>
        <w:keepNext/>
        <w:spacing w:before="180" w:after="40"/>
      </w:pPr>
      <w:r>
        <w:rPr>
          <w:rFonts w:ascii="Calibri" w:hAnsi="Calibri" w:eastAsia="맑은 고딕"/>
          <w:b/>
          <w:color w:val="1F6E70"/>
          <w:sz w:val="22"/>
        </w:rPr>
        <w:t xml:space="preserve">▍ </w:t>
      </w:r>
      <w:r>
        <w:rPr>
          <w:rFonts w:ascii="Calibri" w:hAnsi="Calibri" w:eastAsia="맑은 고딕"/>
          <w:b/>
          <w:color w:val="1B355E"/>
          <w:sz w:val="23"/>
        </w:rPr>
        <w:t>주사 치료(스테로이드·알코올 경화) 및 합병증</w:t>
      </w:r>
    </w:p>
    <w:p>
      <w:pPr>
        <w:spacing w:after="60" w:line="259" w:lineRule="auto"/>
        <w:ind w:left="432" w:hanging="317"/>
      </w:pPr>
      <w:r>
        <w:rPr>
          <w:rFonts w:ascii="Calibri" w:hAnsi="Calibri" w:eastAsia="맑은 고딕"/>
          <w:b/>
          <w:color w:val="1F6E70"/>
          <w:sz w:val="20"/>
        </w:rPr>
        <w:t xml:space="preserve">15. </w:t>
      </w:r>
      <w:r>
        <w:rPr>
          <w:rFonts w:ascii="Calibri" w:hAnsi="Calibri" w:eastAsia="맑은 고딕"/>
          <w:b w:val="0"/>
          <w:color w:val="1A202C"/>
          <w:sz w:val="20"/>
        </w:rPr>
        <w:t>Thomson CE, Beggs I, Martin DJ, et al. Methylprednisolone injections for the treatment of Morton neuroma: a patient-blinded randomized trial. J Bone Joint Surg Am. 2013;95(9):790-798. PMID 23636185.</w:t>
      </w:r>
    </w:p>
    <w:p>
      <w:pPr>
        <w:spacing w:after="60" w:line="259" w:lineRule="auto"/>
        <w:ind w:left="432" w:hanging="317"/>
      </w:pPr>
      <w:r>
        <w:rPr>
          <w:rFonts w:ascii="Calibri" w:hAnsi="Calibri" w:eastAsia="맑은 고딕"/>
          <w:b/>
          <w:color w:val="1F6E70"/>
          <w:sz w:val="20"/>
        </w:rPr>
        <w:t xml:space="preserve">16. </w:t>
      </w:r>
      <w:r>
        <w:rPr>
          <w:rFonts w:ascii="Calibri" w:hAnsi="Calibri" w:eastAsia="맑은 고딕"/>
          <w:b w:val="0"/>
          <w:color w:val="1A202C"/>
          <w:sz w:val="20"/>
        </w:rPr>
        <w:t>Mahadevan D, Attwal M, Bhatt R, Bhatia M. Corticosteroid injection for Morton's neuroma with or without ultrasound guidance: a randomised controlled trial. Bone Joint J. 2016;98-B(4):498-503. doi:10.1302/0301-620X.98B4.36880.</w:t>
      </w:r>
    </w:p>
    <w:p>
      <w:pPr>
        <w:spacing w:after="60" w:line="259" w:lineRule="auto"/>
        <w:ind w:left="432" w:hanging="317"/>
      </w:pPr>
      <w:r>
        <w:rPr>
          <w:rFonts w:ascii="Calibri" w:hAnsi="Calibri" w:eastAsia="맑은 고딕"/>
          <w:b/>
          <w:color w:val="1F6E70"/>
          <w:sz w:val="20"/>
        </w:rPr>
        <w:t xml:space="preserve">17. </w:t>
      </w:r>
      <w:r>
        <w:rPr>
          <w:rFonts w:ascii="Calibri" w:hAnsi="Calibri" w:eastAsia="맑은 고딕"/>
          <w:b w:val="0"/>
          <w:color w:val="1A202C"/>
          <w:sz w:val="20"/>
        </w:rPr>
        <w:t>Makki D, Haddad BZ, Mahmood Z, Shahid MS, Pathak S, Garnham I. Efficacy of corticosteroid injection versus size of plantar interdigital neuroma. Foot Ankle Int. 2012;33(9):722-726. PMID 22995258.</w:t>
      </w:r>
    </w:p>
    <w:p>
      <w:pPr>
        <w:spacing w:after="60" w:line="259" w:lineRule="auto"/>
        <w:ind w:left="432" w:hanging="317"/>
      </w:pPr>
      <w:r>
        <w:rPr>
          <w:rFonts w:ascii="Calibri" w:hAnsi="Calibri" w:eastAsia="맑은 고딕"/>
          <w:b/>
          <w:color w:val="1F6E70"/>
          <w:sz w:val="20"/>
        </w:rPr>
        <w:t xml:space="preserve">18. </w:t>
      </w:r>
      <w:r>
        <w:rPr>
          <w:rFonts w:ascii="Calibri" w:hAnsi="Calibri" w:eastAsia="맑은 고딕"/>
          <w:b w:val="0"/>
          <w:color w:val="1A202C"/>
          <w:sz w:val="20"/>
        </w:rPr>
        <w:t>Markovic M, Crichton K, Read JW, Lam P, Slater HK. Effectiveness of ultrasound-guided corticosteroid injection in the treatment of Morton's neuroma. Foot Ankle Int. 2008;29(5):483-487. PMID 18510900.</w:t>
      </w:r>
    </w:p>
    <w:p>
      <w:pPr>
        <w:spacing w:after="60" w:line="259" w:lineRule="auto"/>
        <w:ind w:left="432" w:hanging="317"/>
      </w:pPr>
      <w:r>
        <w:rPr>
          <w:rFonts w:ascii="Calibri" w:hAnsi="Calibri" w:eastAsia="맑은 고딕"/>
          <w:b/>
          <w:color w:val="1F6E70"/>
          <w:sz w:val="20"/>
        </w:rPr>
        <w:t xml:space="preserve">19. </w:t>
      </w:r>
      <w:r>
        <w:rPr>
          <w:rFonts w:ascii="Calibri" w:hAnsi="Calibri" w:eastAsia="맑은 고딕"/>
          <w:b w:val="0"/>
          <w:color w:val="1A202C"/>
          <w:sz w:val="20"/>
        </w:rPr>
        <w:t>Hughes RJ, Ali K, Jones H, Kendall S, Connell DA. Treatment of Morton's neuroma with alcohol injection under sonographic guidance: follow-up of 101 cases. AJR Am J Roentgenol. 2007;188(6):1535-1539. PMID 17515373.</w:t>
      </w:r>
    </w:p>
    <w:p>
      <w:pPr>
        <w:spacing w:after="60" w:line="259" w:lineRule="auto"/>
        <w:ind w:left="432" w:hanging="317"/>
      </w:pPr>
      <w:r>
        <w:rPr>
          <w:rFonts w:ascii="Calibri" w:hAnsi="Calibri" w:eastAsia="맑은 고딕"/>
          <w:b/>
          <w:color w:val="1F6E70"/>
          <w:sz w:val="20"/>
        </w:rPr>
        <w:t xml:space="preserve">20. </w:t>
      </w:r>
      <w:r>
        <w:rPr>
          <w:rFonts w:ascii="Calibri" w:hAnsi="Calibri" w:eastAsia="맑은 고딕"/>
          <w:b w:val="0"/>
          <w:color w:val="1A202C"/>
          <w:sz w:val="20"/>
        </w:rPr>
        <w:t>Gurdezi S, White T, Ramesh P. Alcohol injection for Morton's neuroma: a five-year follow-up. Foot Ankle Int. 2013;34(8):1064-1067. PMID 23669161.</w:t>
      </w:r>
    </w:p>
    <w:p>
      <w:pPr>
        <w:spacing w:after="60" w:line="259" w:lineRule="auto"/>
        <w:ind w:left="432" w:hanging="317"/>
      </w:pPr>
      <w:r>
        <w:rPr>
          <w:rFonts w:ascii="Calibri" w:hAnsi="Calibri" w:eastAsia="맑은 고딕"/>
          <w:b/>
          <w:color w:val="1F6E70"/>
          <w:sz w:val="20"/>
        </w:rPr>
        <w:t xml:space="preserve">21. </w:t>
      </w:r>
      <w:r>
        <w:rPr>
          <w:rFonts w:ascii="Calibri" w:hAnsi="Calibri" w:eastAsia="맑은 고딕"/>
          <w:b w:val="0"/>
          <w:color w:val="1A202C"/>
          <w:sz w:val="20"/>
        </w:rPr>
        <w:t>Pabinger C, Malaj I, Lothaller H, Samaila E, Magnan B. Improved injection technique of ethanol for Morton's neuroma. Foot Ankle Int. 2020;41(5):590-596. PMID 32013586.</w:t>
      </w:r>
    </w:p>
    <w:p>
      <w:pPr>
        <w:spacing w:after="60" w:line="259" w:lineRule="auto"/>
        <w:ind w:left="432" w:hanging="317"/>
      </w:pPr>
      <w:r>
        <w:rPr>
          <w:rFonts w:ascii="Calibri" w:hAnsi="Calibri" w:eastAsia="맑은 고딕"/>
          <w:b/>
          <w:color w:val="1F6E70"/>
          <w:sz w:val="20"/>
        </w:rPr>
        <w:t xml:space="preserve">22. </w:t>
      </w:r>
      <w:r>
        <w:rPr>
          <w:rFonts w:ascii="Calibri" w:hAnsi="Calibri" w:eastAsia="맑은 고딕"/>
          <w:b w:val="0"/>
          <w:color w:val="1A202C"/>
          <w:sz w:val="20"/>
        </w:rPr>
        <w:t>Santos D, Morrison G, Coda A. Sclerosing alcohol injections for the management of intermetatarsal neuromas: a systematic review. Foot (Edinb). 2018;35:36-47. PMID 29778841.</w:t>
      </w:r>
    </w:p>
    <w:p>
      <w:pPr>
        <w:spacing w:after="60" w:line="259" w:lineRule="auto"/>
        <w:ind w:left="432" w:hanging="317"/>
      </w:pPr>
      <w:r>
        <w:rPr>
          <w:rFonts w:ascii="Calibri" w:hAnsi="Calibri" w:eastAsia="맑은 고딕"/>
          <w:b/>
          <w:color w:val="1F6E70"/>
          <w:sz w:val="20"/>
        </w:rPr>
        <w:t xml:space="preserve">23. </w:t>
      </w:r>
      <w:r>
        <w:rPr>
          <w:rFonts w:ascii="Calibri" w:hAnsi="Calibri" w:eastAsia="맑은 고딕"/>
          <w:b w:val="0"/>
          <w:color w:val="1A202C"/>
          <w:sz w:val="20"/>
        </w:rPr>
        <w:t>Effects of 4% ethanol sclerosing injection on Morton's neuroma: a histologic study. J Am Podiatr Med Assoc. 2020;110(5). PMID 32667994.</w:t>
      </w:r>
    </w:p>
    <w:p>
      <w:pPr>
        <w:spacing w:after="60" w:line="259" w:lineRule="auto"/>
        <w:ind w:left="432" w:hanging="317"/>
      </w:pPr>
      <w:r>
        <w:rPr>
          <w:rFonts w:ascii="Calibri" w:hAnsi="Calibri" w:eastAsia="맑은 고딕"/>
          <w:b/>
          <w:color w:val="1F6E70"/>
          <w:sz w:val="20"/>
        </w:rPr>
        <w:t xml:space="preserve">24. </w:t>
      </w:r>
      <w:r>
        <w:rPr>
          <w:rFonts w:ascii="Calibri" w:hAnsi="Calibri" w:eastAsia="맑은 고딕"/>
          <w:b w:val="0"/>
          <w:color w:val="1A202C"/>
          <w:sz w:val="20"/>
        </w:rPr>
        <w:t>Johnson JE, Klein SE, Putnam RM. Corticosteroid injections in the treatment of foot &amp; ankle disorders: an AOFAS survey. Foot Ankle Int. 2011;32(4):394-399. PMID 21733442.</w:t>
      </w:r>
    </w:p>
    <w:p>
      <w:pPr>
        <w:spacing w:after="60" w:line="259" w:lineRule="auto"/>
        <w:ind w:left="432" w:hanging="317"/>
      </w:pPr>
      <w:r>
        <w:rPr>
          <w:rFonts w:ascii="Calibri" w:hAnsi="Calibri" w:eastAsia="맑은 고딕"/>
          <w:b/>
          <w:color w:val="1F6E70"/>
          <w:sz w:val="20"/>
        </w:rPr>
        <w:t xml:space="preserve">25. </w:t>
      </w:r>
      <w:r>
        <w:rPr>
          <w:rFonts w:ascii="Calibri" w:hAnsi="Calibri" w:eastAsia="맑은 고딕"/>
          <w:b w:val="0"/>
          <w:color w:val="1A202C"/>
          <w:sz w:val="20"/>
        </w:rPr>
        <w:t>Basadonna PT, Rucco V, Gasparini D, Onorato A. Plantar fat pad atrophy after corticosteroid injection for an interdigital neuroma: a case report. Am J Phys Med Rehabil. 1999;78(3):283-285. PMID 10340428.</w:t>
      </w:r>
    </w:p>
    <w:p>
      <w:pPr>
        <w:spacing w:after="60" w:line="259" w:lineRule="auto"/>
        <w:ind w:left="432" w:hanging="317"/>
      </w:pPr>
      <w:r>
        <w:rPr>
          <w:rFonts w:ascii="Calibri" w:hAnsi="Calibri" w:eastAsia="맑은 고딕"/>
          <w:b/>
          <w:color w:val="1F6E70"/>
          <w:sz w:val="20"/>
        </w:rPr>
        <w:t xml:space="preserve">26. </w:t>
      </w:r>
      <w:r>
        <w:rPr>
          <w:rFonts w:ascii="Calibri" w:hAnsi="Calibri" w:eastAsia="맑은 고딕"/>
          <w:b w:val="0"/>
          <w:color w:val="1A202C"/>
          <w:sz w:val="20"/>
        </w:rPr>
        <w:t>van Vendeloo SN, Ettema HB. Skin depigmentation along lymph vessels of the lower leg following local corticosteroid injection for interdigital neuroma. Foot Ankle Surg. 2016;22(2):139-141. PMID 27301735.</w:t>
      </w:r>
    </w:p>
    <w:p>
      <w:pPr>
        <w:keepNext/>
        <w:spacing w:before="180" w:after="40"/>
      </w:pPr>
      <w:r>
        <w:rPr>
          <w:rFonts w:ascii="Calibri" w:hAnsi="Calibri" w:eastAsia="맑은 고딕"/>
          <w:b/>
          <w:color w:val="1F6E70"/>
          <w:sz w:val="22"/>
        </w:rPr>
        <w:t xml:space="preserve">▍ </w:t>
      </w:r>
      <w:r>
        <w:rPr>
          <w:rFonts w:ascii="Calibri" w:hAnsi="Calibri" w:eastAsia="맑은 고딕"/>
          <w:b/>
          <w:color w:val="1B355E"/>
          <w:sz w:val="23"/>
        </w:rPr>
        <w:t>시술(ESWT·고주파·냉동·보툴리눔)</w:t>
      </w:r>
    </w:p>
    <w:p>
      <w:pPr>
        <w:spacing w:after="60" w:line="259" w:lineRule="auto"/>
        <w:ind w:left="432" w:hanging="317"/>
      </w:pPr>
      <w:r>
        <w:rPr>
          <w:rFonts w:ascii="Calibri" w:hAnsi="Calibri" w:eastAsia="맑은 고딕"/>
          <w:b/>
          <w:color w:val="1F6E70"/>
          <w:sz w:val="20"/>
        </w:rPr>
        <w:t xml:space="preserve">27. </w:t>
      </w:r>
      <w:r>
        <w:rPr>
          <w:rFonts w:ascii="Calibri" w:hAnsi="Calibri" w:eastAsia="맑은 고딕"/>
          <w:b w:val="0"/>
          <w:color w:val="1A202C"/>
          <w:sz w:val="20"/>
        </w:rPr>
        <w:t>Seok H, Kim SH, Lee SY, Park SW. Extracorporeal shockwave therapy in patients with Morton's neuroma: a randomized, placebo-controlled trial. J Am Podiatr Med Assoc. 2016;106(2):93-99. PMID 27031544.</w:t>
      </w:r>
    </w:p>
    <w:p>
      <w:pPr>
        <w:spacing w:after="60" w:line="259" w:lineRule="auto"/>
        <w:ind w:left="432" w:hanging="317"/>
      </w:pPr>
      <w:r>
        <w:rPr>
          <w:rFonts w:ascii="Calibri" w:hAnsi="Calibri" w:eastAsia="맑은 고딕"/>
          <w:b/>
          <w:color w:val="1F6E70"/>
          <w:sz w:val="20"/>
        </w:rPr>
        <w:t xml:space="preserve">28. </w:t>
      </w:r>
      <w:r>
        <w:rPr>
          <w:rFonts w:ascii="Calibri" w:hAnsi="Calibri" w:eastAsia="맑은 고딕"/>
          <w:b w:val="0"/>
          <w:color w:val="1A202C"/>
          <w:sz w:val="20"/>
        </w:rPr>
        <w:t>Fridman R, Cain JD, Weil L Jr. Extracorporeal shockwave therapy for interdigital neuroma: a randomized, placebo-controlled, double-blind trial. J Am Podiatr Med Assoc. 2009;99(3):191-193. PMID 19448168.</w:t>
      </w:r>
    </w:p>
    <w:p>
      <w:pPr>
        <w:spacing w:after="60" w:line="259" w:lineRule="auto"/>
        <w:ind w:left="432" w:hanging="317"/>
      </w:pPr>
      <w:r>
        <w:rPr>
          <w:rFonts w:ascii="Calibri" w:hAnsi="Calibri" w:eastAsia="맑은 고딕"/>
          <w:b/>
          <w:color w:val="1F6E70"/>
          <w:sz w:val="20"/>
        </w:rPr>
        <w:t xml:space="preserve">29. </w:t>
      </w:r>
      <w:r>
        <w:rPr>
          <w:rFonts w:ascii="Calibri" w:hAnsi="Calibri" w:eastAsia="맑은 고딕"/>
          <w:b w:val="0"/>
          <w:color w:val="1A202C"/>
          <w:sz w:val="20"/>
        </w:rPr>
        <w:t>Llombart-Blanco R, Mariscal G, Benlloch M, Barrios C, Llombart-Ais R. Systematic review and meta-analysis of radiofrequency ablation for Morton's neuroma. Am J Phys Med Rehabil. 2025;104(5):465-472. PMID 39642322.</w:t>
      </w:r>
    </w:p>
    <w:p>
      <w:pPr>
        <w:spacing w:after="60" w:line="259" w:lineRule="auto"/>
        <w:ind w:left="432" w:hanging="317"/>
      </w:pPr>
      <w:r>
        <w:rPr>
          <w:rFonts w:ascii="Calibri" w:hAnsi="Calibri" w:eastAsia="맑은 고딕"/>
          <w:b/>
          <w:color w:val="1F6E70"/>
          <w:sz w:val="20"/>
        </w:rPr>
        <w:t xml:space="preserve">30. </w:t>
      </w:r>
      <w:r>
        <w:rPr>
          <w:rFonts w:ascii="Calibri" w:hAnsi="Calibri" w:eastAsia="맑은 고딕"/>
          <w:b w:val="0"/>
          <w:color w:val="1A202C"/>
          <w:sz w:val="20"/>
        </w:rPr>
        <w:t>Brooks D, Parr A, Bryceson W. Three cycles of radiofrequency ablation are more efficacious than two in the management of Morton's neuroma. Foot Ankle Spec. 2018;11(2):107-111. PMID 28513218.</w:t>
      </w:r>
    </w:p>
    <w:p>
      <w:pPr>
        <w:spacing w:after="60" w:line="259" w:lineRule="auto"/>
        <w:ind w:left="432" w:hanging="317"/>
      </w:pPr>
      <w:r>
        <w:rPr>
          <w:rFonts w:ascii="Calibri" w:hAnsi="Calibri" w:eastAsia="맑은 고딕"/>
          <w:b/>
          <w:color w:val="1F6E70"/>
          <w:sz w:val="20"/>
        </w:rPr>
        <w:t xml:space="preserve">31. </w:t>
      </w:r>
      <w:r>
        <w:rPr>
          <w:rFonts w:ascii="Calibri" w:hAnsi="Calibri" w:eastAsia="맑은 고딕"/>
          <w:b w:val="0"/>
          <w:color w:val="1A202C"/>
          <w:sz w:val="20"/>
        </w:rPr>
        <w:t>Moulin B, Angelopoulos G, Sarrazin JL, et al. Safety and efficacy of percutaneous Morton neuroma cryoneurolysis under ultrasound guidance. Cardiovasc Intervent Radiol. 2024;47(6):795-800. PMID 38438685.</w:t>
      </w:r>
    </w:p>
    <w:p>
      <w:pPr>
        <w:spacing w:after="60" w:line="259" w:lineRule="auto"/>
        <w:ind w:left="432" w:hanging="317"/>
      </w:pPr>
      <w:r>
        <w:rPr>
          <w:rFonts w:ascii="Calibri" w:hAnsi="Calibri" w:eastAsia="맑은 고딕"/>
          <w:b/>
          <w:color w:val="1F6E70"/>
          <w:sz w:val="20"/>
        </w:rPr>
        <w:t xml:space="preserve">32. </w:t>
      </w:r>
      <w:r>
        <w:rPr>
          <w:rFonts w:ascii="Calibri" w:hAnsi="Calibri" w:eastAsia="맑은 고딕"/>
          <w:b w:val="0"/>
          <w:color w:val="1A202C"/>
          <w:sz w:val="20"/>
        </w:rPr>
        <w:t>Climent JM, et al. Treatment of Morton neuroma with botulinum toxin A: a pilot study. Clin Drug Investig. 2013;33(7):497-503. PMID 23740337.</w:t>
      </w:r>
    </w:p>
    <w:p>
      <w:pPr>
        <w:keepNext/>
        <w:spacing w:before="180" w:after="40"/>
      </w:pPr>
      <w:r>
        <w:rPr>
          <w:rFonts w:ascii="Calibri" w:hAnsi="Calibri" w:eastAsia="맑은 고딕"/>
          <w:b/>
          <w:color w:val="1F6E70"/>
          <w:sz w:val="22"/>
        </w:rPr>
        <w:t xml:space="preserve">▍ </w:t>
      </w:r>
      <w:r>
        <w:rPr>
          <w:rFonts w:ascii="Calibri" w:hAnsi="Calibri" w:eastAsia="맑은 고딕"/>
          <w:b/>
          <w:color w:val="1B355E"/>
          <w:sz w:val="23"/>
        </w:rPr>
        <w:t>수술(신경절제·신경감압)</w:t>
      </w:r>
    </w:p>
    <w:p>
      <w:pPr>
        <w:spacing w:after="60" w:line="259" w:lineRule="auto"/>
        <w:ind w:left="432" w:hanging="317"/>
      </w:pPr>
      <w:r>
        <w:rPr>
          <w:rFonts w:ascii="Calibri" w:hAnsi="Calibri" w:eastAsia="맑은 고딕"/>
          <w:b/>
          <w:color w:val="1F6E70"/>
          <w:sz w:val="20"/>
        </w:rPr>
        <w:t xml:space="preserve">33. </w:t>
      </w:r>
      <w:r>
        <w:rPr>
          <w:rFonts w:ascii="Calibri" w:hAnsi="Calibri" w:eastAsia="맑은 고딕"/>
          <w:b w:val="0"/>
          <w:color w:val="1A202C"/>
          <w:sz w:val="20"/>
        </w:rPr>
        <w:t>Reichert P, Zimmer K, Witkowski J, Wnukiewicz W, Kuliński S, Gosk J. Long-term results of neurectomy through a dorsal approach in the treatment of Morton's neuroma. Adv Clin Exp Med. 2016;25(2):295-302. PMID 27627563.</w:t>
      </w:r>
    </w:p>
    <w:p>
      <w:pPr>
        <w:spacing w:after="60" w:line="259" w:lineRule="auto"/>
        <w:ind w:left="432" w:hanging="317"/>
      </w:pPr>
      <w:r>
        <w:rPr>
          <w:rFonts w:ascii="Calibri" w:hAnsi="Calibri" w:eastAsia="맑은 고딕"/>
          <w:b/>
          <w:color w:val="1F6E70"/>
          <w:sz w:val="20"/>
        </w:rPr>
        <w:t xml:space="preserve">34. </w:t>
      </w:r>
      <w:r>
        <w:rPr>
          <w:rFonts w:ascii="Calibri" w:hAnsi="Calibri" w:eastAsia="맑은 고딕"/>
          <w:b w:val="0"/>
          <w:color w:val="1A202C"/>
          <w:sz w:val="20"/>
        </w:rPr>
        <w:t>Zhang J, Li J, Cai W, et al. Effect of surgical approach on the treatment of Morton's neuroma: a systematic review and meta-analysis. J Foot Ankle Res. 2023;16(1):57. PMID 37674248.</w:t>
      </w:r>
    </w:p>
    <w:p>
      <w:pPr>
        <w:spacing w:after="60" w:line="259" w:lineRule="auto"/>
        <w:ind w:left="432" w:hanging="317"/>
      </w:pPr>
      <w:r>
        <w:rPr>
          <w:rFonts w:ascii="Calibri" w:hAnsi="Calibri" w:eastAsia="맑은 고딕"/>
          <w:b/>
          <w:color w:val="1F6E70"/>
          <w:sz w:val="20"/>
        </w:rPr>
        <w:t xml:space="preserve">35. </w:t>
      </w:r>
      <w:r>
        <w:rPr>
          <w:rFonts w:ascii="Calibri" w:hAnsi="Calibri" w:eastAsia="맑은 고딕"/>
          <w:b w:val="0"/>
          <w:color w:val="1A202C"/>
          <w:sz w:val="20"/>
        </w:rPr>
        <w:t>Habashy A, Sumarriva G, Treuting RJ. Neurectomy outcomes in patients with Morton neuroma: comparison of plantar vs dorsal approaches. Ochsner J. 2016;16(4):471-474. PMID 27999504.</w:t>
      </w:r>
    </w:p>
    <w:p>
      <w:pPr>
        <w:spacing w:after="60" w:line="259" w:lineRule="auto"/>
        <w:ind w:left="432" w:hanging="317"/>
      </w:pPr>
      <w:r>
        <w:rPr>
          <w:rFonts w:ascii="Calibri" w:hAnsi="Calibri" w:eastAsia="맑은 고딕"/>
          <w:b/>
          <w:color w:val="1F6E70"/>
          <w:sz w:val="20"/>
        </w:rPr>
        <w:t xml:space="preserve">36. </w:t>
      </w:r>
      <w:r>
        <w:rPr>
          <w:rFonts w:ascii="Calibri" w:hAnsi="Calibri" w:eastAsia="맑은 고딕"/>
          <w:b w:val="0"/>
          <w:color w:val="1A202C"/>
          <w:sz w:val="20"/>
        </w:rPr>
        <w:t>Choi JY, Hong WH, Kim MJ, Chae SW, Suh JS. Operative treatment options for Morton's neuroma other than neurectomy: a systematic review. Foot Ankle Surg. 2022;28(4). doi:10.1016/j.fas.2021.10.011. PMID 34736848.</w:t>
      </w:r>
    </w:p>
    <w:p>
      <w:pPr>
        <w:spacing w:after="60" w:line="259" w:lineRule="auto"/>
        <w:ind w:left="432" w:hanging="317"/>
      </w:pPr>
      <w:r>
        <w:rPr>
          <w:rFonts w:ascii="Calibri" w:hAnsi="Calibri" w:eastAsia="맑은 고딕"/>
          <w:b/>
          <w:color w:val="1F6E70"/>
          <w:sz w:val="20"/>
        </w:rPr>
        <w:t xml:space="preserve">37. </w:t>
      </w:r>
      <w:r>
        <w:rPr>
          <w:rFonts w:ascii="Calibri" w:hAnsi="Calibri" w:eastAsia="맑은 고딕"/>
          <w:b w:val="0"/>
          <w:color w:val="1A202C"/>
          <w:sz w:val="20"/>
        </w:rPr>
        <w:t>Villas C, Florez B, Alfonso M. Neurectomy versus neurolysis for Morton's neuroma. Foot Ankle Int. 2008;29(6):578-580. PMID 18549753.</w:t>
      </w:r>
    </w:p>
    <w:p>
      <w:pPr>
        <w:spacing w:after="60" w:line="259" w:lineRule="auto"/>
        <w:ind w:left="432" w:hanging="317"/>
      </w:pPr>
      <w:r>
        <w:rPr>
          <w:rFonts w:ascii="Calibri" w:hAnsi="Calibri" w:eastAsia="맑은 고딕"/>
          <w:b/>
          <w:color w:val="1F6E70"/>
          <w:sz w:val="20"/>
        </w:rPr>
        <w:t xml:space="preserve">38. </w:t>
      </w:r>
      <w:r>
        <w:rPr>
          <w:rFonts w:ascii="Calibri" w:hAnsi="Calibri" w:eastAsia="맑은 고딕"/>
          <w:b w:val="0"/>
          <w:color w:val="1A202C"/>
          <w:sz w:val="20"/>
        </w:rPr>
        <w:t>Lu VM, Puffer RC, Everson MC, Gilder HE, Burks SS, Spinner RJ. Treating Morton's neuroma by injection, neurolysis, or neurectomy: a systematic review and meta-analysis of pain and satisfaction outcomes. Acta Neurochir (Wien). 2021;163(2):531-543. doi:10.1007/s00701-020-04241-9.</w:t>
      </w:r>
    </w:p>
    <w:p>
      <w:pPr>
        <w:keepNext/>
        <w:spacing w:before="180" w:after="40"/>
      </w:pPr>
      <w:r>
        <w:rPr>
          <w:rFonts w:ascii="Calibri" w:hAnsi="Calibri" w:eastAsia="맑은 고딕"/>
          <w:b/>
          <w:color w:val="1F6E70"/>
          <w:sz w:val="22"/>
        </w:rPr>
        <w:t xml:space="preserve">▍ </w:t>
      </w:r>
      <w:r>
        <w:rPr>
          <w:rFonts w:ascii="Calibri" w:hAnsi="Calibri" w:eastAsia="맑은 고딕"/>
          <w:b/>
          <w:color w:val="1B355E"/>
          <w:sz w:val="23"/>
        </w:rPr>
        <w:t>감별진단</w:t>
      </w:r>
    </w:p>
    <w:p>
      <w:pPr>
        <w:spacing w:after="60" w:line="259" w:lineRule="auto"/>
        <w:ind w:left="432" w:hanging="317"/>
      </w:pPr>
      <w:r>
        <w:rPr>
          <w:rFonts w:ascii="Calibri" w:hAnsi="Calibri" w:eastAsia="맑은 고딕"/>
          <w:b/>
          <w:color w:val="1F6E70"/>
          <w:sz w:val="20"/>
        </w:rPr>
        <w:t xml:space="preserve">39. </w:t>
      </w:r>
      <w:r>
        <w:rPr>
          <w:rFonts w:ascii="Calibri" w:hAnsi="Calibri" w:eastAsia="맑은 고딕"/>
          <w:b w:val="0"/>
          <w:color w:val="1A202C"/>
          <w:sz w:val="20"/>
        </w:rPr>
        <w:t>Klein EE, Weil L Jr, Weil LS Sr, Bowen M, Fleischer AE. Positive drawer test combined with radiographic deviation of the third metatarsophalangeal joint suggests high grade tear of the second metatarsophalangeal joint plantar plate. Foot Ankle Spec. 2014;7(6):466-470. doi:10.1177/1938640014539810.</w:t>
      </w:r>
    </w:p>
    <w:p>
      <w:pPr>
        <w:spacing w:after="60" w:line="259" w:lineRule="auto"/>
        <w:ind w:left="432" w:hanging="317"/>
      </w:pPr>
      <w:r>
        <w:rPr>
          <w:rFonts w:ascii="Calibri" w:hAnsi="Calibri" w:eastAsia="맑은 고딕"/>
          <w:b/>
          <w:color w:val="1F6E70"/>
          <w:sz w:val="20"/>
        </w:rPr>
        <w:t xml:space="preserve">40. </w:t>
      </w:r>
      <w:r>
        <w:rPr>
          <w:rFonts w:ascii="Calibri" w:hAnsi="Calibri" w:eastAsia="맑은 고딕"/>
          <w:b w:val="0"/>
          <w:color w:val="1A202C"/>
          <w:sz w:val="20"/>
        </w:rPr>
        <w:t>Veith NT, Tschernig T, Histing T, Madry H. Plantar fibromatosis—topical review. Foot Ankle Int. 2013;34(12):1742-1746. PMID 24043350.</w:t>
      </w:r>
    </w:p>
    <w:p>
      <w:pPr>
        <w:spacing w:after="60" w:line="259" w:lineRule="auto"/>
        <w:ind w:left="432" w:hanging="317"/>
      </w:pPr>
      <w:r>
        <w:rPr>
          <w:rFonts w:ascii="Calibri" w:hAnsi="Calibri" w:eastAsia="맑은 고딕"/>
          <w:b/>
          <w:color w:val="1F6E70"/>
          <w:sz w:val="20"/>
        </w:rPr>
        <w:t xml:space="preserve">41. </w:t>
      </w:r>
      <w:r>
        <w:rPr>
          <w:rFonts w:ascii="Calibri" w:hAnsi="Calibri" w:eastAsia="맑은 고딕"/>
          <w:b w:val="0"/>
          <w:color w:val="1A202C"/>
          <w:sz w:val="20"/>
        </w:rPr>
        <w:t>Larsen SB, Søgaard SB, Nielsen MB, Torp-Pedersen ST. Diagnostic considerations of intermetatarsal bursitis: a systematic review. Diagnostics (Basel). 2023;13(2):211. doi:10.3390/diagnostics13020211. PMC9857655.</w:t>
      </w:r>
    </w:p>
    <w:p>
      <w:pPr>
        <w:spacing w:after="60" w:line="259" w:lineRule="auto"/>
        <w:ind w:left="432" w:hanging="317"/>
      </w:pPr>
      <w:r>
        <w:rPr>
          <w:rFonts w:ascii="Calibri" w:hAnsi="Calibri" w:eastAsia="맑은 고딕"/>
          <w:b/>
          <w:color w:val="1F6E70"/>
          <w:sz w:val="20"/>
        </w:rPr>
        <w:t xml:space="preserve">42. </w:t>
      </w:r>
      <w:r>
        <w:rPr>
          <w:rFonts w:ascii="Calibri" w:hAnsi="Calibri" w:eastAsia="맑은 고딕"/>
          <w:b w:val="0"/>
          <w:color w:val="1A202C"/>
          <w:sz w:val="20"/>
        </w:rPr>
        <w:t>Biz C, Maccarone MC, Bonso V, Belluzzi E, Masiero S, Bragazzi NL, Ruggieri P. Conservative treatment of sesamoiditis: a systematic literature review with individual-level pooled data analysis. Medicina (Kaunas). 2025;61(7):1215. doi:10.3390/medicina61071215. PMC12300395.</w:t>
      </w:r>
    </w:p>
    <w:p>
      <w:pPr>
        <w:spacing w:after="60" w:line="259" w:lineRule="auto"/>
        <w:ind w:left="432" w:hanging="317"/>
      </w:pPr>
      <w:r>
        <w:rPr>
          <w:rFonts w:ascii="Calibri" w:hAnsi="Calibri" w:eastAsia="맑은 고딕"/>
          <w:b/>
          <w:color w:val="1F6E70"/>
          <w:sz w:val="20"/>
        </w:rPr>
        <w:t xml:space="preserve">43. </w:t>
      </w:r>
      <w:r>
        <w:rPr>
          <w:rFonts w:ascii="Calibri" w:hAnsi="Calibri" w:eastAsia="맑은 고딕"/>
          <w:b w:val="0"/>
          <w:color w:val="1A202C"/>
          <w:sz w:val="20"/>
        </w:rPr>
        <w:t>Reilly IN, Longhurst B, Vlahovic TC. Surgical excision of intractable plantar keratoses (corns) of the foot: a scoping review. J Am Podiatr Med Assoc. 2023;113(6):22-044. PMID 38175699.</w:t>
      </w:r>
    </w:p>
    <w:p>
      <w:pPr>
        <w:spacing w:after="60" w:line="259" w:lineRule="auto"/>
        <w:ind w:left="432" w:hanging="317"/>
      </w:pPr>
      <w:r>
        <w:rPr>
          <w:rFonts w:ascii="Calibri" w:hAnsi="Calibri" w:eastAsia="맑은 고딕"/>
          <w:b/>
          <w:color w:val="1F6E70"/>
          <w:sz w:val="20"/>
        </w:rPr>
        <w:t xml:space="preserve">44. </w:t>
      </w:r>
      <w:r>
        <w:rPr>
          <w:rFonts w:ascii="Calibri" w:hAnsi="Calibri" w:eastAsia="맑은 고딕"/>
          <w:b w:val="0"/>
          <w:color w:val="1A202C"/>
          <w:sz w:val="20"/>
        </w:rPr>
        <w:t>McSweeney SC, Cichero M. Tarsal tunnel syndrome—a narrative literature review. Foot (Edinb). 2015;26:37-41. PMID 26546070.</w:t>
      </w:r>
    </w:p>
    <w:p>
      <w:pPr>
        <w:spacing w:after="60" w:line="259" w:lineRule="auto"/>
        <w:ind w:left="432" w:hanging="317"/>
      </w:pPr>
      <w:r>
        <w:rPr>
          <w:rFonts w:ascii="Calibri" w:hAnsi="Calibri" w:eastAsia="맑은 고딕"/>
          <w:b/>
          <w:color w:val="1F6E70"/>
          <w:sz w:val="20"/>
        </w:rPr>
        <w:t xml:space="preserve">45. </w:t>
      </w:r>
      <w:r>
        <w:rPr>
          <w:rFonts w:ascii="Calibri" w:hAnsi="Calibri" w:eastAsia="맑은 고딕"/>
          <w:b w:val="0"/>
          <w:color w:val="1A202C"/>
          <w:sz w:val="20"/>
        </w:rPr>
        <w:t>Rinkel WD, Cabezas MC, Birnie E, Hovius SER, Coert JH. Validity of the Tinel sign and prevalence of tibial nerve entrapment at the tarsal tunnel in both diabetic and nondiabetic subjects: a cross-sectional study. Plast Reconstr Surg. 2018;142(5):1258-1266. PMID 30113445.</w:t>
      </w:r>
    </w:p>
    <w:p>
      <w:pPr>
        <w:spacing w:after="60" w:line="259" w:lineRule="auto"/>
        <w:ind w:left="432" w:hanging="317"/>
      </w:pPr>
      <w:r>
        <w:rPr>
          <w:rFonts w:ascii="Calibri" w:hAnsi="Calibri" w:eastAsia="맑은 고딕"/>
          <w:b/>
          <w:color w:val="1F6E70"/>
          <w:sz w:val="20"/>
        </w:rPr>
        <w:t xml:space="preserve">46. </w:t>
      </w:r>
      <w:r>
        <w:rPr>
          <w:rFonts w:ascii="Calibri" w:hAnsi="Calibri" w:eastAsia="맑은 고딕"/>
          <w:b w:val="0"/>
          <w:color w:val="1A202C"/>
          <w:sz w:val="20"/>
        </w:rPr>
        <w:t>García-Oreja S, et al. Efficacy of cryotherapy for plantar warts: a systematic review and meta-analysis. Dermatol Ther. 2022;35(12):e15480. doi:10.1111/dth.15480.</w:t>
      </w:r>
    </w:p>
    <w:p>
      <w:pPr>
        <w:spacing w:after="60" w:line="259" w:lineRule="auto"/>
        <w:ind w:left="432" w:hanging="317"/>
      </w:pPr>
      <w:r>
        <w:rPr>
          <w:rFonts w:ascii="Calibri" w:hAnsi="Calibri" w:eastAsia="맑은 고딕"/>
          <w:b/>
          <w:color w:val="1F6E70"/>
          <w:sz w:val="20"/>
        </w:rPr>
        <w:t xml:space="preserve">47. </w:t>
      </w:r>
      <w:r>
        <w:rPr>
          <w:rFonts w:ascii="Calibri" w:hAnsi="Calibri" w:eastAsia="맑은 고딕"/>
          <w:b w:val="0"/>
          <w:color w:val="1A202C"/>
          <w:sz w:val="20"/>
        </w:rPr>
        <w:t>Ando A, Hatori M, Hagiwara Y, Isefuku S, Itoi E. Imaging features of foreign body granuloma in the lower extremities mimicking a soft tissue neoplasm. Ups J Med Sci. 2009;114(1):46-51. PMID 19242872.</w:t>
      </w:r>
    </w:p>
    <w:p>
      <w:pPr>
        <w:spacing w:after="80" w:line="269" w:lineRule="auto"/>
      </w:pPr>
      <w:r>
        <w:rPr>
          <w:rFonts w:ascii="Calibri" w:hAnsi="Calibri" w:eastAsia="맑은 고딕"/>
          <w:b w:val="0"/>
          <w:color w:val="1A202C"/>
          <w:sz w:val="21"/>
        </w:rPr>
        <w:t>*검증 메모: 서지정보는 WebSearch로 PubMed/PMC/저널을 대조해 정리하고, 각 인용을 적대적 검증(confirmed/corrected)했다. 검증 과정에서 잡아낸 교정 사항 — (a) 여성 우세 근거로 후보였던 DeHeer 2020(J Am Podiatr Med Assoc, PMID 33179062)은 원문이 성별-지간 분포에 '유의차 없음'을 보고해 부적합하여 제외했다. (b) 감별 항목의 저자 오기를 교정(EFORT 리뷰는 Gougoulias 2019, 족저 섬유종은 Veith 2013, 이물 육아종은 Ando 2009/Ups J Med Sci). (c) 주사 항목 Makki 2012(크기-반응)는 원저자·저널이 Mahadevan/Foot Ankle Surg가 아니라 Makki/Foot Ankle Int로 확인·교정. 기관 egress 정책상 NCBI eutils 직접 조회가 차단되어 일부(3·36·38·41·42·46)는 DOI/PMC로 접지하고 숫자형 PMID는 보수적으로 공란 처리했다 — 원문 최종 대조를 권장한다. 조작된 인용은 없다.*</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