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Jane Q. Doe</w:t>
      </w:r>
    </w:p>
    <w:p>
      <w:pPr/>
      <w:r>
        <w:t xml:space="preserve">Professor Alan Rivera</w:t>
      </w:r>
    </w:p>
    <w:p>
      <w:pPr/>
      <w:r>
        <w:t xml:space="preserve">ENGL 101</w:t>
      </w:r>
    </w:p>
    <w:p>
      <w:pPr/>
      <w:r>
        <w:t xml:space="preserve">October 30, 2026</w:t>
      </w:r>
    </w:p>
    <w:p>
      <w:pPr>
        <w:pStyle w:val="Title"/>
      </w:pPr>
      <w:r>
        <w:t xml:space="preserve">the long road: a short history of the bicycle</w:t>
      </w:r>
    </w:p>
    <w:p>
      <w:pPr/>
      <w:r>
        <w:t xml:space="preserve">	The bicycle began as a curious wooden toy and became a common way to travel. Early riders pushed along with their feet, as the historian Smith notes in </w:t>
      </w:r>
      <w:r>
        <w:rPr>
          <w:i/>
        </w:rPr>
        <w:t xml:space="preserve">Two Wheels</w:t>
      </w:r>
      <w:r>
        <w:t xml:space="preserve"> (Smith, 12).</w:t>
      </w:r>
      <w:r>
        <w:rPr>
          <w:rStyle w:val="FootnoteReference"/>
        </w:rPr>
        <w:footnoteReference w:id="1"/>
      </w:r>
    </w:p>
    <w:p>
      <w:pPr/>
      <w:r>
        <w:t xml:space="preserve">Pedals and cranks arrived later and changed everything. Riders could  finally travel without touching the ground, and "the machine felt like flight." (Lopez 45)</w:t>
      </w:r>
    </w:p>
    <w:p>
      <w:pPr/>
      <w:r>
        <w:t xml:space="preserve">Some writers describe the chain drive as the decisive step (Okafor p. 7), while others credit better roads.</w:t>
      </w:r>
    </w:p>
    <w:p>
      <w:pPr>
        <w:ind w:left="720"/>
      </w:pPr>
      <w:r>
        <w:t xml:space="preserve">Many towns built paths, and the bicycle became a symbol of independence for young people across the country.</w:t>
      </w:r>
    </w:p>
    <w:p>
      <w:pPr>
        <w:jc w:val="center"/>
      </w:pPr>
      <w:r>
        <w:t xml:space="preserve">Works Cited</w:t>
      </w:r>
    </w:p>
    <w:p>
      <w:pPr/>
      <w:r>
        <w:t xml:space="preserve">Smith, Henry. </w:t>
      </w:r>
      <w:r>
        <w:rPr>
          <w:i/>
        </w:rPr>
        <w:t xml:space="preserve">Two Wheels: An Invented History</w:t>
      </w:r>
      <w:r>
        <w:t xml:space="preserve">. Placeholder Press, 2001</w:t>
      </w:r>
    </w:p>
    <w:p>
      <w:pPr>
        <w:ind w:left="720" w:hanging="720"/>
      </w:pPr>
      <w:r>
        <w:t xml:space="preserve">Lopez, Maria. "Riding into Town." </w:t>
      </w:r>
      <w:r>
        <w:rPr>
          <w:i/>
        </w:rPr>
        <w:t xml:space="preserve">Journal of Imaginary Transport</w:t>
      </w:r>
      <w:r>
        <w:t xml:space="preserve">, vol. 3, no. 2, 2015, pp. 40-52. https://www.example.com/lopez.</w:t>
      </w:r>
    </w:p>
    <w:p>
      <w:pPr/>
      <w:r>
        <w:t xml:space="preserve">Okafor, Chidi. </w:t>
      </w:r>
      <w:r>
        <w:rPr>
          <w:i/>
        </w:rPr>
        <w:t xml:space="preserve">Chains and Gears</w:t>
      </w:r>
      <w:r>
        <w:t xml:space="preserve">. Sample House, 2010.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All sources in this sample are invented placeholders.</w:t>
      </w:r>
    </w:p>
  </w:footnote>
</w:footnotes>
</file>

<file path=word/styles.xml><?xml version="1.0" encoding="utf-8"?>
<w:styles xmlns:w="http://schemas.openxmlformats.org/wordprocessingml/2006/main">
  <w:style w:type="paragraph" w:styleId="Title">
    <w:name w:val="Title"/>
  </w:style>
  <w:style w:type="character" w:styleId="FootnoteReference">
    <w:name w:val="footnote reference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