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rpbnb Truck Open v2: TMB Benchmark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Program Files\RStudio\resources\app\bin\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report was generated using AI under general human direction. At the time of generation, the contents have not been comprehensively reviewed by a human analyst.</w:t>
            </w:r>
          </w:p>
          <w:p/>
        </w:tc>
      </w:tr>
    </w:tbl>
    <w:bookmarkStart w:id="12" w:name="executive-summary"/>
    <w:p>
      <w:pPr>
        <w:pStyle w:val="Heading1"/>
      </w:pPr>
      <w:r>
        <w:t xml:space="preserve">Executive summary</w:t>
      </w:r>
    </w:p>
    <w:p>
      <w:pPr>
        <w:pStyle w:val="FirstParagraph"/>
      </w:pPr>
      <w:r>
        <w:t xml:space="preserve">This report compares six fits of the truck open-section bivariate negative-binomial random-parameter model. The model specification, data, seed, simulation-draw count, standardization, and LR-test settings were held fixed. Only the TMB estimation method and copula family varied:</w:t>
      </w:r>
    </w:p>
    <w:p>
      <w:pPr>
        <w:pStyle w:val="Compact"/>
        <w:numPr>
          <w:ilvl w:val="0"/>
          <w:numId w:val="1001"/>
        </w:numPr>
      </w:pPr>
      <w:r>
        <w:t xml:space="preserve">estimation method: simulated maximum likelihood (</w:t>
      </w:r>
      <w:r>
        <w:rPr>
          <w:rStyle w:val="VerbatimChar"/>
        </w:rPr>
        <w:t xml:space="preserve">sml</w:t>
      </w:r>
      <w:r>
        <w:t xml:space="preserve">) or Laplace;</w:t>
      </w:r>
    </w:p>
    <w:p>
      <w:pPr>
        <w:pStyle w:val="Compact"/>
        <w:numPr>
          <w:ilvl w:val="0"/>
          <w:numId w:val="1001"/>
        </w:numPr>
      </w:pPr>
      <w:r>
        <w:t xml:space="preserve">dependence: Frank, Kimeldorf, or normal (Gaussian) copula.</w:t>
      </w:r>
    </w:p>
    <w:p>
      <w:pPr>
        <w:pStyle w:val="FirstParagraph"/>
      </w:pPr>
      <w:r>
        <w:t xml:space="preserve">The benchmark used 2,321 observations, 300 Halton draws, 16 requested TMB threads, and 30 estimated parameters per fit. The normal copula achieved the lowest AIC and BIC in both estimation methods, but required substantially more time. Frank was preferred to Kimeldorf among the two non-Gaussian copulas. Main-fit optimizer convergence codes were zero for all six fits.</w:t>
      </w:r>
    </w:p>
    <w:bookmarkEnd w:id="12"/>
    <w:bookmarkStart w:id="13" w:name="goodness-of-fit-and-processing-time"/>
    <w:p>
      <w:pPr>
        <w:pStyle w:val="Heading1"/>
      </w:pPr>
      <w:r>
        <w:t xml:space="preserve">Goodness of fit and processing time</w:t>
      </w:r>
    </w:p>
    <w:p>
      <w:pPr>
        <w:pStyle w:val="FirstParagraph"/>
      </w:pPr>
      <w:r>
        <w:t xml:space="preserve">The table below reports the goodness-of-fit (log-likelihood, AIC, BIC) and processing time (minutes) for each scenario. All six fits use the same 30 parameters, so the information criteria are directly comparable.</w:t>
      </w:r>
    </w:p>
    <w:tbl>
      <w:tblPr>
        <w:tblStyle w:val="Table"/>
        <w:tblW w:type="pct" w:w="5000"/>
        <w:tblLayout w:type="fixed"/>
        <w:tblLook w:firstRow="1" w:lastRow="0" w:firstColumn="0" w:lastColumn="0" w:noHBand="0" w:noVBand="0" w:val="0020"/>
      </w:tblPr>
      <w:tblGrid>
        <w:gridCol w:w="1685"/>
        <w:gridCol w:w="674"/>
        <w:gridCol w:w="842"/>
        <w:gridCol w:w="1263"/>
        <w:gridCol w:w="758"/>
        <w:gridCol w:w="758"/>
        <w:gridCol w:w="926"/>
        <w:gridCol w:w="1011"/>
      </w:tblGrid>
      <w:tr>
        <w:trPr>
          <w:tblHeader w:val="on"/>
        </w:trPr>
        <w:tc>
          <w:tcPr/>
          <w:p>
            <w:pPr>
              <w:pStyle w:val="Compact"/>
              <w:jc w:val="left"/>
            </w:pPr>
            <w:r>
              <w:t xml:space="preserve">Scenario</w:t>
            </w:r>
          </w:p>
        </w:tc>
        <w:tc>
          <w:tcPr/>
          <w:p>
            <w:pPr>
              <w:pStyle w:val="Compact"/>
              <w:jc w:val="left"/>
            </w:pPr>
            <w:r>
              <w:t xml:space="preserve">Method</w:t>
            </w:r>
          </w:p>
        </w:tc>
        <w:tc>
          <w:tcPr/>
          <w:p>
            <w:pPr>
              <w:pStyle w:val="Compact"/>
              <w:jc w:val="left"/>
            </w:pPr>
            <w:r>
              <w:t xml:space="preserve">Copula</w:t>
            </w:r>
          </w:p>
        </w:tc>
        <w:tc>
          <w:tcPr/>
          <w:p>
            <w:pPr>
              <w:pStyle w:val="Compact"/>
              <w:jc w:val="right"/>
            </w:pPr>
            <w:r>
              <w:t xml:space="preserve">Log.likelihood</w:t>
            </w:r>
          </w:p>
        </w:tc>
        <w:tc>
          <w:tcPr/>
          <w:p>
            <w:pPr>
              <w:pStyle w:val="Compact"/>
              <w:jc w:val="right"/>
            </w:pPr>
            <w:r>
              <w:t xml:space="preserve">AIC</w:t>
            </w:r>
          </w:p>
        </w:tc>
        <w:tc>
          <w:tcPr/>
          <w:p>
            <w:pPr>
              <w:pStyle w:val="Compact"/>
              <w:jc w:val="right"/>
            </w:pPr>
            <w:r>
              <w:t xml:space="preserve">BIC</w:t>
            </w:r>
          </w:p>
        </w:tc>
        <w:tc>
          <w:tcPr/>
          <w:p>
            <w:pPr>
              <w:pStyle w:val="Compact"/>
              <w:jc w:val="right"/>
            </w:pPr>
            <w:r>
              <w:t xml:space="preserve">Time..min.</w:t>
            </w:r>
          </w:p>
        </w:tc>
        <w:tc>
          <w:tcPr/>
          <w:p>
            <w:pPr>
              <w:pStyle w:val="Compact"/>
              <w:jc w:val="right"/>
            </w:pPr>
            <w:r>
              <w:t xml:space="preserve">Convergence</w:t>
            </w:r>
          </w:p>
        </w:tc>
      </w:tr>
      <w:tr>
        <w:tc>
          <w:tcPr/>
          <w:p>
            <w:pPr>
              <w:pStyle w:val="Compact"/>
              <w:jc w:val="left"/>
            </w:pPr>
            <w:r>
              <w:t xml:space="preserve">SML + frank</w:t>
            </w:r>
          </w:p>
        </w:tc>
        <w:tc>
          <w:tcPr/>
          <w:p>
            <w:pPr>
              <w:pStyle w:val="Compact"/>
              <w:jc w:val="left"/>
            </w:pPr>
            <w:r>
              <w:t xml:space="preserve">sml</w:t>
            </w:r>
          </w:p>
        </w:tc>
        <w:tc>
          <w:tcPr/>
          <w:p>
            <w:pPr>
              <w:pStyle w:val="Compact"/>
              <w:jc w:val="left"/>
            </w:pPr>
            <w:r>
              <w:t xml:space="preserve">frank</w:t>
            </w:r>
          </w:p>
        </w:tc>
        <w:tc>
          <w:tcPr/>
          <w:p>
            <w:pPr>
              <w:pStyle w:val="Compact"/>
              <w:jc w:val="right"/>
            </w:pPr>
            <w:r>
              <w:t xml:space="preserve">-7675.543</w:t>
            </w:r>
          </w:p>
        </w:tc>
        <w:tc>
          <w:tcPr/>
          <w:p>
            <w:pPr>
              <w:pStyle w:val="Compact"/>
              <w:jc w:val="right"/>
            </w:pPr>
            <w:r>
              <w:t xml:space="preserve">15411.09</w:t>
            </w:r>
          </w:p>
        </w:tc>
        <w:tc>
          <w:tcPr/>
          <w:p>
            <w:pPr>
              <w:pStyle w:val="Compact"/>
              <w:jc w:val="right"/>
            </w:pPr>
            <w:r>
              <w:t xml:space="preserve">15583.58</w:t>
            </w:r>
          </w:p>
        </w:tc>
        <w:tc>
          <w:tcPr/>
          <w:p>
            <w:pPr>
              <w:pStyle w:val="Compact"/>
              <w:jc w:val="right"/>
            </w:pPr>
            <w:r>
              <w:t xml:space="preserve">86.2133</w:t>
            </w:r>
          </w:p>
        </w:tc>
        <w:tc>
          <w:tcPr/>
          <w:p>
            <w:pPr>
              <w:pStyle w:val="Compact"/>
              <w:jc w:val="right"/>
            </w:pPr>
            <w:r>
              <w:t xml:space="preserve">0</w:t>
            </w:r>
          </w:p>
        </w:tc>
      </w:tr>
      <w:tr>
        <w:tc>
          <w:tcPr/>
          <w:p>
            <w:pPr>
              <w:pStyle w:val="Compact"/>
              <w:jc w:val="left"/>
            </w:pPr>
            <w:r>
              <w:t xml:space="preserve">SML + kimeldorf</w:t>
            </w:r>
          </w:p>
        </w:tc>
        <w:tc>
          <w:tcPr/>
          <w:p>
            <w:pPr>
              <w:pStyle w:val="Compact"/>
              <w:jc w:val="left"/>
            </w:pPr>
            <w:r>
              <w:t xml:space="preserve">sml</w:t>
            </w:r>
          </w:p>
        </w:tc>
        <w:tc>
          <w:tcPr/>
          <w:p>
            <w:pPr>
              <w:pStyle w:val="Compact"/>
              <w:jc w:val="left"/>
            </w:pPr>
            <w:r>
              <w:t xml:space="preserve">kimeldorf</w:t>
            </w:r>
          </w:p>
        </w:tc>
        <w:tc>
          <w:tcPr/>
          <w:p>
            <w:pPr>
              <w:pStyle w:val="Compact"/>
              <w:jc w:val="right"/>
            </w:pPr>
            <w:r>
              <w:t xml:space="preserve">-7696.482</w:t>
            </w:r>
          </w:p>
        </w:tc>
        <w:tc>
          <w:tcPr/>
          <w:p>
            <w:pPr>
              <w:pStyle w:val="Compact"/>
              <w:jc w:val="right"/>
            </w:pPr>
            <w:r>
              <w:t xml:space="preserve">15452.96</w:t>
            </w:r>
          </w:p>
        </w:tc>
        <w:tc>
          <w:tcPr/>
          <w:p>
            <w:pPr>
              <w:pStyle w:val="Compact"/>
              <w:jc w:val="right"/>
            </w:pPr>
            <w:r>
              <w:t xml:space="preserve">15625.46</w:t>
            </w:r>
          </w:p>
        </w:tc>
        <w:tc>
          <w:tcPr/>
          <w:p>
            <w:pPr>
              <w:pStyle w:val="Compact"/>
              <w:jc w:val="right"/>
            </w:pPr>
            <w:r>
              <w:t xml:space="preserve">58.7068</w:t>
            </w:r>
          </w:p>
        </w:tc>
        <w:tc>
          <w:tcPr/>
          <w:p>
            <w:pPr>
              <w:pStyle w:val="Compact"/>
              <w:jc w:val="right"/>
            </w:pPr>
            <w:r>
              <w:t xml:space="preserve">0</w:t>
            </w:r>
          </w:p>
        </w:tc>
      </w:tr>
      <w:tr>
        <w:tc>
          <w:tcPr/>
          <w:p>
            <w:pPr>
              <w:pStyle w:val="Compact"/>
              <w:jc w:val="left"/>
            </w:pPr>
            <w:r>
              <w:t xml:space="preserve">SML + normal</w:t>
            </w:r>
          </w:p>
        </w:tc>
        <w:tc>
          <w:tcPr/>
          <w:p>
            <w:pPr>
              <w:pStyle w:val="Compact"/>
              <w:jc w:val="left"/>
            </w:pPr>
            <w:r>
              <w:t xml:space="preserve">sml</w:t>
            </w:r>
          </w:p>
        </w:tc>
        <w:tc>
          <w:tcPr/>
          <w:p>
            <w:pPr>
              <w:pStyle w:val="Compact"/>
              <w:jc w:val="left"/>
            </w:pPr>
            <w:r>
              <w:t xml:space="preserve">normal</w:t>
            </w:r>
          </w:p>
        </w:tc>
        <w:tc>
          <w:tcPr/>
          <w:p>
            <w:pPr>
              <w:pStyle w:val="Compact"/>
              <w:jc w:val="right"/>
            </w:pPr>
            <w:r>
              <w:t xml:space="preserve">-7651.396</w:t>
            </w:r>
          </w:p>
        </w:tc>
        <w:tc>
          <w:tcPr/>
          <w:p>
            <w:pPr>
              <w:pStyle w:val="Compact"/>
              <w:jc w:val="right"/>
            </w:pPr>
            <w:r>
              <w:t xml:space="preserve">15362.79</w:t>
            </w:r>
          </w:p>
        </w:tc>
        <w:tc>
          <w:tcPr/>
          <w:p>
            <w:pPr>
              <w:pStyle w:val="Compact"/>
              <w:jc w:val="right"/>
            </w:pPr>
            <w:r>
              <w:t xml:space="preserve">15535.29</w:t>
            </w:r>
          </w:p>
        </w:tc>
        <w:tc>
          <w:tcPr/>
          <w:p>
            <w:pPr>
              <w:pStyle w:val="Compact"/>
              <w:jc w:val="right"/>
            </w:pPr>
            <w:r>
              <w:t xml:space="preserve">359.0520</w:t>
            </w:r>
          </w:p>
        </w:tc>
        <w:tc>
          <w:tcPr/>
          <w:p>
            <w:pPr>
              <w:pStyle w:val="Compact"/>
              <w:jc w:val="right"/>
            </w:pPr>
            <w:r>
              <w:t xml:space="preserve">0</w:t>
            </w:r>
          </w:p>
        </w:tc>
      </w:tr>
      <w:tr>
        <w:tc>
          <w:tcPr/>
          <w:p>
            <w:pPr>
              <w:pStyle w:val="Compact"/>
              <w:jc w:val="left"/>
            </w:pPr>
            <w:r>
              <w:t xml:space="preserve">LAPLACE + frank</w:t>
            </w:r>
          </w:p>
        </w:tc>
        <w:tc>
          <w:tcPr/>
          <w:p>
            <w:pPr>
              <w:pStyle w:val="Compact"/>
              <w:jc w:val="left"/>
            </w:pPr>
            <w:r>
              <w:t xml:space="preserve">laplace</w:t>
            </w:r>
          </w:p>
        </w:tc>
        <w:tc>
          <w:tcPr/>
          <w:p>
            <w:pPr>
              <w:pStyle w:val="Compact"/>
              <w:jc w:val="left"/>
            </w:pPr>
            <w:r>
              <w:t xml:space="preserve">frank</w:t>
            </w:r>
          </w:p>
        </w:tc>
        <w:tc>
          <w:tcPr/>
          <w:p>
            <w:pPr>
              <w:pStyle w:val="Compact"/>
              <w:jc w:val="right"/>
            </w:pPr>
            <w:r>
              <w:t xml:space="preserve">-7682.265</w:t>
            </w:r>
          </w:p>
        </w:tc>
        <w:tc>
          <w:tcPr/>
          <w:p>
            <w:pPr>
              <w:pStyle w:val="Compact"/>
              <w:jc w:val="right"/>
            </w:pPr>
            <w:r>
              <w:t xml:space="preserve">15424.53</w:t>
            </w:r>
          </w:p>
        </w:tc>
        <w:tc>
          <w:tcPr/>
          <w:p>
            <w:pPr>
              <w:pStyle w:val="Compact"/>
              <w:jc w:val="right"/>
            </w:pPr>
            <w:r>
              <w:t xml:space="preserve">15597.02</w:t>
            </w:r>
          </w:p>
        </w:tc>
        <w:tc>
          <w:tcPr/>
          <w:p>
            <w:pPr>
              <w:pStyle w:val="Compact"/>
              <w:jc w:val="right"/>
            </w:pPr>
            <w:r>
              <w:t xml:space="preserve">72.8450</w:t>
            </w:r>
          </w:p>
        </w:tc>
        <w:tc>
          <w:tcPr/>
          <w:p>
            <w:pPr>
              <w:pStyle w:val="Compact"/>
              <w:jc w:val="right"/>
            </w:pPr>
            <w:r>
              <w:t xml:space="preserve">0</w:t>
            </w:r>
          </w:p>
        </w:tc>
      </w:tr>
      <w:tr>
        <w:tc>
          <w:tcPr/>
          <w:p>
            <w:pPr>
              <w:pStyle w:val="Compact"/>
              <w:jc w:val="left"/>
            </w:pPr>
            <w:r>
              <w:t xml:space="preserve">LAPLACE + kimeldorf</w:t>
            </w:r>
          </w:p>
        </w:tc>
        <w:tc>
          <w:tcPr/>
          <w:p>
            <w:pPr>
              <w:pStyle w:val="Compact"/>
              <w:jc w:val="left"/>
            </w:pPr>
            <w:r>
              <w:t xml:space="preserve">laplace</w:t>
            </w:r>
          </w:p>
        </w:tc>
        <w:tc>
          <w:tcPr/>
          <w:p>
            <w:pPr>
              <w:pStyle w:val="Compact"/>
              <w:jc w:val="left"/>
            </w:pPr>
            <w:r>
              <w:t xml:space="preserve">kimeldorf</w:t>
            </w:r>
          </w:p>
        </w:tc>
        <w:tc>
          <w:tcPr/>
          <w:p>
            <w:pPr>
              <w:pStyle w:val="Compact"/>
              <w:jc w:val="right"/>
            </w:pPr>
            <w:r>
              <w:t xml:space="preserve">-7700.861</w:t>
            </w:r>
          </w:p>
        </w:tc>
        <w:tc>
          <w:tcPr/>
          <w:p>
            <w:pPr>
              <w:pStyle w:val="Compact"/>
              <w:jc w:val="right"/>
            </w:pPr>
            <w:r>
              <w:t xml:space="preserve">15461.72</w:t>
            </w:r>
          </w:p>
        </w:tc>
        <w:tc>
          <w:tcPr/>
          <w:p>
            <w:pPr>
              <w:pStyle w:val="Compact"/>
              <w:jc w:val="right"/>
            </w:pPr>
            <w:r>
              <w:t xml:space="preserve">15634.21</w:t>
            </w:r>
          </w:p>
        </w:tc>
        <w:tc>
          <w:tcPr/>
          <w:p>
            <w:pPr>
              <w:pStyle w:val="Compact"/>
              <w:jc w:val="right"/>
            </w:pPr>
            <w:r>
              <w:t xml:space="preserve">27.0415</w:t>
            </w:r>
          </w:p>
        </w:tc>
        <w:tc>
          <w:tcPr/>
          <w:p>
            <w:pPr>
              <w:pStyle w:val="Compact"/>
              <w:jc w:val="right"/>
            </w:pPr>
            <w:r>
              <w:t xml:space="preserve">0</w:t>
            </w:r>
          </w:p>
        </w:tc>
      </w:tr>
      <w:tr>
        <w:tc>
          <w:tcPr/>
          <w:p>
            <w:pPr>
              <w:pStyle w:val="Compact"/>
              <w:jc w:val="left"/>
            </w:pPr>
            <w:r>
              <w:t xml:space="preserve">LAPLACE + normal</w:t>
            </w:r>
          </w:p>
        </w:tc>
        <w:tc>
          <w:tcPr/>
          <w:p>
            <w:pPr>
              <w:pStyle w:val="Compact"/>
              <w:jc w:val="left"/>
            </w:pPr>
            <w:r>
              <w:t xml:space="preserve">laplace</w:t>
            </w:r>
          </w:p>
        </w:tc>
        <w:tc>
          <w:tcPr/>
          <w:p>
            <w:pPr>
              <w:pStyle w:val="Compact"/>
              <w:jc w:val="left"/>
            </w:pPr>
            <w:r>
              <w:t xml:space="preserve">normal</w:t>
            </w:r>
          </w:p>
        </w:tc>
        <w:tc>
          <w:tcPr/>
          <w:p>
            <w:pPr>
              <w:pStyle w:val="Compact"/>
              <w:jc w:val="right"/>
            </w:pPr>
            <w:r>
              <w:t xml:space="preserve">-7653.403</w:t>
            </w:r>
          </w:p>
        </w:tc>
        <w:tc>
          <w:tcPr/>
          <w:p>
            <w:pPr>
              <w:pStyle w:val="Compact"/>
              <w:jc w:val="right"/>
            </w:pPr>
            <w:r>
              <w:t xml:space="preserve">15366.81</w:t>
            </w:r>
          </w:p>
        </w:tc>
        <w:tc>
          <w:tcPr/>
          <w:p>
            <w:pPr>
              <w:pStyle w:val="Compact"/>
              <w:jc w:val="right"/>
            </w:pPr>
            <w:r>
              <w:t xml:space="preserve">15539.30</w:t>
            </w:r>
          </w:p>
        </w:tc>
        <w:tc>
          <w:tcPr/>
          <w:p>
            <w:pPr>
              <w:pStyle w:val="Compact"/>
              <w:jc w:val="right"/>
            </w:pPr>
            <w:r>
              <w:t xml:space="preserve">625.2157</w:t>
            </w:r>
          </w:p>
        </w:tc>
        <w:tc>
          <w:tcPr/>
          <w:p>
            <w:pPr>
              <w:pStyle w:val="Compact"/>
              <w:jc w:val="right"/>
            </w:pPr>
            <w:r>
              <w:t xml:space="preserve">0</w:t>
            </w:r>
          </w:p>
        </w:tc>
      </w:tr>
    </w:tbl>
    <w:p>
      <w:pPr>
        <w:pStyle w:val="BodyText"/>
      </w:pPr>
      <w:r>
        <w:t xml:space="preserve">The normal copula produced the best information-criterion values under both methods. The SML normal fit had AIC 15,362.79 and BIC 15,535.29; the Laplace normal fit had AIC 15,366.81 and BIC 15,539.30. The corresponding Frank and Kimeldorf models had higher AIC and BIC values. Processing time followed the same ordering: the normal copula was the slowest under both methods, and the Kimeldorf Laplace fit was the fastest overall.</w:t>
      </w:r>
    </w:p>
    <w:bookmarkEnd w:id="13"/>
    <w:bookmarkStart w:id="14" w:name="coefficient-differences-across-scenarios"/>
    <w:p>
      <w:pPr>
        <w:pStyle w:val="Heading1"/>
      </w:pPr>
      <w:r>
        <w:t xml:space="preserve">Coefficient differences across scenarios</w:t>
      </w:r>
    </w:p>
    <w:p>
      <w:pPr>
        <w:pStyle w:val="FirstParagraph"/>
      </w:pPr>
      <w:r>
        <w:t xml:space="preserve">The table below reports the relative difference, in percent, of each coefficient across the six scenarios. Each cell shows how far the scenario’s coefficient moves, as a percentage, from the corresponding Frank reference under the same estimation method: the SML + Frank fit is the reference for the SML rows and the Laplace + Frank fit is the reference for the Laplace rows (hence the Frank columns are 0). Values are rounded to 4 decimals.</w:t>
      </w:r>
    </w:p>
    <w:tbl>
      <w:tblPr>
        <w:tblStyle w:val="Table"/>
        <w:tblW w:type="pct" w:w="5000"/>
        <w:tblLayout w:type="fixed"/>
        <w:tblLook w:firstRow="1" w:lastRow="0" w:firstColumn="0" w:lastColumn="0" w:noHBand="0" w:noVBand="0" w:val="0020"/>
      </w:tblPr>
      <w:tblGrid>
        <w:gridCol w:w="1359"/>
        <w:gridCol w:w="799"/>
        <w:gridCol w:w="1119"/>
        <w:gridCol w:w="879"/>
        <w:gridCol w:w="1119"/>
        <w:gridCol w:w="1439"/>
        <w:gridCol w:w="1199"/>
      </w:tblGrid>
      <w:tr>
        <w:trPr>
          <w:tblHeader w:val="on"/>
        </w:trPr>
        <w:tc>
          <w:tcPr/>
          <w:p>
            <w:pPr>
              <w:pStyle w:val="Compact"/>
              <w:jc w:val="left"/>
            </w:pPr>
            <w:r>
              <w:t xml:space="preserve">Parameter</w:t>
            </w:r>
          </w:p>
        </w:tc>
        <w:tc>
          <w:tcPr/>
          <w:p>
            <w:pPr>
              <w:pStyle w:val="Compact"/>
              <w:jc w:val="right"/>
            </w:pPr>
            <w:r>
              <w:t xml:space="preserve">SML.Frank</w:t>
            </w:r>
          </w:p>
        </w:tc>
        <w:tc>
          <w:tcPr/>
          <w:p>
            <w:pPr>
              <w:pStyle w:val="Compact"/>
              <w:jc w:val="right"/>
            </w:pPr>
            <w:r>
              <w:t xml:space="preserve">SML.Kimeldorf</w:t>
            </w:r>
          </w:p>
        </w:tc>
        <w:tc>
          <w:tcPr/>
          <w:p>
            <w:pPr>
              <w:pStyle w:val="Compact"/>
              <w:jc w:val="right"/>
            </w:pPr>
            <w:r>
              <w:t xml:space="preserve">SML.Normal</w:t>
            </w:r>
          </w:p>
        </w:tc>
        <w:tc>
          <w:tcPr/>
          <w:p>
            <w:pPr>
              <w:pStyle w:val="Compact"/>
              <w:jc w:val="right"/>
            </w:pPr>
            <w:r>
              <w:t xml:space="preserve">Laplace.Frank</w:t>
            </w:r>
          </w:p>
        </w:tc>
        <w:tc>
          <w:tcPr/>
          <w:p>
            <w:pPr>
              <w:pStyle w:val="Compact"/>
              <w:jc w:val="right"/>
            </w:pPr>
            <w:r>
              <w:t xml:space="preserve">Laplace.Kimeldorf</w:t>
            </w:r>
          </w:p>
        </w:tc>
        <w:tc>
          <w:tcPr/>
          <w:p>
            <w:pPr>
              <w:pStyle w:val="Compact"/>
              <w:jc w:val="right"/>
            </w:pPr>
            <w:r>
              <w:t xml:space="preserve">Laplace.Normal</w:t>
            </w:r>
          </w:p>
        </w:tc>
      </w:tr>
      <w:tr>
        <w:tc>
          <w:tcPr/>
          <w:p>
            <w:pPr>
              <w:pStyle w:val="Compact"/>
              <w:jc w:val="left"/>
            </w:pPr>
            <w:r>
              <w:t xml:space="preserve">b1:(Intercept)</w:t>
            </w:r>
          </w:p>
        </w:tc>
        <w:tc>
          <w:tcPr/>
          <w:p>
            <w:pPr>
              <w:pStyle w:val="Compact"/>
              <w:jc w:val="right"/>
            </w:pPr>
            <w:r>
              <w:t xml:space="preserve">0</w:t>
            </w:r>
          </w:p>
        </w:tc>
        <w:tc>
          <w:tcPr/>
          <w:p>
            <w:pPr>
              <w:pStyle w:val="Compact"/>
              <w:jc w:val="right"/>
            </w:pPr>
            <w:r>
              <w:t xml:space="preserve">-0.3837</w:t>
            </w:r>
          </w:p>
        </w:tc>
        <w:tc>
          <w:tcPr/>
          <w:p>
            <w:pPr>
              <w:pStyle w:val="Compact"/>
              <w:jc w:val="right"/>
            </w:pPr>
            <w:r>
              <w:t xml:space="preserve">-1.1341</w:t>
            </w:r>
          </w:p>
        </w:tc>
        <w:tc>
          <w:tcPr/>
          <w:p>
            <w:pPr>
              <w:pStyle w:val="Compact"/>
              <w:jc w:val="right"/>
            </w:pPr>
            <w:r>
              <w:t xml:space="preserve">0</w:t>
            </w:r>
          </w:p>
        </w:tc>
        <w:tc>
          <w:tcPr/>
          <w:p>
            <w:pPr>
              <w:pStyle w:val="Compact"/>
              <w:jc w:val="right"/>
            </w:pPr>
            <w:r>
              <w:t xml:space="preserve">-0.6746</w:t>
            </w:r>
          </w:p>
        </w:tc>
        <w:tc>
          <w:tcPr/>
          <w:p>
            <w:pPr>
              <w:pStyle w:val="Compact"/>
              <w:jc w:val="right"/>
            </w:pPr>
            <w:r>
              <w:t xml:space="preserve">-1.9882</w:t>
            </w:r>
          </w:p>
        </w:tc>
      </w:tr>
      <w:tr>
        <w:tc>
          <w:tcPr/>
          <w:p>
            <w:pPr>
              <w:pStyle w:val="Compact"/>
              <w:jc w:val="left"/>
            </w:pPr>
            <w:r>
              <w:t xml:space="preserve">b1:SR40_MI3</w:t>
            </w:r>
          </w:p>
        </w:tc>
        <w:tc>
          <w:tcPr/>
          <w:p>
            <w:pPr>
              <w:pStyle w:val="Compact"/>
              <w:jc w:val="right"/>
            </w:pPr>
            <w:r>
              <w:t xml:space="preserve">0</w:t>
            </w:r>
          </w:p>
        </w:tc>
        <w:tc>
          <w:tcPr/>
          <w:p>
            <w:pPr>
              <w:pStyle w:val="Compact"/>
              <w:jc w:val="right"/>
            </w:pPr>
            <w:r>
              <w:t xml:space="preserve">2.4098</w:t>
            </w:r>
          </w:p>
        </w:tc>
        <w:tc>
          <w:tcPr/>
          <w:p>
            <w:pPr>
              <w:pStyle w:val="Compact"/>
              <w:jc w:val="right"/>
            </w:pPr>
            <w:r>
              <w:t xml:space="preserve">-8.2356</w:t>
            </w:r>
          </w:p>
        </w:tc>
        <w:tc>
          <w:tcPr/>
          <w:p>
            <w:pPr>
              <w:pStyle w:val="Compact"/>
              <w:jc w:val="right"/>
            </w:pPr>
            <w:r>
              <w:t xml:space="preserve">0</w:t>
            </w:r>
          </w:p>
        </w:tc>
        <w:tc>
          <w:tcPr/>
          <w:p>
            <w:pPr>
              <w:pStyle w:val="Compact"/>
              <w:jc w:val="right"/>
            </w:pPr>
            <w:r>
              <w:t xml:space="preserve">2.9688</w:t>
            </w:r>
          </w:p>
        </w:tc>
        <w:tc>
          <w:tcPr/>
          <w:p>
            <w:pPr>
              <w:pStyle w:val="Compact"/>
              <w:jc w:val="right"/>
            </w:pPr>
            <w:r>
              <w:t xml:space="preserve">-7.8645</w:t>
            </w:r>
          </w:p>
        </w:tc>
      </w:tr>
      <w:tr>
        <w:tc>
          <w:tcPr/>
          <w:p>
            <w:pPr>
              <w:pStyle w:val="Compact"/>
              <w:jc w:val="left"/>
            </w:pPr>
            <w:r>
              <w:t xml:space="preserve">b1:MPD_ME</w:t>
            </w:r>
          </w:p>
        </w:tc>
        <w:tc>
          <w:tcPr/>
          <w:p>
            <w:pPr>
              <w:pStyle w:val="Compact"/>
              <w:jc w:val="right"/>
            </w:pPr>
            <w:r>
              <w:t xml:space="preserve">0</w:t>
            </w:r>
          </w:p>
        </w:tc>
        <w:tc>
          <w:tcPr/>
          <w:p>
            <w:pPr>
              <w:pStyle w:val="Compact"/>
              <w:jc w:val="right"/>
            </w:pPr>
            <w:r>
              <w:t xml:space="preserve">-4.8632</w:t>
            </w:r>
          </w:p>
        </w:tc>
        <w:tc>
          <w:tcPr/>
          <w:p>
            <w:pPr>
              <w:pStyle w:val="Compact"/>
              <w:jc w:val="right"/>
            </w:pPr>
            <w:r>
              <w:t xml:space="preserve">-3.8999</w:t>
            </w:r>
          </w:p>
        </w:tc>
        <w:tc>
          <w:tcPr/>
          <w:p>
            <w:pPr>
              <w:pStyle w:val="Compact"/>
              <w:jc w:val="right"/>
            </w:pPr>
            <w:r>
              <w:t xml:space="preserve">0</w:t>
            </w:r>
          </w:p>
        </w:tc>
        <w:tc>
          <w:tcPr/>
          <w:p>
            <w:pPr>
              <w:pStyle w:val="Compact"/>
              <w:jc w:val="right"/>
            </w:pPr>
            <w:r>
              <w:t xml:space="preserve">-7.4210</w:t>
            </w:r>
          </w:p>
        </w:tc>
        <w:tc>
          <w:tcPr/>
          <w:p>
            <w:pPr>
              <w:pStyle w:val="Compact"/>
              <w:jc w:val="right"/>
            </w:pPr>
            <w:r>
              <w:t xml:space="preserve">-4.4433</w:t>
            </w:r>
          </w:p>
        </w:tc>
      </w:tr>
      <w:tr>
        <w:tc>
          <w:tcPr/>
          <w:p>
            <w:pPr>
              <w:pStyle w:val="Compact"/>
              <w:jc w:val="left"/>
            </w:pPr>
            <w:r>
              <w:t xml:space="preserve">b1:LNAADT_3</w:t>
            </w:r>
          </w:p>
        </w:tc>
        <w:tc>
          <w:tcPr/>
          <w:p>
            <w:pPr>
              <w:pStyle w:val="Compact"/>
              <w:jc w:val="right"/>
            </w:pPr>
            <w:r>
              <w:t xml:space="preserve">0</w:t>
            </w:r>
          </w:p>
        </w:tc>
        <w:tc>
          <w:tcPr/>
          <w:p>
            <w:pPr>
              <w:pStyle w:val="Compact"/>
              <w:jc w:val="right"/>
            </w:pPr>
            <w:r>
              <w:t xml:space="preserve">-0.6644</w:t>
            </w:r>
          </w:p>
        </w:tc>
        <w:tc>
          <w:tcPr/>
          <w:p>
            <w:pPr>
              <w:pStyle w:val="Compact"/>
              <w:jc w:val="right"/>
            </w:pPr>
            <w:r>
              <w:t xml:space="preserve">-0.8269</w:t>
            </w:r>
          </w:p>
        </w:tc>
        <w:tc>
          <w:tcPr/>
          <w:p>
            <w:pPr>
              <w:pStyle w:val="Compact"/>
              <w:jc w:val="right"/>
            </w:pPr>
            <w:r>
              <w:t xml:space="preserve">0</w:t>
            </w:r>
          </w:p>
        </w:tc>
        <w:tc>
          <w:tcPr/>
          <w:p>
            <w:pPr>
              <w:pStyle w:val="Compact"/>
              <w:jc w:val="right"/>
            </w:pPr>
            <w:r>
              <w:t xml:space="preserve">-0.6744</w:t>
            </w:r>
          </w:p>
        </w:tc>
        <w:tc>
          <w:tcPr/>
          <w:p>
            <w:pPr>
              <w:pStyle w:val="Compact"/>
              <w:jc w:val="right"/>
            </w:pPr>
            <w:r>
              <w:t xml:space="preserve">-0.9466</w:t>
            </w:r>
          </w:p>
        </w:tc>
      </w:tr>
      <w:tr>
        <w:tc>
          <w:tcPr/>
          <w:p>
            <w:pPr>
              <w:pStyle w:val="Compact"/>
              <w:jc w:val="left"/>
            </w:pPr>
            <w:r>
              <w:t xml:space="preserve">b1:IRI_ME</w:t>
            </w:r>
          </w:p>
        </w:tc>
        <w:tc>
          <w:tcPr/>
          <w:p>
            <w:pPr>
              <w:pStyle w:val="Compact"/>
              <w:jc w:val="right"/>
            </w:pPr>
            <w:r>
              <w:t xml:space="preserve">0</w:t>
            </w:r>
          </w:p>
        </w:tc>
        <w:tc>
          <w:tcPr/>
          <w:p>
            <w:pPr>
              <w:pStyle w:val="Compact"/>
              <w:jc w:val="right"/>
            </w:pPr>
            <w:r>
              <w:t xml:space="preserve">6.8679</w:t>
            </w:r>
          </w:p>
        </w:tc>
        <w:tc>
          <w:tcPr/>
          <w:p>
            <w:pPr>
              <w:pStyle w:val="Compact"/>
              <w:jc w:val="right"/>
            </w:pPr>
            <w:r>
              <w:t xml:space="preserve">-1.2795</w:t>
            </w:r>
          </w:p>
        </w:tc>
        <w:tc>
          <w:tcPr/>
          <w:p>
            <w:pPr>
              <w:pStyle w:val="Compact"/>
              <w:jc w:val="right"/>
            </w:pPr>
            <w:r>
              <w:t xml:space="preserve">0</w:t>
            </w:r>
          </w:p>
        </w:tc>
        <w:tc>
          <w:tcPr/>
          <w:p>
            <w:pPr>
              <w:pStyle w:val="Compact"/>
              <w:jc w:val="right"/>
            </w:pPr>
            <w:r>
              <w:t xml:space="preserve">5.0447</w:t>
            </w:r>
          </w:p>
        </w:tc>
        <w:tc>
          <w:tcPr/>
          <w:p>
            <w:pPr>
              <w:pStyle w:val="Compact"/>
              <w:jc w:val="right"/>
            </w:pPr>
            <w:r>
              <w:t xml:space="preserve">-2.2780</w:t>
            </w:r>
          </w:p>
        </w:tc>
      </w:tr>
      <w:tr>
        <w:tc>
          <w:tcPr/>
          <w:p>
            <w:pPr>
              <w:pStyle w:val="Compact"/>
              <w:jc w:val="left"/>
            </w:pPr>
            <w:r>
              <w:t xml:space="preserve">b1:G_ABG2</w:t>
            </w:r>
          </w:p>
        </w:tc>
        <w:tc>
          <w:tcPr/>
          <w:p>
            <w:pPr>
              <w:pStyle w:val="Compact"/>
              <w:jc w:val="right"/>
            </w:pPr>
            <w:r>
              <w:t xml:space="preserve">0</w:t>
            </w:r>
          </w:p>
        </w:tc>
        <w:tc>
          <w:tcPr/>
          <w:p>
            <w:pPr>
              <w:pStyle w:val="Compact"/>
              <w:jc w:val="right"/>
            </w:pPr>
            <w:r>
              <w:t xml:space="preserve">-10.1232</w:t>
            </w:r>
          </w:p>
        </w:tc>
        <w:tc>
          <w:tcPr/>
          <w:p>
            <w:pPr>
              <w:pStyle w:val="Compact"/>
              <w:jc w:val="right"/>
            </w:pPr>
            <w:r>
              <w:t xml:space="preserve">-0.8184</w:t>
            </w:r>
          </w:p>
        </w:tc>
        <w:tc>
          <w:tcPr/>
          <w:p>
            <w:pPr>
              <w:pStyle w:val="Compact"/>
              <w:jc w:val="right"/>
            </w:pPr>
            <w:r>
              <w:t xml:space="preserve">0</w:t>
            </w:r>
          </w:p>
        </w:tc>
        <w:tc>
          <w:tcPr/>
          <w:p>
            <w:pPr>
              <w:pStyle w:val="Compact"/>
              <w:jc w:val="right"/>
            </w:pPr>
            <w:r>
              <w:t xml:space="preserve">-8.6420</w:t>
            </w:r>
          </w:p>
        </w:tc>
        <w:tc>
          <w:tcPr/>
          <w:p>
            <w:pPr>
              <w:pStyle w:val="Compact"/>
              <w:jc w:val="right"/>
            </w:pPr>
            <w:r>
              <w:t xml:space="preserve">0.9248</w:t>
            </w:r>
          </w:p>
        </w:tc>
      </w:tr>
      <w:tr>
        <w:tc>
          <w:tcPr/>
          <w:p>
            <w:pPr>
              <w:pStyle w:val="Compact"/>
              <w:jc w:val="left"/>
            </w:pPr>
            <w:r>
              <w:t xml:space="preserve">b1:SP50LE</w:t>
            </w:r>
          </w:p>
        </w:tc>
        <w:tc>
          <w:tcPr/>
          <w:p>
            <w:pPr>
              <w:pStyle w:val="Compact"/>
              <w:jc w:val="right"/>
            </w:pPr>
            <w:r>
              <w:t xml:space="preserve">0</w:t>
            </w:r>
          </w:p>
        </w:tc>
        <w:tc>
          <w:tcPr/>
          <w:p>
            <w:pPr>
              <w:pStyle w:val="Compact"/>
              <w:jc w:val="right"/>
            </w:pPr>
            <w:r>
              <w:t xml:space="preserve">1.2333</w:t>
            </w:r>
          </w:p>
        </w:tc>
        <w:tc>
          <w:tcPr/>
          <w:p>
            <w:pPr>
              <w:pStyle w:val="Compact"/>
              <w:jc w:val="right"/>
            </w:pPr>
            <w:r>
              <w:t xml:space="preserve">-4.1891</w:t>
            </w:r>
          </w:p>
        </w:tc>
        <w:tc>
          <w:tcPr/>
          <w:p>
            <w:pPr>
              <w:pStyle w:val="Compact"/>
              <w:jc w:val="right"/>
            </w:pPr>
            <w:r>
              <w:t xml:space="preserve">0</w:t>
            </w:r>
          </w:p>
        </w:tc>
        <w:tc>
          <w:tcPr/>
          <w:p>
            <w:pPr>
              <w:pStyle w:val="Compact"/>
              <w:jc w:val="right"/>
            </w:pPr>
            <w:r>
              <w:t xml:space="preserve">2.1960</w:t>
            </w:r>
          </w:p>
        </w:tc>
        <w:tc>
          <w:tcPr/>
          <w:p>
            <w:pPr>
              <w:pStyle w:val="Compact"/>
              <w:jc w:val="right"/>
            </w:pPr>
            <w:r>
              <w:t xml:space="preserve">-2.6534</w:t>
            </w:r>
          </w:p>
        </w:tc>
      </w:tr>
      <w:tr>
        <w:tc>
          <w:tcPr/>
          <w:p>
            <w:pPr>
              <w:pStyle w:val="Compact"/>
              <w:jc w:val="left"/>
            </w:pPr>
            <w:r>
              <w:t xml:space="preserve">b1:ACCPNTS</w:t>
            </w:r>
          </w:p>
        </w:tc>
        <w:tc>
          <w:tcPr/>
          <w:p>
            <w:pPr>
              <w:pStyle w:val="Compact"/>
              <w:jc w:val="right"/>
            </w:pPr>
            <w:r>
              <w:t xml:space="preserve">0</w:t>
            </w:r>
          </w:p>
        </w:tc>
        <w:tc>
          <w:tcPr/>
          <w:p>
            <w:pPr>
              <w:pStyle w:val="Compact"/>
              <w:jc w:val="right"/>
            </w:pPr>
            <w:r>
              <w:t xml:space="preserve">0.8138</w:t>
            </w:r>
          </w:p>
        </w:tc>
        <w:tc>
          <w:tcPr/>
          <w:p>
            <w:pPr>
              <w:pStyle w:val="Compact"/>
              <w:jc w:val="right"/>
            </w:pPr>
            <w:r>
              <w:t xml:space="preserve">-0.3242</w:t>
            </w:r>
          </w:p>
        </w:tc>
        <w:tc>
          <w:tcPr/>
          <w:p>
            <w:pPr>
              <w:pStyle w:val="Compact"/>
              <w:jc w:val="right"/>
            </w:pPr>
            <w:r>
              <w:t xml:space="preserve">0</w:t>
            </w:r>
          </w:p>
        </w:tc>
        <w:tc>
          <w:tcPr/>
          <w:p>
            <w:pPr>
              <w:pStyle w:val="Compact"/>
              <w:jc w:val="right"/>
            </w:pPr>
            <w:r>
              <w:t xml:space="preserve">1.3587</w:t>
            </w:r>
          </w:p>
        </w:tc>
        <w:tc>
          <w:tcPr/>
          <w:p>
            <w:pPr>
              <w:pStyle w:val="Compact"/>
              <w:jc w:val="right"/>
            </w:pPr>
            <w:r>
              <w:t xml:space="preserve">0.3947</w:t>
            </w:r>
          </w:p>
        </w:tc>
      </w:tr>
      <w:tr>
        <w:tc>
          <w:tcPr/>
          <w:p>
            <w:pPr>
              <w:pStyle w:val="Compact"/>
              <w:jc w:val="left"/>
            </w:pPr>
            <w:r>
              <w:t xml:space="preserve">b1:SIGNAL1</w:t>
            </w:r>
          </w:p>
        </w:tc>
        <w:tc>
          <w:tcPr/>
          <w:p>
            <w:pPr>
              <w:pStyle w:val="Compact"/>
              <w:jc w:val="right"/>
            </w:pPr>
            <w:r>
              <w:t xml:space="preserve">0</w:t>
            </w:r>
          </w:p>
        </w:tc>
        <w:tc>
          <w:tcPr/>
          <w:p>
            <w:pPr>
              <w:pStyle w:val="Compact"/>
              <w:jc w:val="right"/>
            </w:pPr>
            <w:r>
              <w:t xml:space="preserve">-7.2630</w:t>
            </w:r>
          </w:p>
        </w:tc>
        <w:tc>
          <w:tcPr/>
          <w:p>
            <w:pPr>
              <w:pStyle w:val="Compact"/>
              <w:jc w:val="right"/>
            </w:pPr>
            <w:r>
              <w:t xml:space="preserve">-0.0629</w:t>
            </w:r>
          </w:p>
        </w:tc>
        <w:tc>
          <w:tcPr/>
          <w:p>
            <w:pPr>
              <w:pStyle w:val="Compact"/>
              <w:jc w:val="right"/>
            </w:pPr>
            <w:r>
              <w:t xml:space="preserve">0</w:t>
            </w:r>
          </w:p>
        </w:tc>
        <w:tc>
          <w:tcPr/>
          <w:p>
            <w:pPr>
              <w:pStyle w:val="Compact"/>
              <w:jc w:val="right"/>
            </w:pPr>
            <w:r>
              <w:t xml:space="preserve">-6.6825</w:t>
            </w:r>
          </w:p>
        </w:tc>
        <w:tc>
          <w:tcPr/>
          <w:p>
            <w:pPr>
              <w:pStyle w:val="Compact"/>
              <w:jc w:val="right"/>
            </w:pPr>
            <w:r>
              <w:t xml:space="preserve">0.1509</w:t>
            </w:r>
          </w:p>
        </w:tc>
      </w:tr>
      <w:tr>
        <w:tc>
          <w:tcPr/>
          <w:p>
            <w:pPr>
              <w:pStyle w:val="Compact"/>
              <w:jc w:val="left"/>
            </w:pPr>
            <w:r>
              <w:t xml:space="preserve">b1:NEAR_SIG</w:t>
            </w:r>
          </w:p>
        </w:tc>
        <w:tc>
          <w:tcPr/>
          <w:p>
            <w:pPr>
              <w:pStyle w:val="Compact"/>
              <w:jc w:val="right"/>
            </w:pPr>
            <w:r>
              <w:t xml:space="preserve">0</w:t>
            </w:r>
          </w:p>
        </w:tc>
        <w:tc>
          <w:tcPr/>
          <w:p>
            <w:pPr>
              <w:pStyle w:val="Compact"/>
              <w:jc w:val="right"/>
            </w:pPr>
            <w:r>
              <w:t xml:space="preserve">-5.9948</w:t>
            </w:r>
          </w:p>
        </w:tc>
        <w:tc>
          <w:tcPr/>
          <w:p>
            <w:pPr>
              <w:pStyle w:val="Compact"/>
              <w:jc w:val="right"/>
            </w:pPr>
            <w:r>
              <w:t xml:space="preserve">-1.4948</w:t>
            </w:r>
          </w:p>
        </w:tc>
        <w:tc>
          <w:tcPr/>
          <w:p>
            <w:pPr>
              <w:pStyle w:val="Compact"/>
              <w:jc w:val="right"/>
            </w:pPr>
            <w:r>
              <w:t xml:space="preserve">0</w:t>
            </w:r>
          </w:p>
        </w:tc>
        <w:tc>
          <w:tcPr/>
          <w:p>
            <w:pPr>
              <w:pStyle w:val="Compact"/>
              <w:jc w:val="right"/>
            </w:pPr>
            <w:r>
              <w:t xml:space="preserve">-5.2144</w:t>
            </w:r>
          </w:p>
        </w:tc>
        <w:tc>
          <w:tcPr/>
          <w:p>
            <w:pPr>
              <w:pStyle w:val="Compact"/>
              <w:jc w:val="right"/>
            </w:pPr>
            <w:r>
              <w:t xml:space="preserve">0.5469</w:t>
            </w:r>
          </w:p>
        </w:tc>
      </w:tr>
      <w:tr>
        <w:tc>
          <w:tcPr/>
          <w:p>
            <w:pPr>
              <w:pStyle w:val="Compact"/>
              <w:jc w:val="left"/>
            </w:pPr>
            <w:r>
              <w:t xml:space="preserve">b1:CS_MINAB</w:t>
            </w:r>
          </w:p>
        </w:tc>
        <w:tc>
          <w:tcPr/>
          <w:p>
            <w:pPr>
              <w:pStyle w:val="Compact"/>
              <w:jc w:val="right"/>
            </w:pPr>
            <w:r>
              <w:t xml:space="preserve">0</w:t>
            </w:r>
          </w:p>
        </w:tc>
        <w:tc>
          <w:tcPr/>
          <w:p>
            <w:pPr>
              <w:pStyle w:val="Compact"/>
              <w:jc w:val="right"/>
            </w:pPr>
            <w:r>
              <w:t xml:space="preserve">-4.8513</w:t>
            </w:r>
          </w:p>
        </w:tc>
        <w:tc>
          <w:tcPr/>
          <w:p>
            <w:pPr>
              <w:pStyle w:val="Compact"/>
              <w:jc w:val="right"/>
            </w:pPr>
            <w:r>
              <w:t xml:space="preserve">-0.4777</w:t>
            </w:r>
          </w:p>
        </w:tc>
        <w:tc>
          <w:tcPr/>
          <w:p>
            <w:pPr>
              <w:pStyle w:val="Compact"/>
              <w:jc w:val="right"/>
            </w:pPr>
            <w:r>
              <w:t xml:space="preserve">0</w:t>
            </w:r>
          </w:p>
        </w:tc>
        <w:tc>
          <w:tcPr/>
          <w:p>
            <w:pPr>
              <w:pStyle w:val="Compact"/>
              <w:jc w:val="right"/>
            </w:pPr>
            <w:r>
              <w:t xml:space="preserve">-4.8157</w:t>
            </w:r>
          </w:p>
        </w:tc>
        <w:tc>
          <w:tcPr/>
          <w:p>
            <w:pPr>
              <w:pStyle w:val="Compact"/>
              <w:jc w:val="right"/>
            </w:pPr>
            <w:r>
              <w:t xml:space="preserve">0.1867</w:t>
            </w:r>
          </w:p>
        </w:tc>
      </w:tr>
      <w:tr>
        <w:tc>
          <w:tcPr/>
          <w:p>
            <w:pPr>
              <w:pStyle w:val="Compact"/>
              <w:jc w:val="left"/>
            </w:pPr>
            <w:r>
              <w:t xml:space="preserve">b1:DP10_ME</w:t>
            </w:r>
          </w:p>
        </w:tc>
        <w:tc>
          <w:tcPr/>
          <w:p>
            <w:pPr>
              <w:pStyle w:val="Compact"/>
              <w:jc w:val="right"/>
            </w:pPr>
            <w:r>
              <w:t xml:space="preserve">0</w:t>
            </w:r>
          </w:p>
        </w:tc>
        <w:tc>
          <w:tcPr/>
          <w:p>
            <w:pPr>
              <w:pStyle w:val="Compact"/>
              <w:jc w:val="right"/>
            </w:pPr>
            <w:r>
              <w:t xml:space="preserve">3.2102</w:t>
            </w:r>
          </w:p>
        </w:tc>
        <w:tc>
          <w:tcPr/>
          <w:p>
            <w:pPr>
              <w:pStyle w:val="Compact"/>
              <w:jc w:val="right"/>
            </w:pPr>
            <w:r>
              <w:t xml:space="preserve">13.8787</w:t>
            </w:r>
          </w:p>
        </w:tc>
        <w:tc>
          <w:tcPr/>
          <w:p>
            <w:pPr>
              <w:pStyle w:val="Compact"/>
              <w:jc w:val="right"/>
            </w:pPr>
            <w:r>
              <w:t xml:space="preserve">0</w:t>
            </w:r>
          </w:p>
        </w:tc>
        <w:tc>
          <w:tcPr/>
          <w:p>
            <w:pPr>
              <w:pStyle w:val="Compact"/>
              <w:jc w:val="right"/>
            </w:pPr>
            <w:r>
              <w:t xml:space="preserve">3.1404</w:t>
            </w:r>
          </w:p>
        </w:tc>
        <w:tc>
          <w:tcPr/>
          <w:p>
            <w:pPr>
              <w:pStyle w:val="Compact"/>
              <w:jc w:val="right"/>
            </w:pPr>
            <w:r>
              <w:t xml:space="preserve">15.5414</w:t>
            </w:r>
          </w:p>
        </w:tc>
      </w:tr>
      <w:tr>
        <w:tc>
          <w:tcPr/>
          <w:p>
            <w:pPr>
              <w:pStyle w:val="Compact"/>
              <w:jc w:val="left"/>
            </w:pPr>
            <w:r>
              <w:t xml:space="preserve">b1:RUT_L</w:t>
            </w:r>
          </w:p>
        </w:tc>
        <w:tc>
          <w:tcPr/>
          <w:p>
            <w:pPr>
              <w:pStyle w:val="Compact"/>
              <w:jc w:val="right"/>
            </w:pPr>
            <w:r>
              <w:t xml:space="preserve">0</w:t>
            </w:r>
          </w:p>
        </w:tc>
        <w:tc>
          <w:tcPr/>
          <w:p>
            <w:pPr>
              <w:pStyle w:val="Compact"/>
              <w:jc w:val="right"/>
            </w:pPr>
            <w:r>
              <w:t xml:space="preserve">-3.2218</w:t>
            </w:r>
          </w:p>
        </w:tc>
        <w:tc>
          <w:tcPr/>
          <w:p>
            <w:pPr>
              <w:pStyle w:val="Compact"/>
              <w:jc w:val="right"/>
            </w:pPr>
            <w:r>
              <w:t xml:space="preserve">-10.8981</w:t>
            </w:r>
          </w:p>
        </w:tc>
        <w:tc>
          <w:tcPr/>
          <w:p>
            <w:pPr>
              <w:pStyle w:val="Compact"/>
              <w:jc w:val="right"/>
            </w:pPr>
            <w:r>
              <w:t xml:space="preserve">0</w:t>
            </w:r>
          </w:p>
        </w:tc>
        <w:tc>
          <w:tcPr/>
          <w:p>
            <w:pPr>
              <w:pStyle w:val="Compact"/>
              <w:jc w:val="right"/>
            </w:pPr>
            <w:r>
              <w:t xml:space="preserve">-3.1966</w:t>
            </w:r>
          </w:p>
        </w:tc>
        <w:tc>
          <w:tcPr/>
          <w:p>
            <w:pPr>
              <w:pStyle w:val="Compact"/>
              <w:jc w:val="right"/>
            </w:pPr>
            <w:r>
              <w:t xml:space="preserve">-12.4570</w:t>
            </w:r>
          </w:p>
        </w:tc>
      </w:tr>
      <w:tr>
        <w:tc>
          <w:tcPr/>
          <w:p>
            <w:pPr>
              <w:pStyle w:val="Compact"/>
              <w:jc w:val="left"/>
            </w:pPr>
            <w:r>
              <w:t xml:space="preserve">b2:(Intercept)</w:t>
            </w:r>
          </w:p>
        </w:tc>
        <w:tc>
          <w:tcPr/>
          <w:p>
            <w:pPr>
              <w:pStyle w:val="Compact"/>
              <w:jc w:val="right"/>
            </w:pPr>
            <w:r>
              <w:t xml:space="preserve">0</w:t>
            </w:r>
          </w:p>
        </w:tc>
        <w:tc>
          <w:tcPr/>
          <w:p>
            <w:pPr>
              <w:pStyle w:val="Compact"/>
              <w:jc w:val="right"/>
            </w:pPr>
            <w:r>
              <w:t xml:space="preserve">1.1208</w:t>
            </w:r>
          </w:p>
        </w:tc>
        <w:tc>
          <w:tcPr/>
          <w:p>
            <w:pPr>
              <w:pStyle w:val="Compact"/>
              <w:jc w:val="right"/>
            </w:pPr>
            <w:r>
              <w:t xml:space="preserve">3.2393</w:t>
            </w:r>
          </w:p>
        </w:tc>
        <w:tc>
          <w:tcPr/>
          <w:p>
            <w:pPr>
              <w:pStyle w:val="Compact"/>
              <w:jc w:val="right"/>
            </w:pPr>
            <w:r>
              <w:t xml:space="preserve">0</w:t>
            </w:r>
          </w:p>
        </w:tc>
        <w:tc>
          <w:tcPr/>
          <w:p>
            <w:pPr>
              <w:pStyle w:val="Compact"/>
              <w:jc w:val="right"/>
            </w:pPr>
            <w:r>
              <w:t xml:space="preserve">1.8265</w:t>
            </w:r>
          </w:p>
        </w:tc>
        <w:tc>
          <w:tcPr/>
          <w:p>
            <w:pPr>
              <w:pStyle w:val="Compact"/>
              <w:jc w:val="right"/>
            </w:pPr>
            <w:r>
              <w:t xml:space="preserve">3.1334</w:t>
            </w:r>
          </w:p>
        </w:tc>
      </w:tr>
      <w:tr>
        <w:tc>
          <w:tcPr/>
          <w:p>
            <w:pPr>
              <w:pStyle w:val="Compact"/>
              <w:jc w:val="left"/>
            </w:pPr>
            <w:r>
              <w:t xml:space="preserve">b2:SR40_MI3</w:t>
            </w:r>
          </w:p>
        </w:tc>
        <w:tc>
          <w:tcPr/>
          <w:p>
            <w:pPr>
              <w:pStyle w:val="Compact"/>
              <w:jc w:val="right"/>
            </w:pPr>
            <w:r>
              <w:t xml:space="preserve">0</w:t>
            </w:r>
          </w:p>
        </w:tc>
        <w:tc>
          <w:tcPr/>
          <w:p>
            <w:pPr>
              <w:pStyle w:val="Compact"/>
              <w:jc w:val="right"/>
            </w:pPr>
            <w:r>
              <w:t xml:space="preserve">0.2525</w:t>
            </w:r>
          </w:p>
        </w:tc>
        <w:tc>
          <w:tcPr/>
          <w:p>
            <w:pPr>
              <w:pStyle w:val="Compact"/>
              <w:jc w:val="right"/>
            </w:pPr>
            <w:r>
              <w:t xml:space="preserve">-29.3869</w:t>
            </w:r>
          </w:p>
        </w:tc>
        <w:tc>
          <w:tcPr/>
          <w:p>
            <w:pPr>
              <w:pStyle w:val="Compact"/>
              <w:jc w:val="right"/>
            </w:pPr>
            <w:r>
              <w:t xml:space="preserve">0</w:t>
            </w:r>
          </w:p>
        </w:tc>
        <w:tc>
          <w:tcPr/>
          <w:p>
            <w:pPr>
              <w:pStyle w:val="Compact"/>
              <w:jc w:val="right"/>
            </w:pPr>
            <w:r>
              <w:t xml:space="preserve">2.1246</w:t>
            </w:r>
          </w:p>
        </w:tc>
        <w:tc>
          <w:tcPr/>
          <w:p>
            <w:pPr>
              <w:pStyle w:val="Compact"/>
              <w:jc w:val="right"/>
            </w:pPr>
            <w:r>
              <w:t xml:space="preserve">-33.1723</w:t>
            </w:r>
          </w:p>
        </w:tc>
      </w:tr>
      <w:tr>
        <w:tc>
          <w:tcPr/>
          <w:p>
            <w:pPr>
              <w:pStyle w:val="Compact"/>
              <w:jc w:val="left"/>
            </w:pPr>
            <w:r>
              <w:t xml:space="preserve">b2:MPD_ME</w:t>
            </w:r>
          </w:p>
        </w:tc>
        <w:tc>
          <w:tcPr/>
          <w:p>
            <w:pPr>
              <w:pStyle w:val="Compact"/>
              <w:jc w:val="right"/>
            </w:pPr>
            <w:r>
              <w:t xml:space="preserve">0</w:t>
            </w:r>
          </w:p>
        </w:tc>
        <w:tc>
          <w:tcPr/>
          <w:p>
            <w:pPr>
              <w:pStyle w:val="Compact"/>
              <w:jc w:val="right"/>
            </w:pPr>
            <w:r>
              <w:t xml:space="preserve">0.3451</w:t>
            </w:r>
          </w:p>
        </w:tc>
        <w:tc>
          <w:tcPr/>
          <w:p>
            <w:pPr>
              <w:pStyle w:val="Compact"/>
              <w:jc w:val="right"/>
            </w:pPr>
            <w:r>
              <w:t xml:space="preserve">-0.2238</w:t>
            </w:r>
          </w:p>
        </w:tc>
        <w:tc>
          <w:tcPr/>
          <w:p>
            <w:pPr>
              <w:pStyle w:val="Compact"/>
              <w:jc w:val="right"/>
            </w:pPr>
            <w:r>
              <w:t xml:space="preserve">0</w:t>
            </w:r>
          </w:p>
        </w:tc>
        <w:tc>
          <w:tcPr/>
          <w:p>
            <w:pPr>
              <w:pStyle w:val="Compact"/>
              <w:jc w:val="right"/>
            </w:pPr>
            <w:r>
              <w:t xml:space="preserve">-6.8396</w:t>
            </w:r>
          </w:p>
        </w:tc>
        <w:tc>
          <w:tcPr/>
          <w:p>
            <w:pPr>
              <w:pStyle w:val="Compact"/>
              <w:jc w:val="right"/>
            </w:pPr>
            <w:r>
              <w:t xml:space="preserve">-0.2017</w:t>
            </w:r>
          </w:p>
        </w:tc>
      </w:tr>
      <w:tr>
        <w:tc>
          <w:tcPr/>
          <w:p>
            <w:pPr>
              <w:pStyle w:val="Compact"/>
              <w:jc w:val="left"/>
            </w:pPr>
            <w:r>
              <w:t xml:space="preserve">b2:LNAADT_3</w:t>
            </w:r>
          </w:p>
        </w:tc>
        <w:tc>
          <w:tcPr/>
          <w:p>
            <w:pPr>
              <w:pStyle w:val="Compact"/>
              <w:jc w:val="right"/>
            </w:pPr>
            <w:r>
              <w:t xml:space="preserve">0</w:t>
            </w:r>
          </w:p>
        </w:tc>
        <w:tc>
          <w:tcPr/>
          <w:p>
            <w:pPr>
              <w:pStyle w:val="Compact"/>
              <w:jc w:val="right"/>
            </w:pPr>
            <w:r>
              <w:t xml:space="preserve">0.4098</w:t>
            </w:r>
          </w:p>
        </w:tc>
        <w:tc>
          <w:tcPr/>
          <w:p>
            <w:pPr>
              <w:pStyle w:val="Compact"/>
              <w:jc w:val="right"/>
            </w:pPr>
            <w:r>
              <w:t xml:space="preserve">5.3852</w:t>
            </w:r>
          </w:p>
        </w:tc>
        <w:tc>
          <w:tcPr/>
          <w:p>
            <w:pPr>
              <w:pStyle w:val="Compact"/>
              <w:jc w:val="right"/>
            </w:pPr>
            <w:r>
              <w:t xml:space="preserve">0</w:t>
            </w:r>
          </w:p>
        </w:tc>
        <w:tc>
          <w:tcPr/>
          <w:p>
            <w:pPr>
              <w:pStyle w:val="Compact"/>
              <w:jc w:val="right"/>
            </w:pPr>
            <w:r>
              <w:t xml:space="preserve">-0.0144</w:t>
            </w:r>
          </w:p>
        </w:tc>
        <w:tc>
          <w:tcPr/>
          <w:p>
            <w:pPr>
              <w:pStyle w:val="Compact"/>
              <w:jc w:val="right"/>
            </w:pPr>
            <w:r>
              <w:t xml:space="preserve">5.7369</w:t>
            </w:r>
          </w:p>
        </w:tc>
      </w:tr>
      <w:tr>
        <w:tc>
          <w:tcPr/>
          <w:p>
            <w:pPr>
              <w:pStyle w:val="Compact"/>
              <w:jc w:val="left"/>
            </w:pPr>
            <w:r>
              <w:t xml:space="preserve">b2:IRI_ME</w:t>
            </w:r>
          </w:p>
        </w:tc>
        <w:tc>
          <w:tcPr/>
          <w:p>
            <w:pPr>
              <w:pStyle w:val="Compact"/>
              <w:jc w:val="right"/>
            </w:pPr>
            <w:r>
              <w:t xml:space="preserve">0</w:t>
            </w:r>
          </w:p>
        </w:tc>
        <w:tc>
          <w:tcPr/>
          <w:p>
            <w:pPr>
              <w:pStyle w:val="Compact"/>
              <w:jc w:val="right"/>
            </w:pPr>
            <w:r>
              <w:t xml:space="preserve">7.8266</w:t>
            </w:r>
          </w:p>
        </w:tc>
        <w:tc>
          <w:tcPr/>
          <w:p>
            <w:pPr>
              <w:pStyle w:val="Compact"/>
              <w:jc w:val="right"/>
            </w:pPr>
            <w:r>
              <w:t xml:space="preserve">-1.1312</w:t>
            </w:r>
          </w:p>
        </w:tc>
        <w:tc>
          <w:tcPr/>
          <w:p>
            <w:pPr>
              <w:pStyle w:val="Compact"/>
              <w:jc w:val="right"/>
            </w:pPr>
            <w:r>
              <w:t xml:space="preserve">0</w:t>
            </w:r>
          </w:p>
        </w:tc>
        <w:tc>
          <w:tcPr/>
          <w:p>
            <w:pPr>
              <w:pStyle w:val="Compact"/>
              <w:jc w:val="right"/>
            </w:pPr>
            <w:r>
              <w:t xml:space="preserve">6.1766</w:t>
            </w:r>
          </w:p>
        </w:tc>
        <w:tc>
          <w:tcPr/>
          <w:p>
            <w:pPr>
              <w:pStyle w:val="Compact"/>
              <w:jc w:val="right"/>
            </w:pPr>
            <w:r>
              <w:t xml:space="preserve">-1.0721</w:t>
            </w:r>
          </w:p>
        </w:tc>
      </w:tr>
      <w:tr>
        <w:tc>
          <w:tcPr/>
          <w:p>
            <w:pPr>
              <w:pStyle w:val="Compact"/>
              <w:jc w:val="left"/>
            </w:pPr>
            <w:r>
              <w:t xml:space="preserve">b2:SP50LE</w:t>
            </w:r>
          </w:p>
        </w:tc>
        <w:tc>
          <w:tcPr/>
          <w:p>
            <w:pPr>
              <w:pStyle w:val="Compact"/>
              <w:jc w:val="right"/>
            </w:pPr>
            <w:r>
              <w:t xml:space="preserve">0</w:t>
            </w:r>
          </w:p>
        </w:tc>
        <w:tc>
          <w:tcPr/>
          <w:p>
            <w:pPr>
              <w:pStyle w:val="Compact"/>
              <w:jc w:val="right"/>
            </w:pPr>
            <w:r>
              <w:t xml:space="preserve">1.8328</w:t>
            </w:r>
          </w:p>
        </w:tc>
        <w:tc>
          <w:tcPr/>
          <w:p>
            <w:pPr>
              <w:pStyle w:val="Compact"/>
              <w:jc w:val="right"/>
            </w:pPr>
            <w:r>
              <w:t xml:space="preserve">-2.9243</w:t>
            </w:r>
          </w:p>
        </w:tc>
        <w:tc>
          <w:tcPr/>
          <w:p>
            <w:pPr>
              <w:pStyle w:val="Compact"/>
              <w:jc w:val="right"/>
            </w:pPr>
            <w:r>
              <w:t xml:space="preserve">0</w:t>
            </w:r>
          </w:p>
        </w:tc>
        <w:tc>
          <w:tcPr/>
          <w:p>
            <w:pPr>
              <w:pStyle w:val="Compact"/>
              <w:jc w:val="right"/>
            </w:pPr>
            <w:r>
              <w:t xml:space="preserve">2.0284</w:t>
            </w:r>
          </w:p>
        </w:tc>
        <w:tc>
          <w:tcPr/>
          <w:p>
            <w:pPr>
              <w:pStyle w:val="Compact"/>
              <w:jc w:val="right"/>
            </w:pPr>
            <w:r>
              <w:t xml:space="preserve">-2.1432</w:t>
            </w:r>
          </w:p>
        </w:tc>
      </w:tr>
      <w:tr>
        <w:tc>
          <w:tcPr/>
          <w:p>
            <w:pPr>
              <w:pStyle w:val="Compact"/>
              <w:jc w:val="left"/>
            </w:pPr>
            <w:r>
              <w:t xml:space="preserve">b2:ACCPNTS</w:t>
            </w:r>
          </w:p>
        </w:tc>
        <w:tc>
          <w:tcPr/>
          <w:p>
            <w:pPr>
              <w:pStyle w:val="Compact"/>
              <w:jc w:val="right"/>
            </w:pPr>
            <w:r>
              <w:t xml:space="preserve">0</w:t>
            </w:r>
          </w:p>
        </w:tc>
        <w:tc>
          <w:tcPr/>
          <w:p>
            <w:pPr>
              <w:pStyle w:val="Compact"/>
              <w:jc w:val="right"/>
            </w:pPr>
            <w:r>
              <w:t xml:space="preserve">3.1035</w:t>
            </w:r>
          </w:p>
        </w:tc>
        <w:tc>
          <w:tcPr/>
          <w:p>
            <w:pPr>
              <w:pStyle w:val="Compact"/>
              <w:jc w:val="right"/>
            </w:pPr>
            <w:r>
              <w:t xml:space="preserve">-2.9811</w:t>
            </w:r>
          </w:p>
        </w:tc>
        <w:tc>
          <w:tcPr/>
          <w:p>
            <w:pPr>
              <w:pStyle w:val="Compact"/>
              <w:jc w:val="right"/>
            </w:pPr>
            <w:r>
              <w:t xml:space="preserve">0</w:t>
            </w:r>
          </w:p>
        </w:tc>
        <w:tc>
          <w:tcPr/>
          <w:p>
            <w:pPr>
              <w:pStyle w:val="Compact"/>
              <w:jc w:val="right"/>
            </w:pPr>
            <w:r>
              <w:t xml:space="preserve">3.9576</w:t>
            </w:r>
          </w:p>
        </w:tc>
        <w:tc>
          <w:tcPr/>
          <w:p>
            <w:pPr>
              <w:pStyle w:val="Compact"/>
              <w:jc w:val="right"/>
            </w:pPr>
            <w:r>
              <w:t xml:space="preserve">-2.4289</w:t>
            </w:r>
          </w:p>
        </w:tc>
      </w:tr>
      <w:tr>
        <w:tc>
          <w:tcPr/>
          <w:p>
            <w:pPr>
              <w:pStyle w:val="Compact"/>
              <w:jc w:val="left"/>
            </w:pPr>
            <w:r>
              <w:t xml:space="preserve">b2:SIGNAL1</w:t>
            </w:r>
          </w:p>
        </w:tc>
        <w:tc>
          <w:tcPr/>
          <w:p>
            <w:pPr>
              <w:pStyle w:val="Compact"/>
              <w:jc w:val="right"/>
            </w:pPr>
            <w:r>
              <w:t xml:space="preserve">0</w:t>
            </w:r>
          </w:p>
        </w:tc>
        <w:tc>
          <w:tcPr/>
          <w:p>
            <w:pPr>
              <w:pStyle w:val="Compact"/>
              <w:jc w:val="right"/>
            </w:pPr>
            <w:r>
              <w:t xml:space="preserve">-7.1254</w:t>
            </w:r>
          </w:p>
        </w:tc>
        <w:tc>
          <w:tcPr/>
          <w:p>
            <w:pPr>
              <w:pStyle w:val="Compact"/>
              <w:jc w:val="right"/>
            </w:pPr>
            <w:r>
              <w:t xml:space="preserve">2.0639</w:t>
            </w:r>
          </w:p>
        </w:tc>
        <w:tc>
          <w:tcPr/>
          <w:p>
            <w:pPr>
              <w:pStyle w:val="Compact"/>
              <w:jc w:val="right"/>
            </w:pPr>
            <w:r>
              <w:t xml:space="preserve">0</w:t>
            </w:r>
          </w:p>
        </w:tc>
        <w:tc>
          <w:tcPr/>
          <w:p>
            <w:pPr>
              <w:pStyle w:val="Compact"/>
              <w:jc w:val="right"/>
            </w:pPr>
            <w:r>
              <w:t xml:space="preserve">-6.4411</w:t>
            </w:r>
          </w:p>
        </w:tc>
        <w:tc>
          <w:tcPr/>
          <w:p>
            <w:pPr>
              <w:pStyle w:val="Compact"/>
              <w:jc w:val="right"/>
            </w:pPr>
            <w:r>
              <w:t xml:space="preserve">2.4350</w:t>
            </w:r>
          </w:p>
        </w:tc>
      </w:tr>
      <w:tr>
        <w:tc>
          <w:tcPr/>
          <w:p>
            <w:pPr>
              <w:pStyle w:val="Compact"/>
              <w:jc w:val="left"/>
            </w:pPr>
            <w:r>
              <w:t xml:space="preserve">b2:NEAR_SIG</w:t>
            </w:r>
          </w:p>
        </w:tc>
        <w:tc>
          <w:tcPr/>
          <w:p>
            <w:pPr>
              <w:pStyle w:val="Compact"/>
              <w:jc w:val="right"/>
            </w:pPr>
            <w:r>
              <w:t xml:space="preserve">0</w:t>
            </w:r>
          </w:p>
        </w:tc>
        <w:tc>
          <w:tcPr/>
          <w:p>
            <w:pPr>
              <w:pStyle w:val="Compact"/>
              <w:jc w:val="right"/>
            </w:pPr>
            <w:r>
              <w:t xml:space="preserve">-3.6409</w:t>
            </w:r>
          </w:p>
        </w:tc>
        <w:tc>
          <w:tcPr/>
          <w:p>
            <w:pPr>
              <w:pStyle w:val="Compact"/>
              <w:jc w:val="right"/>
            </w:pPr>
            <w:r>
              <w:t xml:space="preserve">6.9305</w:t>
            </w:r>
          </w:p>
        </w:tc>
        <w:tc>
          <w:tcPr/>
          <w:p>
            <w:pPr>
              <w:pStyle w:val="Compact"/>
              <w:jc w:val="right"/>
            </w:pPr>
            <w:r>
              <w:t xml:space="preserve">0</w:t>
            </w:r>
          </w:p>
        </w:tc>
        <w:tc>
          <w:tcPr/>
          <w:p>
            <w:pPr>
              <w:pStyle w:val="Compact"/>
              <w:jc w:val="right"/>
            </w:pPr>
            <w:r>
              <w:t xml:space="preserve">-3.9986</w:t>
            </w:r>
          </w:p>
        </w:tc>
        <w:tc>
          <w:tcPr/>
          <w:p>
            <w:pPr>
              <w:pStyle w:val="Compact"/>
              <w:jc w:val="right"/>
            </w:pPr>
            <w:r>
              <w:t xml:space="preserve">7.7873</w:t>
            </w:r>
          </w:p>
        </w:tc>
      </w:tr>
      <w:tr>
        <w:tc>
          <w:tcPr/>
          <w:p>
            <w:pPr>
              <w:pStyle w:val="Compact"/>
              <w:jc w:val="left"/>
            </w:pPr>
            <w:r>
              <w:t xml:space="preserve">b2:CS_MINAB</w:t>
            </w:r>
          </w:p>
        </w:tc>
        <w:tc>
          <w:tcPr/>
          <w:p>
            <w:pPr>
              <w:pStyle w:val="Compact"/>
              <w:jc w:val="right"/>
            </w:pPr>
            <w:r>
              <w:t xml:space="preserve">0</w:t>
            </w:r>
          </w:p>
        </w:tc>
        <w:tc>
          <w:tcPr/>
          <w:p>
            <w:pPr>
              <w:pStyle w:val="Compact"/>
              <w:jc w:val="right"/>
            </w:pPr>
            <w:r>
              <w:t xml:space="preserve">8.4326</w:t>
            </w:r>
          </w:p>
        </w:tc>
        <w:tc>
          <w:tcPr/>
          <w:p>
            <w:pPr>
              <w:pStyle w:val="Compact"/>
              <w:jc w:val="right"/>
            </w:pPr>
            <w:r>
              <w:t xml:space="preserve">-1.7810</w:t>
            </w:r>
          </w:p>
        </w:tc>
        <w:tc>
          <w:tcPr/>
          <w:p>
            <w:pPr>
              <w:pStyle w:val="Compact"/>
              <w:jc w:val="right"/>
            </w:pPr>
            <w:r>
              <w:t xml:space="preserve">0</w:t>
            </w:r>
          </w:p>
        </w:tc>
        <w:tc>
          <w:tcPr/>
          <w:p>
            <w:pPr>
              <w:pStyle w:val="Compact"/>
              <w:jc w:val="right"/>
            </w:pPr>
            <w:r>
              <w:t xml:space="preserve">5.7457</w:t>
            </w:r>
          </w:p>
        </w:tc>
        <w:tc>
          <w:tcPr/>
          <w:p>
            <w:pPr>
              <w:pStyle w:val="Compact"/>
              <w:jc w:val="right"/>
            </w:pPr>
            <w:r>
              <w:t xml:space="preserve">-0.7722</w:t>
            </w:r>
          </w:p>
        </w:tc>
      </w:tr>
      <w:tr>
        <w:tc>
          <w:tcPr/>
          <w:p>
            <w:pPr>
              <w:pStyle w:val="Compact"/>
              <w:jc w:val="left"/>
            </w:pPr>
            <w:r>
              <w:t xml:space="preserve">b2:DP10_ME</w:t>
            </w:r>
          </w:p>
        </w:tc>
        <w:tc>
          <w:tcPr/>
          <w:p>
            <w:pPr>
              <w:pStyle w:val="Compact"/>
              <w:jc w:val="right"/>
            </w:pPr>
            <w:r>
              <w:t xml:space="preserve">0</w:t>
            </w:r>
          </w:p>
        </w:tc>
        <w:tc>
          <w:tcPr/>
          <w:p>
            <w:pPr>
              <w:pStyle w:val="Compact"/>
              <w:jc w:val="right"/>
            </w:pPr>
            <w:r>
              <w:t xml:space="preserve">3.3632</w:t>
            </w:r>
          </w:p>
        </w:tc>
        <w:tc>
          <w:tcPr/>
          <w:p>
            <w:pPr>
              <w:pStyle w:val="Compact"/>
              <w:jc w:val="right"/>
            </w:pPr>
            <w:r>
              <w:t xml:space="preserve">-9.0231</w:t>
            </w:r>
          </w:p>
        </w:tc>
        <w:tc>
          <w:tcPr/>
          <w:p>
            <w:pPr>
              <w:pStyle w:val="Compact"/>
              <w:jc w:val="right"/>
            </w:pPr>
            <w:r>
              <w:t xml:space="preserve">0</w:t>
            </w:r>
          </w:p>
        </w:tc>
        <w:tc>
          <w:tcPr/>
          <w:p>
            <w:pPr>
              <w:pStyle w:val="Compact"/>
              <w:jc w:val="right"/>
            </w:pPr>
            <w:r>
              <w:t xml:space="preserve">2.9310</w:t>
            </w:r>
          </w:p>
        </w:tc>
        <w:tc>
          <w:tcPr/>
          <w:p>
            <w:pPr>
              <w:pStyle w:val="Compact"/>
              <w:jc w:val="right"/>
            </w:pPr>
            <w:r>
              <w:t xml:space="preserve">-8.2813</w:t>
            </w:r>
          </w:p>
        </w:tc>
      </w:tr>
      <w:tr>
        <w:tc>
          <w:tcPr/>
          <w:p>
            <w:pPr>
              <w:pStyle w:val="Compact"/>
              <w:jc w:val="left"/>
            </w:pPr>
            <w:r>
              <w:t xml:space="preserve">log_sd1:SR40_MI3</w:t>
            </w:r>
          </w:p>
        </w:tc>
        <w:tc>
          <w:tcPr/>
          <w:p>
            <w:pPr>
              <w:pStyle w:val="Compact"/>
              <w:jc w:val="right"/>
            </w:pPr>
            <w:r>
              <w:t xml:space="preserve">0</w:t>
            </w:r>
          </w:p>
        </w:tc>
        <w:tc>
          <w:tcPr/>
          <w:p>
            <w:pPr>
              <w:pStyle w:val="Compact"/>
              <w:jc w:val="right"/>
            </w:pPr>
            <w:r>
              <w:t xml:space="preserve">-1.7575</w:t>
            </w:r>
          </w:p>
        </w:tc>
        <w:tc>
          <w:tcPr/>
          <w:p>
            <w:pPr>
              <w:pStyle w:val="Compact"/>
              <w:jc w:val="right"/>
            </w:pPr>
            <w:r>
              <w:t xml:space="preserve">17.8133</w:t>
            </w:r>
          </w:p>
        </w:tc>
        <w:tc>
          <w:tcPr/>
          <w:p>
            <w:pPr>
              <w:pStyle w:val="Compact"/>
              <w:jc w:val="right"/>
            </w:pPr>
            <w:r>
              <w:t xml:space="preserve">0</w:t>
            </w:r>
          </w:p>
        </w:tc>
        <w:tc>
          <w:tcPr/>
          <w:p>
            <w:pPr>
              <w:pStyle w:val="Compact"/>
              <w:jc w:val="right"/>
            </w:pPr>
            <w:r>
              <w:t xml:space="preserve">-4.1198</w:t>
            </w:r>
          </w:p>
        </w:tc>
        <w:tc>
          <w:tcPr/>
          <w:p>
            <w:pPr>
              <w:pStyle w:val="Compact"/>
              <w:jc w:val="right"/>
            </w:pPr>
            <w:r>
              <w:t xml:space="preserve">3.8056</w:t>
            </w:r>
          </w:p>
        </w:tc>
      </w:tr>
      <w:tr>
        <w:tc>
          <w:tcPr/>
          <w:p>
            <w:pPr>
              <w:pStyle w:val="Compact"/>
              <w:jc w:val="left"/>
            </w:pPr>
            <w:r>
              <w:t xml:space="preserve">log_sd1:MPD_ME</w:t>
            </w:r>
          </w:p>
        </w:tc>
        <w:tc>
          <w:tcPr/>
          <w:p>
            <w:pPr>
              <w:pStyle w:val="Compact"/>
              <w:jc w:val="right"/>
            </w:pPr>
            <w:r>
              <w:t xml:space="preserve">0</w:t>
            </w:r>
          </w:p>
        </w:tc>
        <w:tc>
          <w:tcPr/>
          <w:p>
            <w:pPr>
              <w:pStyle w:val="Compact"/>
              <w:jc w:val="right"/>
            </w:pPr>
            <w:r>
              <w:t xml:space="preserve">-6.3612</w:t>
            </w:r>
          </w:p>
        </w:tc>
        <w:tc>
          <w:tcPr/>
          <w:p>
            <w:pPr>
              <w:pStyle w:val="Compact"/>
              <w:jc w:val="right"/>
            </w:pPr>
            <w:r>
              <w:t xml:space="preserve">3.7974</w:t>
            </w:r>
          </w:p>
        </w:tc>
        <w:tc>
          <w:tcPr/>
          <w:p>
            <w:pPr>
              <w:pStyle w:val="Compact"/>
              <w:jc w:val="right"/>
            </w:pPr>
            <w:r>
              <w:t xml:space="preserve">0</w:t>
            </w:r>
          </w:p>
        </w:tc>
        <w:tc>
          <w:tcPr/>
          <w:p>
            <w:pPr>
              <w:pStyle w:val="Compact"/>
              <w:jc w:val="right"/>
            </w:pPr>
            <w:r>
              <w:t xml:space="preserve">-10.0707</w:t>
            </w:r>
          </w:p>
        </w:tc>
        <w:tc>
          <w:tcPr/>
          <w:p>
            <w:pPr>
              <w:pStyle w:val="Compact"/>
              <w:jc w:val="right"/>
            </w:pPr>
            <w:r>
              <w:t xml:space="preserve">-4.9241</w:t>
            </w:r>
          </w:p>
        </w:tc>
      </w:tr>
      <w:tr>
        <w:tc>
          <w:tcPr/>
          <w:p>
            <w:pPr>
              <w:pStyle w:val="Compact"/>
              <w:jc w:val="left"/>
            </w:pPr>
            <w:r>
              <w:t xml:space="preserve">log_sd2:SR40_MI3</w:t>
            </w:r>
          </w:p>
        </w:tc>
        <w:tc>
          <w:tcPr/>
          <w:p>
            <w:pPr>
              <w:pStyle w:val="Compact"/>
              <w:jc w:val="right"/>
            </w:pPr>
            <w:r>
              <w:t xml:space="preserve">0</w:t>
            </w:r>
          </w:p>
        </w:tc>
        <w:tc>
          <w:tcPr/>
          <w:p>
            <w:pPr>
              <w:pStyle w:val="Compact"/>
              <w:jc w:val="right"/>
            </w:pPr>
            <w:r>
              <w:t xml:space="preserve">-13.9747</w:t>
            </w:r>
          </w:p>
        </w:tc>
        <w:tc>
          <w:tcPr/>
          <w:p>
            <w:pPr>
              <w:pStyle w:val="Compact"/>
              <w:jc w:val="right"/>
            </w:pPr>
            <w:r>
              <w:t xml:space="preserve">408.6216</w:t>
            </w:r>
          </w:p>
        </w:tc>
        <w:tc>
          <w:tcPr/>
          <w:p>
            <w:pPr>
              <w:pStyle w:val="Compact"/>
              <w:jc w:val="right"/>
            </w:pPr>
            <w:r>
              <w:t xml:space="preserve">0</w:t>
            </w:r>
          </w:p>
        </w:tc>
        <w:tc>
          <w:tcPr/>
          <w:p>
            <w:pPr>
              <w:pStyle w:val="Compact"/>
              <w:jc w:val="right"/>
            </w:pPr>
            <w:r>
              <w:t xml:space="preserve">-25.6603</w:t>
            </w:r>
          </w:p>
        </w:tc>
        <w:tc>
          <w:tcPr/>
          <w:p>
            <w:pPr>
              <w:pStyle w:val="Compact"/>
              <w:jc w:val="right"/>
            </w:pPr>
            <w:r>
              <w:t xml:space="preserve">237.4100</w:t>
            </w:r>
          </w:p>
        </w:tc>
      </w:tr>
      <w:tr>
        <w:tc>
          <w:tcPr/>
          <w:p>
            <w:pPr>
              <w:pStyle w:val="Compact"/>
              <w:jc w:val="left"/>
            </w:pPr>
            <w:r>
              <w:t xml:space="preserve">log_m1</w:t>
            </w:r>
          </w:p>
        </w:tc>
        <w:tc>
          <w:tcPr/>
          <w:p>
            <w:pPr>
              <w:pStyle w:val="Compact"/>
              <w:jc w:val="right"/>
            </w:pPr>
            <w:r>
              <w:t xml:space="preserve">0</w:t>
            </w:r>
          </w:p>
        </w:tc>
        <w:tc>
          <w:tcPr/>
          <w:p>
            <w:pPr>
              <w:pStyle w:val="Compact"/>
              <w:jc w:val="right"/>
            </w:pPr>
            <w:r>
              <w:t xml:space="preserve">-2.1103</w:t>
            </w:r>
          </w:p>
        </w:tc>
        <w:tc>
          <w:tcPr/>
          <w:p>
            <w:pPr>
              <w:pStyle w:val="Compact"/>
              <w:jc w:val="right"/>
            </w:pPr>
            <w:r>
              <w:t xml:space="preserve">-4.5252</w:t>
            </w:r>
          </w:p>
        </w:tc>
        <w:tc>
          <w:tcPr/>
          <w:p>
            <w:pPr>
              <w:pStyle w:val="Compact"/>
              <w:jc w:val="right"/>
            </w:pPr>
            <w:r>
              <w:t xml:space="preserve">0</w:t>
            </w:r>
          </w:p>
        </w:tc>
        <w:tc>
          <w:tcPr/>
          <w:p>
            <w:pPr>
              <w:pStyle w:val="Compact"/>
              <w:jc w:val="right"/>
            </w:pPr>
            <w:r>
              <w:t xml:space="preserve">4.2527</w:t>
            </w:r>
          </w:p>
        </w:tc>
        <w:tc>
          <w:tcPr/>
          <w:p>
            <w:pPr>
              <w:pStyle w:val="Compact"/>
              <w:jc w:val="right"/>
            </w:pPr>
            <w:r>
              <w:t xml:space="preserve">10.2486</w:t>
            </w:r>
          </w:p>
        </w:tc>
      </w:tr>
      <w:tr>
        <w:tc>
          <w:tcPr/>
          <w:p>
            <w:pPr>
              <w:pStyle w:val="Compact"/>
              <w:jc w:val="left"/>
            </w:pPr>
            <w:r>
              <w:t xml:space="preserve">log_m2</w:t>
            </w:r>
          </w:p>
        </w:tc>
        <w:tc>
          <w:tcPr/>
          <w:p>
            <w:pPr>
              <w:pStyle w:val="Compact"/>
              <w:jc w:val="right"/>
            </w:pPr>
            <w:r>
              <w:t xml:space="preserve">0</w:t>
            </w:r>
          </w:p>
        </w:tc>
        <w:tc>
          <w:tcPr/>
          <w:p>
            <w:pPr>
              <w:pStyle w:val="Compact"/>
              <w:jc w:val="right"/>
            </w:pPr>
            <w:r>
              <w:t xml:space="preserve">34.9511</w:t>
            </w:r>
          </w:p>
        </w:tc>
        <w:tc>
          <w:tcPr/>
          <w:p>
            <w:pPr>
              <w:pStyle w:val="Compact"/>
              <w:jc w:val="right"/>
            </w:pPr>
            <w:r>
              <w:t xml:space="preserve">-18.7607</w:t>
            </w:r>
          </w:p>
        </w:tc>
        <w:tc>
          <w:tcPr/>
          <w:p>
            <w:pPr>
              <w:pStyle w:val="Compact"/>
              <w:jc w:val="right"/>
            </w:pPr>
            <w:r>
              <w:t xml:space="preserve">0</w:t>
            </w:r>
          </w:p>
        </w:tc>
        <w:tc>
          <w:tcPr/>
          <w:p>
            <w:pPr>
              <w:pStyle w:val="Compact"/>
              <w:jc w:val="right"/>
            </w:pPr>
            <w:r>
              <w:t xml:space="preserve">0.0771</w:t>
            </w:r>
          </w:p>
        </w:tc>
        <w:tc>
          <w:tcPr/>
          <w:p>
            <w:pPr>
              <w:pStyle w:val="Compact"/>
              <w:jc w:val="right"/>
            </w:pPr>
            <w:r>
              <w:t xml:space="preserve">-12.6235</w:t>
            </w:r>
          </w:p>
        </w:tc>
      </w:tr>
      <w:tr>
        <w:tc>
          <w:tcPr/>
          <w:p>
            <w:pPr>
              <w:pStyle w:val="Compact"/>
              <w:jc w:val="left"/>
            </w:pPr>
            <w:r>
              <w:t xml:space="preserve">z_dep</w:t>
            </w:r>
          </w:p>
        </w:tc>
        <w:tc>
          <w:tcPr/>
          <w:p>
            <w:pPr>
              <w:pStyle w:val="Compact"/>
              <w:jc w:val="right"/>
            </w:pPr>
            <w:r>
              <w:t xml:space="preserve">0</w:t>
            </w:r>
          </w:p>
        </w:tc>
        <w:tc>
          <w:tcPr/>
          <w:p>
            <w:pPr>
              <w:pStyle w:val="Compact"/>
              <w:jc w:val="right"/>
            </w:pPr>
            <w:r>
              <w:t xml:space="preserve">-82.8260</w:t>
            </w:r>
          </w:p>
        </w:tc>
        <w:tc>
          <w:tcPr/>
          <w:p>
            <w:pPr>
              <w:pStyle w:val="Compact"/>
              <w:jc w:val="right"/>
            </w:pPr>
            <w:r>
              <w:t xml:space="preserve">-86.4826</w:t>
            </w:r>
          </w:p>
        </w:tc>
        <w:tc>
          <w:tcPr/>
          <w:p>
            <w:pPr>
              <w:pStyle w:val="Compact"/>
              <w:jc w:val="right"/>
            </w:pPr>
            <w:r>
              <w:t xml:space="preserve">0</w:t>
            </w:r>
          </w:p>
        </w:tc>
        <w:tc>
          <w:tcPr/>
          <w:p>
            <w:pPr>
              <w:pStyle w:val="Compact"/>
              <w:jc w:val="right"/>
            </w:pPr>
            <w:r>
              <w:t xml:space="preserve">-83.1848</w:t>
            </w:r>
          </w:p>
        </w:tc>
        <w:tc>
          <w:tcPr/>
          <w:p>
            <w:pPr>
              <w:pStyle w:val="Compact"/>
              <w:jc w:val="right"/>
            </w:pPr>
            <w:r>
              <w:t xml:space="preserve">-85.9151</w:t>
            </w:r>
          </w:p>
        </w:tc>
      </w:tr>
    </w:tbl>
    <w:p>
      <w:pPr>
        <w:pStyle w:val="BodyText"/>
      </w:pPr>
      <w:r>
        <w:t xml:space="preserve">Most fixed-effect coefficients stay within a few percent of the Frank reference under the same method. The largest deviations appear for the equation 2 intercept and the</w:t>
      </w:r>
      <w:r>
        <w:t xml:space="preserve"> </w:t>
      </w:r>
      <w:r>
        <w:rPr>
          <w:rStyle w:val="VerbatimChar"/>
        </w:rPr>
        <w:t xml:space="preserve">SR40_MI3</w:t>
      </w:r>
      <w:r>
        <w:t xml:space="preserve"> </w:t>
      </w:r>
      <w:r>
        <w:t xml:space="preserve">and</w:t>
      </w:r>
      <w:r>
        <w:t xml:space="preserve"> </w:t>
      </w:r>
      <w:r>
        <w:rPr>
          <w:rStyle w:val="VerbatimChar"/>
        </w:rPr>
        <w:t xml:space="preserve">MPD_ME</w:t>
      </w:r>
      <w:r>
        <w:t xml:space="preserve"> </w:t>
      </w:r>
      <w:r>
        <w:t xml:space="preserve">coefficients under the normal copula, which move the most from their Frank references; the random-scale and dispersion parameters (the</w:t>
      </w:r>
      <w:r>
        <w:t xml:space="preserve"> </w:t>
      </w:r>
      <w:r>
        <w:rPr>
          <w:rStyle w:val="VerbatimChar"/>
        </w:rPr>
        <w:t xml:space="preserve">log_sd</w:t>
      </w:r>
      <w:r>
        <w:t xml:space="preserve"> </w:t>
      </w:r>
      <w:r>
        <w:t xml:space="preserve">and</w:t>
      </w:r>
      <w:r>
        <w:t xml:space="preserve"> </w:t>
      </w:r>
      <w:r>
        <w:rPr>
          <w:rStyle w:val="VerbatimChar"/>
        </w:rPr>
        <w:t xml:space="preserve">log_m</w:t>
      </w:r>
      <w:r>
        <w:t xml:space="preserve"> </w:t>
      </w:r>
      <w:r>
        <w:t xml:space="preserve">rows) also show the widest spreads, reflecting their greater sensitivity to the dependence specification.</w:t>
      </w:r>
    </w:p>
    <w:bookmarkEnd w:id="14"/>
    <w:bookmarkStart w:id="15" w:name="estimation-results-by-scenario"/>
    <w:p>
      <w:pPr>
        <w:pStyle w:val="Heading1"/>
      </w:pPr>
      <w:r>
        <w:t xml:space="preserve">Estimation results by scenario</w:t>
      </w:r>
    </w:p>
    <w:p>
      <w:pPr>
        <w:pStyle w:val="FirstParagraph"/>
      </w:pPr>
      <w:r>
        <w:t xml:space="preserve">The following tables give the full coefficient table for each scenario: estimate, standard error, z-value (estimate divided by its standard error), and two-sided p-value from the standard normal distribution, all rounded to 4 decimals.</w:t>
      </w:r>
    </w:p>
    <w:p>
      <w:pPr>
        <w:pStyle w:val="SourceCode"/>
      </w:pPr>
      <w:r>
        <w:rPr>
          <w:rStyle w:val="VerbatimChar"/>
        </w:rPr>
        <w:t xml:space="preserve">## SML Frank</w:t>
      </w:r>
      <w:r>
        <w:br/>
      </w:r>
      <w:r>
        <w:br/>
      </w:r>
      <w:r>
        <w:rPr>
          <w:rStyle w:val="VerbatimChar"/>
        </w:rPr>
        <w:t xml:space="preserve">## SML Kimeldorf</w:t>
      </w:r>
      <w:r>
        <w:br/>
      </w:r>
      <w:r>
        <w:br/>
      </w:r>
      <w:r>
        <w:rPr>
          <w:rStyle w:val="VerbatimChar"/>
        </w:rPr>
        <w:t xml:space="preserve">## SML Normal</w:t>
      </w:r>
      <w:r>
        <w:br/>
      </w:r>
      <w:r>
        <w:br/>
      </w:r>
      <w:r>
        <w:rPr>
          <w:rStyle w:val="VerbatimChar"/>
        </w:rPr>
        <w:t xml:space="preserve">## Laplace Frank</w:t>
      </w:r>
      <w:r>
        <w:br/>
      </w:r>
      <w:r>
        <w:br/>
      </w:r>
      <w:r>
        <w:rPr>
          <w:rStyle w:val="VerbatimChar"/>
        </w:rPr>
        <w:t xml:space="preserve">## Laplace Kimeldorf</w:t>
      </w:r>
      <w:r>
        <w:br/>
      </w:r>
      <w:r>
        <w:br/>
      </w:r>
      <w:r>
        <w:rPr>
          <w:rStyle w:val="VerbatimChar"/>
        </w:rPr>
        <w:t xml:space="preserve">## Laplace Normal</w:t>
      </w:r>
    </w:p>
    <w:p>
      <w:pPr>
        <w:pStyle w:val="FirstParagraph"/>
      </w:pPr>
      <w:r>
        <w:t xml:space="preserve">Across the scenarios, the equation 1 coefficients are highly significant in every fit, while the equation 2 coefficients show a mix of strong and weak significance. The equation 2</w:t>
      </w:r>
      <w:r>
        <w:t xml:space="preserve"> </w:t>
      </w:r>
      <w:r>
        <w:rPr>
          <w:rStyle w:val="VerbatimChar"/>
        </w:rPr>
        <w:t xml:space="preserve">SR40_MI3</w:t>
      </w:r>
      <w:r>
        <w:t xml:space="preserve"> </w:t>
      </w:r>
      <w:r>
        <w:t xml:space="preserve">and</w:t>
      </w:r>
      <w:r>
        <w:t xml:space="preserve"> </w:t>
      </w:r>
      <w:r>
        <w:rPr>
          <w:rStyle w:val="VerbatimChar"/>
        </w:rPr>
        <w:t xml:space="preserve">MPD_ME</w:t>
      </w:r>
      <w:r>
        <w:t xml:space="preserve"> </w:t>
      </w:r>
      <w:r>
        <w:t xml:space="preserve">coefficients are not significant at conventional levels in most scenarios, consistent with the small equation 2 random scales.</w:t>
      </w:r>
    </w:p>
    <w:bookmarkEnd w:id="15"/>
    <w:bookmarkStart w:id="16" w:name="conclusions"/>
    <w:p>
      <w:pPr>
        <w:pStyle w:val="Heading1"/>
      </w:pPr>
      <w:r>
        <w:t xml:space="preserve">Conclusions</w:t>
      </w:r>
    </w:p>
    <w:p>
      <w:pPr>
        <w:pStyle w:val="FirstParagraph"/>
      </w:pPr>
      <w:r>
        <w:t xml:space="preserve">The normal copula is the fit-quality leader in this benchmark, with the lowest AIC and BIC under both SML and Laplace. Its dependence estimate is also highly consistent between methods. The cost is substantial: the normal SML fit took about 359 minutes, while the normal Laplace fit took about 625 minutes.</w:t>
      </w:r>
    </w:p>
    <w:p>
      <w:pPr>
        <w:pStyle w:val="BodyText"/>
      </w:pPr>
      <w:r>
        <w:t xml:space="preserve">For a balance between fit quality and runtime, the Frank copula with Laplace estimation is a practical alternative: it completed in about 73 minutes and had better information criteria than either Kimeldorf specification. SML and Laplace produced similar coefficient estimates for the Frank and Kimeldorf models, with Laplace completing faster in these runs. Method-specific runtime behavior was not uniform, however: Laplace was slower than SML for the normal copula.</w:t>
      </w:r>
    </w:p>
    <w:bookmarkEnd w:id="16"/>
    <w:bookmarkStart w:id="17" w:name="files-and-provenance"/>
    <w:p>
      <w:pPr>
        <w:pStyle w:val="Heading1"/>
      </w:pPr>
      <w:r>
        <w:t xml:space="preserve">Files and provenance</w:t>
      </w:r>
    </w:p>
    <w:p>
      <w:pPr>
        <w:pStyle w:val="FirstParagraph"/>
      </w:pPr>
      <w:r>
        <w:t xml:space="preserve">The report reads the six saved fit objects in</w:t>
      </w:r>
      <w:r>
        <w:t xml:space="preserve"> </w:t>
      </w:r>
      <w:r>
        <w:rPr>
          <w:rStyle w:val="VerbatimChar"/>
        </w:rPr>
        <w:t xml:space="preserve">results/fit_benchmark_open_v2_*.rds</w:t>
      </w:r>
      <w:r>
        <w:t xml:space="preserve">. The original model script,</w:t>
      </w:r>
      <w:r>
        <w:t xml:space="preserve"> </w:t>
      </w:r>
      <w:r>
        <w:rPr>
          <w:rStyle w:val="VerbatimChar"/>
        </w:rPr>
        <w:t xml:space="preserve">inst/rpbnb_truck_open_v2.R</w:t>
      </w:r>
      <w:r>
        <w:t xml:space="preserve">, was not modified. The benchmark settings matched that script except that the method and copula family were swept across the six requested combinations.</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rpbnb Truck Open v2: TMB Benchmark</dc:title>
  <dc:creator/>
  <cp:keywords/>
  <dcterms:created xsi:type="dcterms:W3CDTF">2026-08-22T22:00:23Z</dcterms:created>
  <dcterms:modified xsi:type="dcterms:W3CDTF">2026-08-22T22:00:23Z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