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EE0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一、基础陈述（你主动发言时用）</w:t>
      </w:r>
    </w:p>
    <w:p w14:paraId="0831AB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2E126E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65D33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法务与风险控制角度，我们这边做了一个整体评估。当前的问题，已经不仅是舆情本身，而是它对合同履行基础产生的影响。原本合作是建立在品牌正向联动和用户接受度的前提之上，但现在这一前提已经发生变化。</w:t>
      </w:r>
    </w:p>
    <w:p w14:paraId="4D02C6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这种情况下，如果仍然完全按照原计划推进履约，并不意味着风险降低，反而可能在上线之后放大不确定性，包括用户抵制、交易纠纷甚至潜在的合规压力。因此，我们的判断是：当前最大的风险，并不是不履约，而是在不确定环境下强行履约。</w:t>
      </w:r>
    </w:p>
    <w:p w14:paraId="18754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基于这一点，我们更倾向于通过调整履约方式来控制风险，例如延期推进，或者对合作结构进行优化，使风险与收益更加匹配。这本身也是对合同更负责任的处理方式。</w:t>
      </w:r>
    </w:p>
    <w:p w14:paraId="7B931E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6C5DB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4B5351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二、对方说：“你们这是违约”</w:t>
      </w:r>
    </w:p>
    <w:p w14:paraId="44CF23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2B7186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我们理解贵方对于履约确定性的重视。但从法律角度来看，违约的判断并不是单纯看是否按期执行，还需要考虑当前情形是否已经明显超出合同订立时的合理预期。</w:t>
      </w:r>
    </w:p>
    <w:p w14:paraId="2E654C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如果外部环境发生了实质性变化，那么对履约方式进行协商调整，是一个合理且常见的处理路径。我们现在提出的，并不是规避责任，而是在现有条件下寻找一个能够降低双方整体风险的解决方案。</w:t>
      </w:r>
    </w:p>
    <w:p w14:paraId="2A5617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firstLine="0" w:firstLineChars="0"/>
        <w:jc w:val="left"/>
        <w:textAlignment w:val="auto"/>
        <w:rPr>
          <w:rFonts w:hint="eastAsia"/>
          <w:sz w:val="28"/>
          <w:szCs w:val="28"/>
        </w:rPr>
      </w:pPr>
      <w:bookmarkStart w:id="0" w:name="_GoBack"/>
      <w:bookmarkEnd w:id="0"/>
    </w:p>
    <w:p w14:paraId="27A767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7D41E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三、对方坚持：“舆情不构成理由，必须按期履行”</w:t>
      </w:r>
    </w:p>
    <w:p w14:paraId="659833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724C7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我们可以理解按期推进对贵方的重要性，但也需要客观地看当前环境。舆情本身或许不是法律上的直接障碍，但它已经实质性影响到消费者行为和市场反馈。</w:t>
      </w:r>
    </w:p>
    <w:p w14:paraId="5878CB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在这种情况下推进上线，一旦出现大规模负面反馈，其带来的风险不会只停留在商业层面，还可能延伸为合同争议甚至其他责任问题。从审慎原则出发，我们需要对这种不确定性保持足够谨慎，而不是简单按原节奏执行。</w:t>
      </w:r>
    </w:p>
    <w:p w14:paraId="19730E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55BF6B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3111D8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四、对方施压：“我们已经投入成本，你们必须承担”</w:t>
      </w:r>
    </w:p>
    <w:p w14:paraId="66D664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2FEE84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我们完全理解贵方已经投入的成本，这一点我们是认可的。也正因为如此，我们才认为当前更需要谨慎处理。</w:t>
      </w:r>
    </w:p>
    <w:p w14:paraId="6F03DC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在高不确定性的情况下继续推进，一旦市场反馈不理想，可能导致更大的损失，这种损失是双方共同承担的，而不是单方可以消化的。因此，相比在当前阶段继续扩大风险敞口，通过调整节奏来降低整体损失，可能是更理性的选择。</w:t>
      </w:r>
    </w:p>
    <w:p w14:paraId="37203A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54749D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五、对方说：“那你们想怎么解决”</w:t>
      </w:r>
    </w:p>
    <w:p w14:paraId="205B64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187A9D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从法务与风险角度，我们认为可以有几个方向：</w:t>
      </w:r>
    </w:p>
    <w:p w14:paraId="09B206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第一，是适当延后履约时间，待市场环境相对稳定后再推进，这样可以降低不确定性。</w:t>
      </w:r>
    </w:p>
    <w:p w14:paraId="4240FA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第二，如果需要继续推进，可以考虑对收益分配和风险承担机制进行调整，使结构更加合理。</w:t>
      </w:r>
    </w:p>
    <w:p w14:paraId="1B7FD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第三，可以增加一些明确的判断条件，例如基于市场反馈或销售数据，作为是否继续推进的依据。</w:t>
      </w:r>
    </w:p>
    <w:p w14:paraId="7E113E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这些方式的核心目标，是在不否定合作的前提下，让整个项目处于一个风险可控的状态。</w:t>
      </w:r>
    </w:p>
    <w:p w14:paraId="440188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firstLine="0" w:firstLineChars="0"/>
        <w:jc w:val="left"/>
        <w:textAlignment w:val="auto"/>
        <w:rPr>
          <w:rFonts w:hint="eastAsia"/>
          <w:sz w:val="28"/>
          <w:szCs w:val="28"/>
        </w:rPr>
      </w:pPr>
    </w:p>
    <w:p w14:paraId="17DEB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六</w:t>
      </w:r>
      <w:r>
        <w:rPr>
          <w:rFonts w:hint="eastAsia"/>
          <w:sz w:val="28"/>
          <w:szCs w:val="28"/>
        </w:rPr>
        <w:t>、收口总结（你最后说）</w:t>
      </w:r>
    </w:p>
    <w:p w14:paraId="125E40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3B9C11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综合来看，我们的核心判断是：当前阶段的问题，本质上不是是否履约，而是履约条件已经发生变化。</w:t>
      </w:r>
    </w:p>
    <w:p w14:paraId="0FCB8F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0A2BE9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在这种情况下，如果简单按照原计划执行，可能会放大风险；而通过对节奏或结构进行调整，可以在更大程度上保护双方的长期利益。</w:t>
      </w:r>
    </w:p>
    <w:p w14:paraId="064FD9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我们希望今天的讨论，能够在这个基础上，找到一个既符合现实情况，又具备可执行性的解决方案。</w:t>
      </w:r>
    </w:p>
    <w:p w14:paraId="7BB973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/>
          <w:sz w:val="28"/>
          <w:szCs w:val="28"/>
        </w:rPr>
      </w:pPr>
    </w:p>
    <w:p w14:paraId="0D2E27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</w:p>
    <w:p w14:paraId="099903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</w:p>
    <w:p w14:paraId="677F29F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 w:bidi="ar"/>
        </w:rPr>
        <w:t>最坏情况预测</w:t>
      </w:r>
    </w:p>
    <w:p w14:paraId="4E99A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  <w:r>
        <w:rPr>
          <w:rFonts w:hint="eastAsia" w:ascii="宋体" w:hAnsi="宋体" w:eastAsia="宋体" w:cs="宋体"/>
          <w:spacing w:val="0"/>
          <w:kern w:val="0"/>
          <w:sz w:val="28"/>
          <w:szCs w:val="28"/>
          <w:lang w:val="en-US" w:eastAsia="zh-CN" w:bidi="ar"/>
        </w:rPr>
        <w:t>作为法务，我有责任提醒各位可能出现的“最坏结果”：</w:t>
      </w:r>
    </w:p>
    <w:p w14:paraId="5AC732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法律诉讼层面</w:t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：如果双方最终对簿公庭，虽然SDN认为延期是违约，但LETSPLAY会基于“重大误解”或“情势变更”进行抗辩。即便最终进入经济赔偿阶段，诉讼成本和对双方商业信誉的持续打击也将是旷日持久的“双输”局面。</w:t>
      </w:r>
    </w:p>
    <w:p w14:paraId="2445F0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品牌生存层面</w:t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：最极端的情况下，LETSPLAY可能会因为这次联名而遭遇品牌危机，导致其22亿美元的年产值大幅缩水。而SDN可能被迫退出中国这个其增长最快的海外市场</w:t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  <w:lang w:eastAsia="zh-CN"/>
        </w:rPr>
        <w:t>。</w:t>
      </w:r>
    </w:p>
    <w:p w14:paraId="2F4146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  <w:lang w:eastAsia="zh-CN"/>
        </w:rPr>
      </w:pPr>
    </w:p>
    <w:p w14:paraId="44F7FC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  <w:lang w:eastAsia="zh-CN"/>
        </w:rPr>
      </w:pPr>
    </w:p>
    <w:p w14:paraId="470CC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firstLine="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SDN情景：</w:t>
      </w:r>
      <w:r>
        <w:rPr>
          <w:rFonts w:hint="eastAsia"/>
          <w:color w:val="0070C0"/>
          <w:sz w:val="28"/>
          <w:szCs w:val="28"/>
        </w:rPr>
        <w:t>SDN试图将话题局限在“是否违约”的法律技术层面，回避“该不该履约”的商业伦理与长期风险层面。</w:t>
      </w:r>
    </w:p>
    <w:p w14:paraId="176C07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74B69D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一、针对论点1</w:t>
      </w:r>
    </w:p>
    <w:p w14:paraId="1A63B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5A40F1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“个人言论无关品牌，你方以舆情为由延期属违约”</w:t>
      </w:r>
    </w:p>
    <w:p w14:paraId="48FAFF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37A115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我们理解贵方希望把本次事件与品牌及合同进行切割，但从风险与法律评估角度，这两者在当前环境下已经很难完全分离。</w:t>
      </w:r>
    </w:p>
    <w:p w14:paraId="41F19D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合作的基础，是双方品牌在中国市场的正向联动以及用户的接受度。而当前事件已经实质性影响到公众认知与消费态度，这意味着合同订立时所依赖的商业前提正在发生变化。即使事件源于个人言论，其外部效果已经作用于品牌本身，并进一步传导到本次合作。</w:t>
      </w:r>
    </w:p>
    <w:p w14:paraId="00F451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在这种情况下，问题不再只是“是否按期履约”，而是履约条件是否仍然具备原有基础。如果在前提发生变化的情况下仍然机械执行原条款，反而可能在后续引发更大的争议或责任。</w:t>
      </w:r>
    </w:p>
    <w:p w14:paraId="5DA32A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我们提出调整履约节奏或方式，并不是否认合同效力，而是基于当前客观变化，寻求一个更稳健、风险更可控的履行路径。</w:t>
      </w:r>
    </w:p>
    <w:p w14:paraId="744F6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2DD12F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firstLine="0" w:firstLineChars="0"/>
        <w:textAlignment w:val="auto"/>
        <w:rPr>
          <w:rFonts w:hint="eastAsia"/>
          <w:sz w:val="28"/>
          <w:szCs w:val="28"/>
        </w:rPr>
      </w:pPr>
    </w:p>
    <w:p w14:paraId="057E81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4F252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二、针对论点2</w:t>
      </w:r>
    </w:p>
    <w:p w14:paraId="12729D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color w:val="0070C0"/>
          <w:sz w:val="28"/>
          <w:szCs w:val="28"/>
        </w:rPr>
      </w:pPr>
    </w:p>
    <w:p w14:paraId="55C9E0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“舆情是暂时的，长期可消化；延期会造成确定损失”</w:t>
      </w:r>
    </w:p>
    <w:p w14:paraId="305D0A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3536A5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我们认同贵方关于短期与长期的区分，但从风险角度看，目前的不确定性恰恰集中在“短期窗口”。</w:t>
      </w:r>
    </w:p>
    <w:p w14:paraId="507C6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前节点是产品上线前的关键阶段，一旦在舆情高点进入市场，所面临的不只是短期讨论，而是可能直接转化为实际行为，例如用户抵制、退单或负面扩散。这类影响一旦形成，对后续品牌和产品的修复成本是比较高的。</w:t>
      </w:r>
    </w:p>
    <w:p w14:paraId="58FE7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相较之下，贵方提到的定金、订金等损失，确实是现实存在的，但它是可测算、可通过安排进行管理的风险；而在当前环境下强行上线所带来的结果，是不确定且可能被放大的。</w:t>
      </w:r>
    </w:p>
    <w:p w14:paraId="2B03EC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从审慎原则出发，我们更倾向于先降低不确定性，再进入市场，而不是在风险高点做决策。这样反而更有利于保护双方整体利益。</w:t>
      </w:r>
    </w:p>
    <w:p w14:paraId="736E29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3D03BC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三、针对论点3</w:t>
      </w:r>
    </w:p>
    <w:p w14:paraId="5036F8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33D9B8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“我们已投入巨大成本，应共担风险”</w:t>
      </w:r>
    </w:p>
    <w:p w14:paraId="1498E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我们完全认可贵方已经发生的投入，也理解贵方希望降低损失的诉求。</w:t>
      </w:r>
    </w:p>
    <w:p w14:paraId="76CB51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 w:ascii="宋体" w:hAnsi="宋体" w:eastAsia="宋体" w:cs="宋体"/>
          <w:b/>
          <w:bCs/>
          <w:spacing w:val="0"/>
          <w:sz w:val="28"/>
          <w:szCs w:val="28"/>
        </w:rPr>
      </w:pPr>
      <w:r>
        <w:rPr>
          <w:rFonts w:hint="eastAsia"/>
          <w:sz w:val="28"/>
          <w:szCs w:val="28"/>
        </w:rPr>
        <w:t>但从风险结构来看，当前问题在于：如果继续按原节奏推进，风险并不会被分散，反而可能被进一步放大，最终形成对双方都不利的结果。在这种情况下，简单强调“继续推进以分摊成本”，未必能够真正实现风险共担。</w:t>
      </w:r>
    </w:p>
    <w:p w14:paraId="4AACD5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  <w:r>
        <w:rPr>
          <w:rFonts w:hint="eastAsia" w:ascii="宋体" w:hAnsi="宋体" w:eastAsia="宋体" w:cs="宋体"/>
          <w:spacing w:val="0"/>
          <w:kern w:val="0"/>
          <w:sz w:val="28"/>
          <w:szCs w:val="28"/>
          <w:lang w:val="en-US" w:eastAsia="zh-CN" w:bidi="ar"/>
        </w:rPr>
        <w:t>SDN方提到已收取的3000万定金和支付给供应商的1500万订金。但在法务看来，这只是“看得见”的成本。</w:t>
      </w:r>
    </w:p>
    <w:p w14:paraId="3C5CCE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Chars="200"/>
        <w:textAlignment w:val="auto"/>
        <w:rPr>
          <w:rFonts w:hint="eastAsia" w:ascii="宋体" w:hAnsi="宋体" w:eastAsia="宋体" w:cs="宋体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对于LETSPLAY而言</w:t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：我们90%的收入来自中国市场。如果按原计划在4月12日上线联名款，极有可能引发全国性的抵制浪潮。一旦被贴上“价值观错误”的标签，我们面临的将是核心用户流失、平台被下架、甚至可能面临相关监管部门的约谈。</w:t>
      </w:r>
    </w:p>
    <w:p w14:paraId="35298B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对于SDN而言</w:t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8"/>
          <w:szCs w:val="28"/>
          <w:shd w:val="clear" w:fill="FFFFFF"/>
        </w:rPr>
        <w:t>：目前的舆情在短短几小时内点击量就突破18万次并登上热搜。在这种极度负面的情绪下强行销售12.23万元的实体服饰，不仅无法达到预期的营销效果，反而会坐实“傲慢”的品牌形象，导致SDN多年来在中国市场积累的商业成果毁于一旦。</w:t>
      </w:r>
    </w:p>
    <w:p w14:paraId="49138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因此，</w:t>
      </w:r>
      <w:r>
        <w:rPr>
          <w:rFonts w:hint="eastAsia"/>
          <w:sz w:val="28"/>
          <w:szCs w:val="28"/>
        </w:rPr>
        <w:t>我们更倾向于一种更实质的共担方式，例如通过调整节奏或结构，让风险在时间和机制上得到缓释，而不是在当前不确定阶段集中释放。</w:t>
      </w:r>
    </w:p>
    <w:p w14:paraId="74B69D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换句话说，我们并不是回避共担，而是希望以一种更可控、更可预期的方式来实现共担。</w:t>
      </w:r>
    </w:p>
    <w:p w14:paraId="671B5D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/>
          <w:sz w:val="28"/>
          <w:szCs w:val="28"/>
        </w:rPr>
      </w:pPr>
    </w:p>
    <w:p w14:paraId="3EAB06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346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C2179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E6E2AB"/>
    <w:multiLevelType w:val="singleLevel"/>
    <w:tmpl w:val="69E6E2AB"/>
    <w:lvl w:ilvl="0" w:tentative="0">
      <w:start w:val="3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2026-04-20T21:53:34Z</dcterms:created>
  <dc:creator>20342</dc:creator>
  <cp:lastModifiedBy>iPad</cp:lastModifiedBy>
  <dcterms:modified xsi:type="dcterms:W3CDTF">2026-04-21T11:17:34Z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KSOTemplateDocerSaveRecord">
    <vt:lpwstr>eyJoZGlkIjoiZGNiYmZhMGExZTM5ZTcwNmQzNTFjMDJjNzc2MTM1YmQiLCJ1c2VySWQiOiIxODIzOTgxMjU0In0=</vt:lpwstr>
  </property>
  <property fmtid="{D5CDD505-2E9C-101B-9397-08002B2CF9AE}" pid="4" name="ICV">
    <vt:lpwstr>4B74E041B8824DE7B3BCB885D3E356E3_12</vt:lpwstr>
  </property>
</Properties>
</file>