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FBB220">
      <w:pPr>
        <w:rPr>
          <w:rFonts w:hint="eastAsia"/>
          <w:sz w:val="52"/>
          <w:lang w:val="en-US" w:eastAsia="zh-CN"/>
        </w:rPr>
      </w:pPr>
      <w:r>
        <w:drawing>
          <wp:anchor distT="0" distB="0" distL="114300" distR="114300" simplePos="0" relativeHeight="251659264" behindDoc="1" locked="0" layoutInCell="1" allowOverlap="1">
            <wp:simplePos x="0" y="0"/>
            <wp:positionH relativeFrom="column">
              <wp:posOffset>1002030</wp:posOffset>
            </wp:positionH>
            <wp:positionV relativeFrom="paragraph">
              <wp:posOffset>485775</wp:posOffset>
            </wp:positionV>
            <wp:extent cx="3575685" cy="3387725"/>
            <wp:effectExtent l="0" t="0" r="5715" b="10795"/>
            <wp:wrapNone/>
            <wp:docPr id="5" name="图片 2" descr="封面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封面1"/>
                    <pic:cNvPicPr>
                      <a:picLocks noChangeAspect="1"/>
                    </pic:cNvPicPr>
                  </pic:nvPicPr>
                  <pic:blipFill>
                    <a:blip r:embed="rId10">
                      <a:grayscl/>
                      <a:lum bright="67999" contrast="50000"/>
                    </a:blip>
                    <a:srcRect l="54149" t="22508" r="34290" b="69244"/>
                    <a:stretch>
                      <a:fillRect/>
                    </a:stretch>
                  </pic:blipFill>
                  <pic:spPr>
                    <a:xfrm>
                      <a:off x="2051685" y="1877695"/>
                      <a:ext cx="3575685" cy="3387725"/>
                    </a:xfrm>
                    <a:prstGeom prst="rect">
                      <a:avLst/>
                    </a:prstGeom>
                    <a:noFill/>
                    <a:ln w="9525">
                      <a:noFill/>
                    </a:ln>
                  </pic:spPr>
                </pic:pic>
              </a:graphicData>
            </a:graphic>
          </wp:anchor>
        </w:drawing>
      </w:r>
      <w:r>
        <w:rPr>
          <w:rFonts w:hint="eastAsia"/>
          <w:sz w:val="52"/>
          <w:lang w:val="en-US" w:eastAsia="zh-CN"/>
        </w:rPr>
        <w:t xml:space="preserve">   </w:t>
      </w:r>
    </w:p>
    <w:p w14:paraId="543A827D">
      <w:pPr>
        <w:rPr>
          <w:sz w:val="52"/>
        </w:rPr>
      </w:pPr>
      <w:r>
        <w:rPr>
          <w:rFonts w:hint="eastAsia"/>
          <w:sz w:val="52"/>
          <w:lang w:val="en-US" w:eastAsia="zh-CN"/>
        </w:rPr>
        <w:t xml:space="preserve">         </w:t>
      </w:r>
    </w:p>
    <w:p w14:paraId="0C8B3AC3">
      <w:pPr>
        <w:rPr>
          <w:sz w:val="52"/>
        </w:rPr>
      </w:pPr>
    </w:p>
    <w:p w14:paraId="5E884002">
      <w:pPr>
        <w:rPr>
          <w:rFonts w:hint="eastAsia" w:eastAsiaTheme="minorEastAsia"/>
          <w:sz w:val="52"/>
          <w:lang w:val="en-US" w:eastAsia="zh-CN"/>
        </w:rPr>
      </w:pPr>
      <w:r>
        <w:rPr>
          <w:rFonts w:hint="eastAsia"/>
          <w:sz w:val="52"/>
          <w:lang w:val="en-US" w:eastAsia="zh-CN"/>
        </w:rPr>
        <w:t xml:space="preserve"> </w:t>
      </w:r>
    </w:p>
    <w:p w14:paraId="7B2AE2AA">
      <w:pPr>
        <w:ind w:firstLine="3360" w:firstLineChars="600"/>
        <w:rPr>
          <w:rFonts w:hint="eastAsia"/>
          <w:sz w:val="56"/>
          <w:szCs w:val="56"/>
          <w:lang w:val="en-US" w:eastAsia="zh-CN"/>
        </w:rPr>
      </w:pPr>
    </w:p>
    <w:p w14:paraId="6BD69BAC">
      <w:pPr>
        <w:ind w:firstLine="3360" w:firstLineChars="600"/>
        <w:rPr>
          <w:rFonts w:hint="eastAsia"/>
          <w:sz w:val="56"/>
          <w:szCs w:val="56"/>
          <w:lang w:val="en-US" w:eastAsia="zh-CN"/>
        </w:rPr>
      </w:pPr>
    </w:p>
    <w:p w14:paraId="467103C1">
      <w:pPr>
        <w:ind w:firstLine="3360" w:firstLineChars="600"/>
        <w:rPr>
          <w:rFonts w:hint="eastAsia"/>
          <w:sz w:val="56"/>
          <w:szCs w:val="56"/>
          <w:lang w:val="en-US" w:eastAsia="zh-CN"/>
        </w:rPr>
      </w:pPr>
    </w:p>
    <w:p w14:paraId="19379DF5">
      <w:pPr>
        <w:ind w:firstLine="1120" w:firstLineChars="200"/>
        <w:rPr>
          <w:rFonts w:hint="eastAsia" w:ascii="楷体" w:hAnsi="楷体" w:eastAsia="楷体" w:cs="楷体"/>
          <w:sz w:val="56"/>
          <w:szCs w:val="56"/>
          <w:lang w:val="en-US" w:eastAsia="zh-CN"/>
        </w:rPr>
      </w:pPr>
      <w:r>
        <w:rPr>
          <w:rFonts w:hint="eastAsia" w:ascii="楷体" w:hAnsi="楷体" w:eastAsia="楷体" w:cs="楷体"/>
          <w:sz w:val="56"/>
          <w:szCs w:val="56"/>
          <w:lang w:val="en-US" w:eastAsia="zh-CN"/>
        </w:rPr>
        <w:t>《国际投资与跨国企业管理》</w:t>
      </w:r>
    </w:p>
    <w:p w14:paraId="435BA992">
      <w:pPr>
        <w:ind w:firstLine="2640" w:firstLineChars="600"/>
        <w:rPr>
          <w:rFonts w:hint="eastAsia" w:ascii="楷体" w:hAnsi="楷体" w:eastAsia="楷体" w:cs="楷体"/>
          <w:sz w:val="52"/>
        </w:rPr>
      </w:pPr>
      <w:r>
        <w:rPr>
          <w:rFonts w:hint="eastAsia" w:ascii="楷体" w:hAnsi="楷体" w:eastAsia="楷体" w:cs="楷体"/>
          <w:sz w:val="44"/>
          <w:szCs w:val="44"/>
          <w:lang w:val="en-US" w:eastAsia="zh-CN"/>
        </w:rPr>
        <w:t>期 末</w:t>
      </w:r>
      <w:r>
        <w:rPr>
          <w:rFonts w:hint="eastAsia" w:ascii="楷体" w:hAnsi="楷体" w:eastAsia="楷体" w:cs="楷体"/>
          <w:sz w:val="44"/>
          <w:szCs w:val="44"/>
        </w:rPr>
        <w:t xml:space="preserve"> </w:t>
      </w:r>
      <w:r>
        <w:rPr>
          <w:rFonts w:hint="eastAsia" w:ascii="楷体" w:hAnsi="楷体" w:eastAsia="楷体" w:cs="楷体"/>
          <w:sz w:val="44"/>
          <w:szCs w:val="44"/>
          <w:lang w:val="en-US" w:eastAsia="zh-CN"/>
        </w:rPr>
        <w:t xml:space="preserve">课 程 </w:t>
      </w:r>
      <w:r>
        <w:rPr>
          <w:rFonts w:hint="eastAsia" w:ascii="楷体" w:hAnsi="楷体" w:eastAsia="楷体" w:cs="楷体"/>
          <w:sz w:val="44"/>
          <w:szCs w:val="44"/>
        </w:rPr>
        <w:t>论 文</w:t>
      </w:r>
    </w:p>
    <w:tbl>
      <w:tblPr>
        <w:tblStyle w:val="8"/>
        <w:tblpPr w:leftFromText="180" w:rightFromText="180" w:vertAnchor="text" w:horzAnchor="page" w:tblpX="2259" w:tblpY="931"/>
        <w:tblOverlap w:val="never"/>
        <w:tblW w:w="7261" w:type="dxa"/>
        <w:tblInd w:w="0" w:type="dxa"/>
        <w:tblLayout w:type="fixed"/>
        <w:tblCellMar>
          <w:top w:w="0" w:type="dxa"/>
          <w:left w:w="108" w:type="dxa"/>
          <w:bottom w:w="0" w:type="dxa"/>
          <w:right w:w="108" w:type="dxa"/>
        </w:tblCellMar>
      </w:tblPr>
      <w:tblGrid>
        <w:gridCol w:w="2062"/>
        <w:gridCol w:w="5199"/>
      </w:tblGrid>
      <w:tr w14:paraId="5AE5D209">
        <w:tblPrEx>
          <w:tblCellMar>
            <w:top w:w="0" w:type="dxa"/>
            <w:left w:w="108" w:type="dxa"/>
            <w:bottom w:w="0" w:type="dxa"/>
            <w:right w:w="108" w:type="dxa"/>
          </w:tblCellMar>
        </w:tblPrEx>
        <w:trPr>
          <w:trHeight w:val="774" w:hRule="atLeast"/>
        </w:trPr>
        <w:tc>
          <w:tcPr>
            <w:tcW w:w="2062" w:type="dxa"/>
            <w:noWrap w:val="0"/>
            <w:vAlign w:val="bottom"/>
          </w:tcPr>
          <w:p w14:paraId="0EAD0A8A">
            <w:pPr>
              <w:spacing w:line="500" w:lineRule="exact"/>
              <w:ind w:left="-105" w:leftChars="-50" w:right="-105" w:rightChars="-50" w:firstLine="656" w:firstLineChars="0"/>
              <w:jc w:val="distribute"/>
              <w:rPr>
                <w:rFonts w:ascii="新宋体" w:hAnsi="新宋体"/>
                <w:b/>
                <w:bCs/>
                <w:sz w:val="30"/>
              </w:rPr>
            </w:pPr>
            <w:r>
              <w:rPr>
                <w:rFonts w:hint="eastAsia" w:eastAsia="黑体"/>
                <w:color w:val="000000"/>
                <w:spacing w:val="24"/>
                <w:sz w:val="28"/>
              </w:rPr>
              <w:t>论文题目</w:t>
            </w:r>
          </w:p>
        </w:tc>
        <w:tc>
          <w:tcPr>
            <w:tcW w:w="5199" w:type="dxa"/>
            <w:tcBorders>
              <w:bottom w:val="single" w:color="auto" w:sz="4" w:space="0"/>
            </w:tcBorders>
            <w:noWrap w:val="0"/>
            <w:vAlign w:val="bottom"/>
          </w:tcPr>
          <w:p w14:paraId="55215C21">
            <w:pPr>
              <w:spacing w:line="500" w:lineRule="exact"/>
              <w:ind w:left="-105" w:leftChars="-50" w:right="-105" w:rightChars="-50" w:firstLine="600" w:firstLineChars="0"/>
              <w:jc w:val="both"/>
              <w:rPr>
                <w:rFonts w:hint="eastAsia" w:ascii="黑体" w:hAnsi="黑体" w:eastAsia="黑体" w:cs="黑体"/>
                <w:sz w:val="30"/>
                <w:szCs w:val="30"/>
                <w:lang w:val="en-US" w:eastAsia="zh-CN"/>
              </w:rPr>
            </w:pPr>
            <w:r>
              <w:rPr>
                <w:rFonts w:hint="eastAsia" w:ascii="黑体" w:hAnsi="黑体" w:eastAsia="黑体" w:cs="黑体"/>
                <w:sz w:val="30"/>
                <w:szCs w:val="30"/>
                <w:lang w:val="en-US" w:eastAsia="zh-CN"/>
              </w:rPr>
              <w:t>新消费零售企业全球化经营模式与发展战略研究——以名创优品为例</w:t>
            </w:r>
          </w:p>
        </w:tc>
      </w:tr>
      <w:tr w14:paraId="1127D722">
        <w:tblPrEx>
          <w:tblCellMar>
            <w:top w:w="0" w:type="dxa"/>
            <w:left w:w="108" w:type="dxa"/>
            <w:bottom w:w="0" w:type="dxa"/>
            <w:right w:w="108" w:type="dxa"/>
          </w:tblCellMar>
        </w:tblPrEx>
        <w:trPr>
          <w:trHeight w:val="746" w:hRule="atLeast"/>
        </w:trPr>
        <w:tc>
          <w:tcPr>
            <w:tcW w:w="2062" w:type="dxa"/>
            <w:noWrap w:val="0"/>
            <w:vAlign w:val="bottom"/>
          </w:tcPr>
          <w:p w14:paraId="0E5DABAD">
            <w:pPr>
              <w:spacing w:line="500" w:lineRule="exact"/>
              <w:ind w:left="-105" w:leftChars="-50" w:right="-105" w:rightChars="-50" w:firstLine="656" w:firstLineChars="0"/>
              <w:jc w:val="distribute"/>
              <w:rPr>
                <w:rFonts w:ascii="新宋体" w:hAnsi="新宋体"/>
                <w:b/>
                <w:bCs/>
                <w:sz w:val="30"/>
              </w:rPr>
            </w:pPr>
            <w:r>
              <w:rPr>
                <w:rFonts w:hint="eastAsia" w:eastAsia="黑体"/>
                <w:color w:val="000000"/>
                <w:spacing w:val="24"/>
                <w:sz w:val="28"/>
              </w:rPr>
              <w:t>学生姓名</w:t>
            </w:r>
          </w:p>
        </w:tc>
        <w:tc>
          <w:tcPr>
            <w:tcW w:w="5199" w:type="dxa"/>
            <w:tcBorders>
              <w:top w:val="single" w:color="auto" w:sz="4" w:space="0"/>
              <w:bottom w:val="single" w:color="auto" w:sz="4" w:space="0"/>
            </w:tcBorders>
            <w:noWrap w:val="0"/>
            <w:vAlign w:val="bottom"/>
          </w:tcPr>
          <w:p w14:paraId="3D179D8C">
            <w:pPr>
              <w:spacing w:line="500" w:lineRule="exact"/>
              <w:ind w:right="-374" w:rightChars="-178" w:firstLine="1800" w:firstLineChars="600"/>
              <w:rPr>
                <w:rFonts w:hint="eastAsia"/>
                <w:sz w:val="30"/>
              </w:rPr>
            </w:pPr>
            <w:r>
              <w:rPr>
                <w:rFonts w:hint="eastAsia"/>
                <w:sz w:val="30"/>
                <w:lang w:val="en-US" w:eastAsia="zh-CN"/>
              </w:rPr>
              <w:t>肖伟娟</w:t>
            </w:r>
          </w:p>
        </w:tc>
      </w:tr>
      <w:tr w14:paraId="0EF18135">
        <w:tblPrEx>
          <w:tblCellMar>
            <w:top w:w="0" w:type="dxa"/>
            <w:left w:w="108" w:type="dxa"/>
            <w:bottom w:w="0" w:type="dxa"/>
            <w:right w:w="108" w:type="dxa"/>
          </w:tblCellMar>
        </w:tblPrEx>
        <w:trPr>
          <w:trHeight w:val="722" w:hRule="atLeast"/>
        </w:trPr>
        <w:tc>
          <w:tcPr>
            <w:tcW w:w="2062" w:type="dxa"/>
            <w:noWrap w:val="0"/>
            <w:vAlign w:val="bottom"/>
          </w:tcPr>
          <w:p w14:paraId="270A60D6">
            <w:pPr>
              <w:spacing w:line="500" w:lineRule="exact"/>
              <w:ind w:left="-105" w:leftChars="-50" w:right="-105" w:rightChars="-50" w:firstLine="656" w:firstLineChars="0"/>
              <w:jc w:val="distribute"/>
              <w:rPr>
                <w:rFonts w:ascii="新宋体" w:hAnsi="新宋体"/>
                <w:b/>
                <w:bCs/>
                <w:sz w:val="30"/>
              </w:rPr>
            </w:pPr>
            <w:r>
              <w:rPr>
                <w:rFonts w:hint="eastAsia" w:eastAsia="黑体"/>
                <w:color w:val="000000"/>
                <w:spacing w:val="24"/>
                <w:sz w:val="28"/>
              </w:rPr>
              <w:t>学生学号</w:t>
            </w:r>
          </w:p>
        </w:tc>
        <w:tc>
          <w:tcPr>
            <w:tcW w:w="5199" w:type="dxa"/>
            <w:tcBorders>
              <w:top w:val="single" w:color="auto" w:sz="4" w:space="0"/>
              <w:bottom w:val="single" w:color="auto" w:sz="4" w:space="0"/>
            </w:tcBorders>
            <w:noWrap w:val="0"/>
            <w:vAlign w:val="bottom"/>
          </w:tcPr>
          <w:p w14:paraId="160C2D81">
            <w:pPr>
              <w:spacing w:line="500" w:lineRule="exact"/>
              <w:ind w:right="-105" w:rightChars="-50" w:firstLine="1500" w:firstLineChars="500"/>
              <w:jc w:val="both"/>
              <w:rPr>
                <w:rFonts w:hint="eastAsia"/>
                <w:sz w:val="30"/>
              </w:rPr>
            </w:pPr>
            <w:r>
              <w:rPr>
                <w:rFonts w:hint="eastAsia"/>
                <w:sz w:val="30"/>
                <w:lang w:val="en-US" w:eastAsia="zh-CN"/>
              </w:rPr>
              <w:t>S2525W1983</w:t>
            </w:r>
          </w:p>
        </w:tc>
      </w:tr>
      <w:tr w14:paraId="53430B2C">
        <w:tblPrEx>
          <w:tblCellMar>
            <w:top w:w="0" w:type="dxa"/>
            <w:left w:w="108" w:type="dxa"/>
            <w:bottom w:w="0" w:type="dxa"/>
            <w:right w:w="108" w:type="dxa"/>
          </w:tblCellMar>
        </w:tblPrEx>
        <w:trPr>
          <w:trHeight w:val="712" w:hRule="atLeast"/>
        </w:trPr>
        <w:tc>
          <w:tcPr>
            <w:tcW w:w="2062" w:type="dxa"/>
            <w:noWrap w:val="0"/>
            <w:vAlign w:val="bottom"/>
          </w:tcPr>
          <w:p w14:paraId="0783B451">
            <w:pPr>
              <w:spacing w:line="500" w:lineRule="exact"/>
              <w:ind w:left="-105" w:leftChars="-50" w:right="-105" w:rightChars="-50" w:firstLine="656" w:firstLineChars="0"/>
              <w:jc w:val="distribute"/>
              <w:rPr>
                <w:rFonts w:ascii="新宋体" w:hAnsi="新宋体"/>
                <w:b/>
                <w:bCs/>
                <w:sz w:val="30"/>
              </w:rPr>
            </w:pPr>
            <w:r>
              <w:rPr>
                <w:rFonts w:hint="eastAsia" w:eastAsia="黑体"/>
                <w:color w:val="000000"/>
                <w:spacing w:val="24"/>
                <w:sz w:val="28"/>
              </w:rPr>
              <w:t>专业班级</w:t>
            </w:r>
          </w:p>
        </w:tc>
        <w:tc>
          <w:tcPr>
            <w:tcW w:w="5199" w:type="dxa"/>
            <w:tcBorders>
              <w:top w:val="single" w:color="auto" w:sz="4" w:space="0"/>
              <w:bottom w:val="single" w:color="auto" w:sz="4" w:space="0"/>
            </w:tcBorders>
            <w:noWrap w:val="0"/>
            <w:vAlign w:val="bottom"/>
          </w:tcPr>
          <w:p w14:paraId="7D404783">
            <w:pPr>
              <w:spacing w:line="500" w:lineRule="exact"/>
              <w:ind w:right="-105" w:rightChars="-50" w:firstLine="1500" w:firstLineChars="500"/>
              <w:jc w:val="both"/>
              <w:rPr>
                <w:sz w:val="30"/>
              </w:rPr>
            </w:pPr>
            <w:r>
              <w:rPr>
                <w:rFonts w:hint="eastAsia"/>
                <w:sz w:val="30"/>
                <w:lang w:val="en-US" w:eastAsia="zh-CN"/>
              </w:rPr>
              <w:t>国际商务二班</w:t>
            </w:r>
          </w:p>
        </w:tc>
      </w:tr>
      <w:tr w14:paraId="1E11825F">
        <w:tblPrEx>
          <w:tblCellMar>
            <w:top w:w="0" w:type="dxa"/>
            <w:left w:w="108" w:type="dxa"/>
            <w:bottom w:w="0" w:type="dxa"/>
            <w:right w:w="108" w:type="dxa"/>
          </w:tblCellMar>
        </w:tblPrEx>
        <w:trPr>
          <w:trHeight w:val="710" w:hRule="atLeast"/>
        </w:trPr>
        <w:tc>
          <w:tcPr>
            <w:tcW w:w="2062" w:type="dxa"/>
            <w:noWrap w:val="0"/>
            <w:vAlign w:val="bottom"/>
          </w:tcPr>
          <w:p w14:paraId="346DA32C">
            <w:pPr>
              <w:spacing w:line="500" w:lineRule="exact"/>
              <w:ind w:left="-105" w:leftChars="-50" w:right="-105" w:rightChars="-50" w:firstLine="656" w:firstLineChars="0"/>
              <w:jc w:val="distribute"/>
              <w:rPr>
                <w:rFonts w:ascii="新宋体" w:hAnsi="新宋体"/>
                <w:b/>
                <w:bCs/>
                <w:sz w:val="30"/>
              </w:rPr>
            </w:pPr>
            <w:r>
              <w:rPr>
                <w:rFonts w:hint="eastAsia" w:eastAsia="黑体"/>
                <w:color w:val="000000"/>
                <w:spacing w:val="24"/>
                <w:sz w:val="28"/>
              </w:rPr>
              <w:t>学院名称</w:t>
            </w:r>
          </w:p>
        </w:tc>
        <w:tc>
          <w:tcPr>
            <w:tcW w:w="5199" w:type="dxa"/>
            <w:tcBorders>
              <w:top w:val="single" w:color="auto" w:sz="4" w:space="0"/>
              <w:bottom w:val="single" w:color="auto" w:sz="4" w:space="0"/>
            </w:tcBorders>
            <w:noWrap w:val="0"/>
            <w:vAlign w:val="bottom"/>
          </w:tcPr>
          <w:p w14:paraId="196EF68F">
            <w:pPr>
              <w:spacing w:line="500" w:lineRule="exact"/>
              <w:ind w:right="-105" w:rightChars="-50" w:firstLine="1500" w:firstLineChars="500"/>
              <w:jc w:val="both"/>
              <w:rPr>
                <w:sz w:val="30"/>
              </w:rPr>
            </w:pPr>
            <w:r>
              <w:rPr>
                <w:rFonts w:hint="eastAsia"/>
                <w:sz w:val="30"/>
                <w:lang w:val="en-US" w:eastAsia="zh-CN"/>
              </w:rPr>
              <w:t>经济与贸易学院</w:t>
            </w:r>
          </w:p>
        </w:tc>
      </w:tr>
    </w:tbl>
    <w:p w14:paraId="73B60F61">
      <w:pPr>
        <w:rPr>
          <w:sz w:val="52"/>
        </w:rPr>
      </w:pPr>
      <w:r>
        <w:rPr>
          <w:rFonts w:hint="eastAsia"/>
          <w:sz w:val="52"/>
          <w:lang w:val="en-US" w:eastAsia="zh-CN"/>
        </w:rPr>
        <w:t xml:space="preserve"> </w:t>
      </w:r>
    </w:p>
    <w:p w14:paraId="1C1D4D63">
      <w:pPr>
        <w:rPr>
          <w:sz w:val="52"/>
        </w:rPr>
      </w:pPr>
    </w:p>
    <w:p w14:paraId="5016B175">
      <w:pPr>
        <w:keepNext w:val="0"/>
        <w:keepLines w:val="0"/>
        <w:pageBreakBefore w:val="0"/>
        <w:widowControl w:val="0"/>
        <w:numPr>
          <w:ilvl w:val="0"/>
          <w:numId w:val="0"/>
        </w:numPr>
        <w:kinsoku/>
        <w:wordWrap/>
        <w:overflowPunct/>
        <w:topLinePunct w:val="0"/>
        <w:autoSpaceDE/>
        <w:autoSpaceDN/>
        <w:bidi w:val="0"/>
        <w:adjustRightInd/>
        <w:snapToGrid/>
        <w:spacing w:before="150" w:after="150" w:line="440" w:lineRule="exact"/>
        <w:jc w:val="center"/>
        <w:textAlignment w:val="auto"/>
        <w:rPr>
          <w:rFonts w:hint="eastAsia" w:ascii="黑体" w:hAnsi="黑体" w:eastAsia="黑体" w:cs="黑体"/>
          <w:sz w:val="30"/>
          <w:szCs w:val="30"/>
          <w:lang w:val="en-US" w:eastAsia="zh-CN"/>
        </w:rPr>
        <w:sectPr>
          <w:headerReference r:id="rId3" w:type="default"/>
          <w:pgSz w:w="11906" w:h="16838"/>
          <w:pgMar w:top="1440" w:right="1800" w:bottom="1440" w:left="1800" w:header="851" w:footer="992" w:gutter="0"/>
          <w:cols w:space="425" w:num="1"/>
          <w:docGrid w:type="lines" w:linePitch="312" w:charSpace="0"/>
        </w:sectPr>
      </w:pPr>
    </w:p>
    <w:p w14:paraId="56D4C758">
      <w:pPr>
        <w:keepNext w:val="0"/>
        <w:keepLines w:val="0"/>
        <w:pageBreakBefore w:val="0"/>
        <w:widowControl w:val="0"/>
        <w:numPr>
          <w:ilvl w:val="0"/>
          <w:numId w:val="0"/>
        </w:numPr>
        <w:kinsoku/>
        <w:wordWrap/>
        <w:overflowPunct/>
        <w:topLinePunct w:val="0"/>
        <w:autoSpaceDE/>
        <w:autoSpaceDN/>
        <w:bidi w:val="0"/>
        <w:adjustRightInd/>
        <w:snapToGrid/>
        <w:spacing w:before="150" w:after="150" w:line="440" w:lineRule="exact"/>
        <w:jc w:val="center"/>
        <w:textAlignment w:val="auto"/>
        <w:rPr>
          <w:rFonts w:hint="eastAsia" w:ascii="黑体" w:hAnsi="黑体" w:eastAsia="黑体" w:cs="黑体"/>
          <w:sz w:val="30"/>
          <w:szCs w:val="30"/>
          <w:lang w:val="en-US" w:eastAsia="zh-CN"/>
        </w:rPr>
      </w:pPr>
      <w:r>
        <w:rPr>
          <w:rFonts w:hint="eastAsia" w:ascii="黑体" w:hAnsi="黑体" w:eastAsia="黑体" w:cs="黑体"/>
          <w:sz w:val="30"/>
          <w:szCs w:val="30"/>
          <w:lang w:val="en-US" w:eastAsia="zh-CN"/>
        </w:rPr>
        <w:t>摘    要</w:t>
      </w:r>
    </w:p>
    <w:p w14:paraId="788BDD86">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hint="default" w:ascii="Times New Roman" w:hAnsi="Times New Roman" w:eastAsia="楷体_GB2312"/>
          <w:sz w:val="24"/>
          <w:highlight w:val="none"/>
          <w:lang w:val="en-US" w:eastAsia="zh-CN"/>
        </w:rPr>
      </w:pPr>
      <w:r>
        <w:rPr>
          <w:rFonts w:hint="default" w:ascii="Times New Roman" w:hAnsi="Times New Roman" w:eastAsia="楷体_GB2312"/>
          <w:sz w:val="24"/>
          <w:highlight w:val="none"/>
          <w:lang w:val="en-US" w:eastAsia="zh-CN"/>
        </w:rPr>
        <w:t>在经济全球化背景下，新消费零售企业逐渐成为跨国经营的重要参与者。与传统制造型跨国公司相比，此类企业在国际化过程中更加依赖品牌塑造、门店网络复制以及供应链协同能力，其全球化路径与竞争逻辑呈现出显著差异。名创优品作为中国新消费零售品牌的代表，在较短时间内完成了覆盖多个国家和地区的海外布局，形成了具有自身特征的全球化经营模式。</w:t>
      </w:r>
    </w:p>
    <w:p w14:paraId="717DF36C">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hint="default" w:ascii="Times New Roman" w:hAnsi="Times New Roman" w:eastAsia="楷体_GB2312"/>
          <w:sz w:val="24"/>
          <w:highlight w:val="none"/>
          <w:lang w:val="en-US" w:eastAsia="zh-CN"/>
        </w:rPr>
      </w:pPr>
      <w:r>
        <w:rPr>
          <w:rFonts w:hint="default" w:ascii="Times New Roman" w:hAnsi="Times New Roman" w:eastAsia="楷体_GB2312"/>
          <w:sz w:val="24"/>
          <w:highlight w:val="none"/>
          <w:lang w:val="en-US" w:eastAsia="zh-CN"/>
        </w:rPr>
        <w:t>本文以名创优品为研究对象，在系统梳理其发展概况与全球化历程的基础上，分析了企业在海外市场进入路径</w:t>
      </w:r>
      <w:r>
        <w:rPr>
          <w:rFonts w:hint="eastAsia" w:ascii="Times New Roman" w:hAnsi="Times New Roman" w:eastAsia="楷体_GB2312"/>
          <w:sz w:val="24"/>
          <w:highlight w:val="none"/>
          <w:lang w:val="en-US" w:eastAsia="zh-CN"/>
        </w:rPr>
        <w:t>、</w:t>
      </w:r>
      <w:r>
        <w:rPr>
          <w:rFonts w:hint="default" w:ascii="Times New Roman" w:hAnsi="Times New Roman" w:eastAsia="楷体_GB2312"/>
          <w:sz w:val="24"/>
          <w:highlight w:val="none"/>
          <w:lang w:val="en-US" w:eastAsia="zh-CN"/>
        </w:rPr>
        <w:t>经营模式选择、</w:t>
      </w:r>
      <w:r>
        <w:rPr>
          <w:rFonts w:hint="eastAsia" w:ascii="Times New Roman" w:hAnsi="Times New Roman" w:eastAsia="楷体_GB2312"/>
          <w:sz w:val="24"/>
          <w:highlight w:val="none"/>
          <w:lang w:val="en-US" w:eastAsia="zh-CN"/>
        </w:rPr>
        <w:t>组织治理机制、供应链管理</w:t>
      </w:r>
      <w:r>
        <w:rPr>
          <w:rFonts w:hint="default" w:ascii="Times New Roman" w:hAnsi="Times New Roman" w:eastAsia="楷体_GB2312"/>
          <w:sz w:val="24"/>
          <w:highlight w:val="none"/>
          <w:lang w:val="en-US" w:eastAsia="zh-CN"/>
        </w:rPr>
        <w:t>以及IP驱动品牌战略等方面的实践特征</w:t>
      </w:r>
      <w:r>
        <w:rPr>
          <w:rFonts w:hint="eastAsia" w:ascii="Times New Roman" w:hAnsi="Times New Roman" w:eastAsia="楷体_GB2312"/>
          <w:sz w:val="24"/>
          <w:highlight w:val="none"/>
          <w:lang w:val="en-US" w:eastAsia="zh-CN"/>
        </w:rPr>
        <w:t>，</w:t>
      </w:r>
      <w:r>
        <w:rPr>
          <w:rFonts w:hint="default" w:ascii="Times New Roman" w:hAnsi="Times New Roman" w:eastAsia="楷体_GB2312"/>
          <w:sz w:val="24"/>
          <w:highlight w:val="none"/>
          <w:lang w:val="en-US" w:eastAsia="zh-CN"/>
        </w:rPr>
        <w:t>进一步结合SWOT分析对名创优品全球化经营过程中所具备的内部条件与面临的外部环境进行了综合评估。可以看出企业已在海外扩张节奏控制</w:t>
      </w:r>
      <w:r>
        <w:rPr>
          <w:rFonts w:hint="eastAsia" w:ascii="Times New Roman" w:hAnsi="Times New Roman" w:eastAsia="楷体_GB2312"/>
          <w:sz w:val="24"/>
          <w:highlight w:val="none"/>
          <w:lang w:val="en-US" w:eastAsia="zh-CN"/>
        </w:rPr>
        <w:t>、</w:t>
      </w:r>
      <w:r>
        <w:rPr>
          <w:rFonts w:hint="default" w:ascii="Times New Roman" w:hAnsi="Times New Roman" w:eastAsia="楷体_GB2312"/>
          <w:sz w:val="24"/>
          <w:highlight w:val="none"/>
          <w:lang w:val="en-US" w:eastAsia="zh-CN"/>
        </w:rPr>
        <w:t>供应链效率</w:t>
      </w:r>
      <w:r>
        <w:rPr>
          <w:rFonts w:hint="eastAsia" w:ascii="Times New Roman" w:hAnsi="Times New Roman" w:eastAsia="楷体_GB2312"/>
          <w:sz w:val="24"/>
          <w:highlight w:val="none"/>
          <w:lang w:val="en-US" w:eastAsia="zh-CN"/>
        </w:rPr>
        <w:t>以及</w:t>
      </w:r>
      <w:r>
        <w:rPr>
          <w:rFonts w:hint="default" w:ascii="Times New Roman" w:hAnsi="Times New Roman" w:eastAsia="楷体_GB2312"/>
          <w:sz w:val="24"/>
          <w:highlight w:val="none"/>
          <w:lang w:val="en-US" w:eastAsia="zh-CN"/>
        </w:rPr>
        <w:t>IP驱动的品牌表达等方面形成较为稳固的竞争基础。但</w:t>
      </w:r>
      <w:r>
        <w:rPr>
          <w:rFonts w:hint="eastAsia" w:ascii="Times New Roman" w:hAnsi="Times New Roman" w:eastAsia="楷体_GB2312"/>
          <w:sz w:val="24"/>
          <w:highlight w:val="none"/>
          <w:lang w:val="en-US" w:eastAsia="zh-CN"/>
        </w:rPr>
        <w:t>也面临着竞争加剧</w:t>
      </w:r>
      <w:r>
        <w:rPr>
          <w:rFonts w:hint="default" w:ascii="Times New Roman" w:hAnsi="Times New Roman" w:eastAsia="楷体_GB2312"/>
          <w:sz w:val="24"/>
          <w:highlight w:val="none"/>
          <w:lang w:val="en-US" w:eastAsia="zh-CN"/>
        </w:rPr>
        <w:t>、</w:t>
      </w:r>
      <w:r>
        <w:rPr>
          <w:rFonts w:hint="eastAsia" w:ascii="Times New Roman" w:hAnsi="Times New Roman" w:eastAsia="楷体_GB2312"/>
          <w:sz w:val="24"/>
          <w:highlight w:val="none"/>
          <w:lang w:val="en-US" w:eastAsia="zh-CN"/>
        </w:rPr>
        <w:t>品牌溢价受限</w:t>
      </w:r>
      <w:r>
        <w:rPr>
          <w:rFonts w:hint="default" w:ascii="Times New Roman" w:hAnsi="Times New Roman" w:eastAsia="楷体_GB2312"/>
          <w:sz w:val="24"/>
          <w:highlight w:val="none"/>
          <w:lang w:val="en-US" w:eastAsia="zh-CN"/>
        </w:rPr>
        <w:t>以及外部环境不确定性</w:t>
      </w:r>
      <w:r>
        <w:rPr>
          <w:rFonts w:hint="eastAsia" w:ascii="Times New Roman" w:hAnsi="Times New Roman" w:eastAsia="楷体_GB2312"/>
          <w:sz w:val="24"/>
          <w:highlight w:val="none"/>
          <w:lang w:val="en-US" w:eastAsia="zh-CN"/>
        </w:rPr>
        <w:t>等挑战。</w:t>
      </w:r>
      <w:r>
        <w:rPr>
          <w:rFonts w:hint="default" w:ascii="Times New Roman" w:hAnsi="Times New Roman" w:eastAsia="楷体_GB2312"/>
          <w:sz w:val="24"/>
          <w:highlight w:val="none"/>
          <w:lang w:val="en-US" w:eastAsia="zh-CN"/>
        </w:rPr>
        <w:t>在此</w:t>
      </w:r>
      <w:bookmarkStart w:id="62" w:name="_GoBack"/>
      <w:bookmarkEnd w:id="62"/>
      <w:r>
        <w:rPr>
          <w:rFonts w:hint="default" w:ascii="Times New Roman" w:hAnsi="Times New Roman" w:eastAsia="楷体_GB2312"/>
          <w:sz w:val="24"/>
          <w:highlight w:val="none"/>
          <w:lang w:val="en-US" w:eastAsia="zh-CN"/>
        </w:rPr>
        <w:t>基础上，</w:t>
      </w:r>
      <w:r>
        <w:rPr>
          <w:rFonts w:hint="eastAsia" w:ascii="Times New Roman" w:hAnsi="Times New Roman" w:eastAsia="楷体_GB2312"/>
          <w:sz w:val="24"/>
          <w:highlight w:val="none"/>
          <w:lang w:val="en-US" w:eastAsia="zh-CN"/>
        </w:rPr>
        <w:t>本文</w:t>
      </w:r>
      <w:r>
        <w:rPr>
          <w:rFonts w:hint="default" w:ascii="Times New Roman" w:hAnsi="Times New Roman" w:eastAsia="楷体_GB2312"/>
          <w:sz w:val="24"/>
          <w:highlight w:val="none"/>
          <w:lang w:val="en-US" w:eastAsia="zh-CN"/>
        </w:rPr>
        <w:t>围绕企业未来全球发展，从</w:t>
      </w:r>
      <w:r>
        <w:rPr>
          <w:rFonts w:hint="eastAsia" w:ascii="Times New Roman" w:hAnsi="Times New Roman" w:eastAsia="楷体_GB2312"/>
          <w:sz w:val="24"/>
          <w:highlight w:val="none"/>
          <w:lang w:val="en-US" w:eastAsia="zh-CN"/>
        </w:rPr>
        <w:t>差异化竞争</w:t>
      </w:r>
      <w:r>
        <w:rPr>
          <w:rFonts w:hint="default" w:ascii="Times New Roman" w:hAnsi="Times New Roman" w:eastAsia="楷体_GB2312"/>
          <w:sz w:val="24"/>
          <w:highlight w:val="none"/>
          <w:lang w:val="en-US" w:eastAsia="zh-CN"/>
        </w:rPr>
        <w:t>、</w:t>
      </w:r>
      <w:r>
        <w:rPr>
          <w:rFonts w:hint="eastAsia" w:ascii="Times New Roman" w:hAnsi="Times New Roman" w:eastAsia="楷体_GB2312"/>
          <w:sz w:val="24"/>
          <w:highlight w:val="none"/>
          <w:lang w:val="en-US" w:eastAsia="zh-CN"/>
        </w:rPr>
        <w:t>强化文化认同</w:t>
      </w:r>
      <w:r>
        <w:rPr>
          <w:rFonts w:hint="default" w:ascii="Times New Roman" w:hAnsi="Times New Roman" w:eastAsia="楷体_GB2312"/>
          <w:sz w:val="24"/>
          <w:highlight w:val="none"/>
          <w:lang w:val="en-US" w:eastAsia="zh-CN"/>
        </w:rPr>
        <w:t>以及加强风险管理等方面提出相应的发展思路。本文的研究有助于深化对新消费零售企业跨国经营模式的理解，并为中国消费品牌的国际化发展提供参考。</w:t>
      </w:r>
    </w:p>
    <w:p w14:paraId="3625B388">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ascii="Times New Roman" w:hAnsi="Times New Roman" w:eastAsia="楷体_GB2312"/>
          <w:sz w:val="24"/>
          <w:highlight w:val="none"/>
        </w:rPr>
      </w:pPr>
    </w:p>
    <w:p w14:paraId="5D5D9FB6">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eastAsia="楷体_GB2312"/>
          <w:sz w:val="24"/>
          <w:highlight w:val="none"/>
          <w:lang w:val="en-US" w:eastAsia="zh-CN"/>
        </w:rPr>
        <w:sectPr>
          <w:pgSz w:w="11906" w:h="16838"/>
          <w:pgMar w:top="1440" w:right="1800" w:bottom="1440" w:left="1800" w:header="851" w:footer="992" w:gutter="0"/>
          <w:cols w:space="425" w:num="1"/>
          <w:docGrid w:type="lines" w:linePitch="312" w:charSpace="0"/>
        </w:sectPr>
      </w:pPr>
      <w:r>
        <w:rPr>
          <w:rFonts w:hint="eastAsia" w:ascii="黑体" w:hAnsi="黑体" w:eastAsia="黑体" w:cs="黑体"/>
          <w:sz w:val="24"/>
          <w:highlight w:val="none"/>
          <w:lang w:val="en-US" w:eastAsia="zh-CN"/>
        </w:rPr>
        <w:t>关键词：</w:t>
      </w:r>
      <w:r>
        <w:rPr>
          <w:rFonts w:hint="default" w:ascii="Times New Roman" w:hAnsi="Times New Roman" w:eastAsia="楷体_GB2312"/>
          <w:sz w:val="24"/>
          <w:highlight w:val="none"/>
          <w:lang w:val="en-US" w:eastAsia="zh-CN"/>
        </w:rPr>
        <w:t>名创优品；跨国经营；</w:t>
      </w:r>
      <w:r>
        <w:rPr>
          <w:rFonts w:hint="eastAsia" w:ascii="Times New Roman" w:hAnsi="Times New Roman" w:eastAsia="楷体_GB2312"/>
          <w:sz w:val="24"/>
          <w:highlight w:val="none"/>
          <w:lang w:val="en-US" w:eastAsia="zh-CN"/>
        </w:rPr>
        <w:t>IP战略</w:t>
      </w:r>
      <w:r>
        <w:rPr>
          <w:rFonts w:hint="default" w:ascii="Times New Roman" w:hAnsi="Times New Roman" w:eastAsia="楷体_GB2312"/>
          <w:sz w:val="24"/>
          <w:highlight w:val="none"/>
          <w:lang w:val="en-US" w:eastAsia="zh-CN"/>
        </w:rPr>
        <w:t>；SWOT分析</w:t>
      </w:r>
    </w:p>
    <w:p w14:paraId="13E5767A">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Times New Roman" w:hAnsi="Times New Roman" w:eastAsia="楷体_GB2312"/>
          <w:sz w:val="24"/>
          <w:highlight w:val="none"/>
          <w:lang w:val="en-US" w:eastAsia="zh-CN"/>
        </w:rPr>
      </w:pPr>
      <w:r>
        <w:rPr>
          <w:rFonts w:hint="eastAsia" w:ascii="Arial Black" w:hAnsi="Arial Black"/>
          <w:color w:val="000000"/>
          <w:sz w:val="32"/>
          <w:szCs w:val="32"/>
          <w:highlight w:val="none"/>
          <w:lang w:val="en-US" w:eastAsia="zh-CN"/>
        </w:rPr>
        <w:t>Abstract</w:t>
      </w:r>
    </w:p>
    <w:p w14:paraId="6D7EE93D">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hint="default" w:ascii="Times New Roman" w:hAnsi="Times New Roman" w:cs="Times New Roman"/>
          <w:color w:val="000000"/>
          <w:sz w:val="24"/>
          <w:szCs w:val="24"/>
          <w:highlight w:val="none"/>
          <w:lang w:val="en-US" w:eastAsia="zh-CN"/>
        </w:rPr>
      </w:pPr>
      <w:r>
        <w:rPr>
          <w:rFonts w:hint="default" w:ascii="Times New Roman" w:hAnsi="Times New Roman" w:cs="Times New Roman"/>
          <w:color w:val="000000"/>
          <w:sz w:val="24"/>
          <w:szCs w:val="24"/>
          <w:highlight w:val="none"/>
          <w:lang w:val="en-US" w:eastAsia="zh-CN"/>
        </w:rPr>
        <w:t>In the context of economic globalization, new consumer retail enterprises have increasingly become important players in cross-border operations. Compared with traditional manufacturing-based multinational corporations, these enterprises rely more heavily on brand building, replication of store networks, and supply chain coordination in their internationalization process, resulting in distinct global expansion paths and competitive logic. As a representative of Chinese new consumer retail brands, Miniso has rapidly established a presence in multiple countries and regions, forming a globalization model with its own characteristics.</w:t>
      </w:r>
    </w:p>
    <w:p w14:paraId="3AB822F1">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hint="default" w:ascii="Times New Roman" w:hAnsi="Times New Roman" w:cs="Times New Roman"/>
          <w:color w:val="000000"/>
          <w:sz w:val="24"/>
          <w:szCs w:val="24"/>
          <w:highlight w:val="none"/>
          <w:lang w:val="en-US" w:eastAsia="zh-CN"/>
        </w:rPr>
      </w:pPr>
      <w:r>
        <w:rPr>
          <w:rFonts w:hint="default" w:ascii="Times New Roman" w:hAnsi="Times New Roman" w:cs="Times New Roman"/>
          <w:color w:val="000000"/>
          <w:sz w:val="24"/>
          <w:szCs w:val="24"/>
          <w:highlight w:val="none"/>
          <w:lang w:val="en-US" w:eastAsia="zh-CN"/>
        </w:rPr>
        <w:t>This paper takes Miniso as the research subject. Based on a systematic review of its development overview and globalization trajectory, it analyzes the company’s practices in overseas market entry strategies, business model selection, organizational governance, supply chain management, and IP-driven brand strategy. Furthermore, by combining SWOT analysis, the paper evaluates the internal capabilities and external environment faced by Miniso in its global operations. The study finds that the company has established a relatively solid competitive foundation in areas such as controlled overseas expansion pace, supply chain efficiency, and IP-driven brand expression. However, it also faces challenges including intensifying competition, limited brand premium, and external uncertainties. On this basis, the paper proposes future development strategies focusing on differentiated competition, strengthening cultural identity, and enhancing risk management. The study contributes to a deeper understanding of the internationalization models of new consumer retail enterprises and offers reference insights for the global expansion of Chinese consumer brands.</w:t>
      </w:r>
    </w:p>
    <w:p w14:paraId="09B230CD">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color w:val="000000"/>
          <w:sz w:val="28"/>
          <w:szCs w:val="28"/>
          <w:highlight w:val="none"/>
          <w:lang w:val="en-US" w:eastAsia="zh-CN"/>
        </w:rPr>
      </w:pPr>
    </w:p>
    <w:p w14:paraId="579785CA">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left"/>
        <w:textAlignment w:val="auto"/>
        <w:rPr>
          <w:rFonts w:hint="default" w:ascii="Times New Roman" w:hAnsi="Times New Roman" w:cs="Times New Roman"/>
          <w:color w:val="000000"/>
          <w:sz w:val="28"/>
          <w:szCs w:val="28"/>
          <w:highlight w:val="none"/>
          <w:lang w:val="en-US" w:eastAsia="zh-CN"/>
        </w:rPr>
        <w:sectPr>
          <w:pgSz w:w="11906" w:h="16838"/>
          <w:pgMar w:top="1440" w:right="1800" w:bottom="1440" w:left="1800" w:header="851" w:footer="992" w:gutter="0"/>
          <w:cols w:space="425" w:num="1"/>
          <w:docGrid w:type="lines" w:linePitch="312" w:charSpace="0"/>
        </w:sectPr>
      </w:pPr>
      <w:r>
        <w:rPr>
          <w:rFonts w:ascii="Arial Black" w:hAnsi="Arial Black" w:eastAsia="黑体"/>
          <w:color w:val="000000"/>
          <w:sz w:val="24"/>
          <w:highlight w:val="none"/>
        </w:rPr>
        <w:t>Keywords</w:t>
      </w:r>
      <w:r>
        <w:rPr>
          <w:rFonts w:ascii="Times New Roman" w:hAnsi="Times New Roman" w:eastAsia="黑体"/>
          <w:color w:val="000000"/>
          <w:sz w:val="24"/>
          <w:highlight w:val="none"/>
        </w:rPr>
        <w:t>：</w:t>
      </w:r>
      <w:r>
        <w:rPr>
          <w:rFonts w:hint="eastAsia" w:ascii="Times New Roman" w:hAnsi="Times New Roman" w:eastAsia="黑体"/>
          <w:color w:val="000000"/>
          <w:sz w:val="24"/>
          <w:highlight w:val="none"/>
        </w:rPr>
        <w:t>Miniso; Multinational Retail; Intellectual Property Strategy; SWOT Analysis</w:t>
      </w:r>
    </w:p>
    <w:p w14:paraId="1E17B3CF">
      <w:pPr>
        <w:pStyle w:val="5"/>
        <w:tabs>
          <w:tab w:val="right" w:leader="dot" w:pos="8306"/>
        </w:tabs>
      </w:pPr>
      <w:r>
        <w:fldChar w:fldCharType="begin"/>
      </w:r>
      <w:r>
        <w:instrText xml:space="preserve">TOC \t "样式1,1,样式2,2,样式3,3" \h</w:instrText>
      </w:r>
      <w:r>
        <w:fldChar w:fldCharType="separate"/>
      </w:r>
      <w:r>
        <w:fldChar w:fldCharType="begin"/>
      </w:r>
      <w:r>
        <w:instrText xml:space="preserve"> HYPERLINK \l _Toc11819 </w:instrText>
      </w:r>
      <w:r>
        <w:fldChar w:fldCharType="separate"/>
      </w:r>
      <w:r>
        <w:rPr>
          <w:rFonts w:hint="default"/>
          <w:lang w:val="en-US" w:eastAsia="zh-CN"/>
        </w:rPr>
        <w:t>第一章</w:t>
      </w:r>
      <w:r>
        <w:rPr>
          <w:rFonts w:hint="eastAsia"/>
          <w:lang w:val="en-US" w:eastAsia="zh-CN"/>
        </w:rPr>
        <w:t xml:space="preserve"> </w:t>
      </w:r>
      <w:r>
        <w:rPr>
          <w:rFonts w:hint="default"/>
          <w:lang w:val="en-US" w:eastAsia="zh-CN"/>
        </w:rPr>
        <w:t>绪论</w:t>
      </w:r>
      <w:r>
        <w:tab/>
      </w:r>
      <w:r>
        <w:fldChar w:fldCharType="begin"/>
      </w:r>
      <w:r>
        <w:instrText xml:space="preserve"> PAGEREF _Toc11819 \h </w:instrText>
      </w:r>
      <w:r>
        <w:fldChar w:fldCharType="separate"/>
      </w:r>
      <w:r>
        <w:t>1</w:t>
      </w:r>
      <w:r>
        <w:fldChar w:fldCharType="end"/>
      </w:r>
      <w:r>
        <w:fldChar w:fldCharType="end"/>
      </w:r>
    </w:p>
    <w:p w14:paraId="03B0DFD3">
      <w:pPr>
        <w:pStyle w:val="6"/>
        <w:tabs>
          <w:tab w:val="right" w:leader="dot" w:pos="8306"/>
        </w:tabs>
      </w:pPr>
      <w:r>
        <w:fldChar w:fldCharType="begin"/>
      </w:r>
      <w:r>
        <w:instrText xml:space="preserve"> HYPERLINK \l _Toc11023 </w:instrText>
      </w:r>
      <w:r>
        <w:fldChar w:fldCharType="separate"/>
      </w:r>
      <w:r>
        <w:rPr>
          <w:rFonts w:hint="default"/>
          <w:lang w:val="en-US" w:eastAsia="zh-CN"/>
        </w:rPr>
        <w:t>1.1研究背景</w:t>
      </w:r>
      <w:r>
        <w:tab/>
      </w:r>
      <w:r>
        <w:fldChar w:fldCharType="begin"/>
      </w:r>
      <w:r>
        <w:instrText xml:space="preserve"> PAGEREF _Toc11023 \h </w:instrText>
      </w:r>
      <w:r>
        <w:fldChar w:fldCharType="separate"/>
      </w:r>
      <w:r>
        <w:t>1</w:t>
      </w:r>
      <w:r>
        <w:fldChar w:fldCharType="end"/>
      </w:r>
      <w:r>
        <w:fldChar w:fldCharType="end"/>
      </w:r>
    </w:p>
    <w:p w14:paraId="77D982F0">
      <w:pPr>
        <w:pStyle w:val="6"/>
        <w:tabs>
          <w:tab w:val="right" w:leader="dot" w:pos="8306"/>
        </w:tabs>
      </w:pPr>
      <w:r>
        <w:fldChar w:fldCharType="begin"/>
      </w:r>
      <w:r>
        <w:instrText xml:space="preserve"> HYPERLINK \l _Toc10902 </w:instrText>
      </w:r>
      <w:r>
        <w:fldChar w:fldCharType="separate"/>
      </w:r>
      <w:r>
        <w:rPr>
          <w:rFonts w:hint="default"/>
          <w:lang w:val="en-US" w:eastAsia="zh-CN"/>
        </w:rPr>
        <w:t>1.2研究意义</w:t>
      </w:r>
      <w:r>
        <w:tab/>
      </w:r>
      <w:r>
        <w:fldChar w:fldCharType="begin"/>
      </w:r>
      <w:r>
        <w:instrText xml:space="preserve"> PAGEREF _Toc10902 \h </w:instrText>
      </w:r>
      <w:r>
        <w:fldChar w:fldCharType="separate"/>
      </w:r>
      <w:r>
        <w:t>1</w:t>
      </w:r>
      <w:r>
        <w:fldChar w:fldCharType="end"/>
      </w:r>
      <w:r>
        <w:fldChar w:fldCharType="end"/>
      </w:r>
    </w:p>
    <w:p w14:paraId="476EB1BD">
      <w:pPr>
        <w:pStyle w:val="6"/>
        <w:tabs>
          <w:tab w:val="right" w:leader="dot" w:pos="8306"/>
        </w:tabs>
      </w:pPr>
      <w:r>
        <w:fldChar w:fldCharType="begin"/>
      </w:r>
      <w:r>
        <w:instrText xml:space="preserve"> HYPERLINK \l _Toc15834 </w:instrText>
      </w:r>
      <w:r>
        <w:fldChar w:fldCharType="separate"/>
      </w:r>
      <w:r>
        <w:rPr>
          <w:rFonts w:hint="default"/>
          <w:lang w:val="en-US" w:eastAsia="zh-CN"/>
        </w:rPr>
        <w:t>1.</w:t>
      </w:r>
      <w:r>
        <w:rPr>
          <w:rFonts w:hint="eastAsia"/>
          <w:lang w:val="en-US" w:eastAsia="zh-CN"/>
        </w:rPr>
        <w:t>3</w:t>
      </w:r>
      <w:r>
        <w:rPr>
          <w:rFonts w:hint="default"/>
          <w:lang w:val="en-US" w:eastAsia="zh-CN"/>
        </w:rPr>
        <w:t>研究</w:t>
      </w:r>
      <w:r>
        <w:rPr>
          <w:rFonts w:hint="eastAsia"/>
          <w:lang w:val="en-US" w:eastAsia="zh-CN"/>
        </w:rPr>
        <w:t>内容与研究方法</w:t>
      </w:r>
      <w:r>
        <w:tab/>
      </w:r>
      <w:r>
        <w:fldChar w:fldCharType="begin"/>
      </w:r>
      <w:r>
        <w:instrText xml:space="preserve"> PAGEREF _Toc15834 \h </w:instrText>
      </w:r>
      <w:r>
        <w:fldChar w:fldCharType="separate"/>
      </w:r>
      <w:r>
        <w:t>1</w:t>
      </w:r>
      <w:r>
        <w:fldChar w:fldCharType="end"/>
      </w:r>
      <w:r>
        <w:fldChar w:fldCharType="end"/>
      </w:r>
    </w:p>
    <w:p w14:paraId="0FA72437">
      <w:pPr>
        <w:pStyle w:val="5"/>
        <w:tabs>
          <w:tab w:val="right" w:leader="dot" w:pos="8306"/>
        </w:tabs>
      </w:pPr>
      <w:r>
        <w:fldChar w:fldCharType="begin"/>
      </w:r>
      <w:r>
        <w:instrText xml:space="preserve"> HYPERLINK \l _Toc12595 </w:instrText>
      </w:r>
      <w:r>
        <w:fldChar w:fldCharType="separate"/>
      </w:r>
      <w:r>
        <w:rPr>
          <w:rFonts w:hint="default"/>
          <w:lang w:val="en-US" w:eastAsia="zh-CN"/>
        </w:rPr>
        <w:t>第二章</w:t>
      </w:r>
      <w:r>
        <w:rPr>
          <w:rFonts w:hint="eastAsia"/>
          <w:lang w:val="en-US" w:eastAsia="zh-CN"/>
        </w:rPr>
        <w:t xml:space="preserve"> </w:t>
      </w:r>
      <w:r>
        <w:rPr>
          <w:rFonts w:hint="default"/>
          <w:lang w:val="en-US" w:eastAsia="zh-CN"/>
        </w:rPr>
        <w:t>名创优品发展概况与全球化历程</w:t>
      </w:r>
      <w:r>
        <w:tab/>
      </w:r>
      <w:r>
        <w:fldChar w:fldCharType="begin"/>
      </w:r>
      <w:r>
        <w:instrText xml:space="preserve"> PAGEREF _Toc12595 \h </w:instrText>
      </w:r>
      <w:r>
        <w:fldChar w:fldCharType="separate"/>
      </w:r>
      <w:r>
        <w:t>2</w:t>
      </w:r>
      <w:r>
        <w:fldChar w:fldCharType="end"/>
      </w:r>
      <w:r>
        <w:fldChar w:fldCharType="end"/>
      </w:r>
    </w:p>
    <w:p w14:paraId="1BFF4482">
      <w:pPr>
        <w:pStyle w:val="6"/>
        <w:tabs>
          <w:tab w:val="right" w:leader="dot" w:pos="8306"/>
        </w:tabs>
      </w:pPr>
      <w:r>
        <w:fldChar w:fldCharType="begin"/>
      </w:r>
      <w:r>
        <w:instrText xml:space="preserve"> HYPERLINK \l _Toc26537 </w:instrText>
      </w:r>
      <w:r>
        <w:fldChar w:fldCharType="separate"/>
      </w:r>
      <w:r>
        <w:rPr>
          <w:rFonts w:hint="default"/>
          <w:lang w:val="en-US" w:eastAsia="zh-CN"/>
        </w:rPr>
        <w:t>2.1发展概况</w:t>
      </w:r>
      <w:r>
        <w:tab/>
      </w:r>
      <w:r>
        <w:fldChar w:fldCharType="begin"/>
      </w:r>
      <w:r>
        <w:instrText xml:space="preserve"> PAGEREF _Toc26537 \h </w:instrText>
      </w:r>
      <w:r>
        <w:fldChar w:fldCharType="separate"/>
      </w:r>
      <w:r>
        <w:t>2</w:t>
      </w:r>
      <w:r>
        <w:fldChar w:fldCharType="end"/>
      </w:r>
      <w:r>
        <w:fldChar w:fldCharType="end"/>
      </w:r>
    </w:p>
    <w:p w14:paraId="48C81C0D">
      <w:pPr>
        <w:pStyle w:val="6"/>
        <w:tabs>
          <w:tab w:val="right" w:leader="dot" w:pos="8306"/>
        </w:tabs>
      </w:pPr>
      <w:r>
        <w:fldChar w:fldCharType="begin"/>
      </w:r>
      <w:r>
        <w:instrText xml:space="preserve"> HYPERLINK \l _Toc2805 </w:instrText>
      </w:r>
      <w:r>
        <w:fldChar w:fldCharType="separate"/>
      </w:r>
      <w:r>
        <w:rPr>
          <w:rFonts w:hint="default"/>
          <w:lang w:val="en-US" w:eastAsia="zh-CN"/>
        </w:rPr>
        <w:t>2.2全球化</w:t>
      </w:r>
      <w:r>
        <w:rPr>
          <w:rFonts w:hint="eastAsia"/>
          <w:lang w:val="en-US" w:eastAsia="zh-CN"/>
        </w:rPr>
        <w:t>历程</w:t>
      </w:r>
      <w:r>
        <w:tab/>
      </w:r>
      <w:r>
        <w:fldChar w:fldCharType="begin"/>
      </w:r>
      <w:r>
        <w:instrText xml:space="preserve"> PAGEREF _Toc2805 \h </w:instrText>
      </w:r>
      <w:r>
        <w:fldChar w:fldCharType="separate"/>
      </w:r>
      <w:r>
        <w:t>2</w:t>
      </w:r>
      <w:r>
        <w:fldChar w:fldCharType="end"/>
      </w:r>
      <w:r>
        <w:fldChar w:fldCharType="end"/>
      </w:r>
    </w:p>
    <w:p w14:paraId="78663E99">
      <w:pPr>
        <w:pStyle w:val="5"/>
        <w:tabs>
          <w:tab w:val="right" w:leader="dot" w:pos="8306"/>
        </w:tabs>
      </w:pPr>
      <w:r>
        <w:fldChar w:fldCharType="begin"/>
      </w:r>
      <w:r>
        <w:instrText xml:space="preserve"> HYPERLINK \l _Toc9331 </w:instrText>
      </w:r>
      <w:r>
        <w:fldChar w:fldCharType="separate"/>
      </w:r>
      <w:r>
        <w:rPr>
          <w:rFonts w:hint="eastAsia"/>
          <w:lang w:val="en-US" w:eastAsia="zh-CN"/>
        </w:rPr>
        <w:t xml:space="preserve">第三章 </w:t>
      </w:r>
      <w:r>
        <w:rPr>
          <w:rFonts w:hint="default"/>
          <w:lang w:val="en-US" w:eastAsia="zh-CN"/>
        </w:rPr>
        <w:t>名创优品全球化经营模式</w:t>
      </w:r>
      <w:r>
        <w:rPr>
          <w:rFonts w:hint="eastAsia"/>
          <w:lang w:val="en-US" w:eastAsia="zh-CN"/>
        </w:rPr>
        <w:t>分析</w:t>
      </w:r>
      <w:r>
        <w:tab/>
      </w:r>
      <w:r>
        <w:fldChar w:fldCharType="begin"/>
      </w:r>
      <w:r>
        <w:instrText xml:space="preserve"> PAGEREF _Toc9331 \h </w:instrText>
      </w:r>
      <w:r>
        <w:fldChar w:fldCharType="separate"/>
      </w:r>
      <w:r>
        <w:t>3</w:t>
      </w:r>
      <w:r>
        <w:fldChar w:fldCharType="end"/>
      </w:r>
      <w:r>
        <w:fldChar w:fldCharType="end"/>
      </w:r>
    </w:p>
    <w:p w14:paraId="7E451EAF">
      <w:pPr>
        <w:pStyle w:val="6"/>
        <w:tabs>
          <w:tab w:val="right" w:leader="dot" w:pos="8306"/>
        </w:tabs>
      </w:pPr>
      <w:r>
        <w:fldChar w:fldCharType="begin"/>
      </w:r>
      <w:r>
        <w:instrText xml:space="preserve"> HYPERLINK \l _Toc1922 </w:instrText>
      </w:r>
      <w:r>
        <w:fldChar w:fldCharType="separate"/>
      </w:r>
      <w:r>
        <w:rPr>
          <w:rFonts w:hint="default"/>
          <w:lang w:val="en-US" w:eastAsia="zh-CN"/>
        </w:rPr>
        <w:t>3.1全球市场进入路径与海外经营模式选择</w:t>
      </w:r>
      <w:r>
        <w:tab/>
      </w:r>
      <w:r>
        <w:fldChar w:fldCharType="begin"/>
      </w:r>
      <w:r>
        <w:instrText xml:space="preserve"> PAGEREF _Toc1922 \h </w:instrText>
      </w:r>
      <w:r>
        <w:fldChar w:fldCharType="separate"/>
      </w:r>
      <w:r>
        <w:t>3</w:t>
      </w:r>
      <w:r>
        <w:fldChar w:fldCharType="end"/>
      </w:r>
      <w:r>
        <w:fldChar w:fldCharType="end"/>
      </w:r>
    </w:p>
    <w:p w14:paraId="0A4DB178">
      <w:pPr>
        <w:pStyle w:val="2"/>
        <w:tabs>
          <w:tab w:val="right" w:leader="dot" w:pos="8306"/>
        </w:tabs>
      </w:pPr>
      <w:r>
        <w:fldChar w:fldCharType="begin"/>
      </w:r>
      <w:r>
        <w:instrText xml:space="preserve"> HYPERLINK \l _Toc25263 </w:instrText>
      </w:r>
      <w:r>
        <w:fldChar w:fldCharType="separate"/>
      </w:r>
      <w:r>
        <w:rPr>
          <w:rFonts w:hint="default"/>
          <w:lang w:val="en-US" w:eastAsia="zh-CN"/>
        </w:rPr>
        <w:t>3.1.1阶段性</w:t>
      </w:r>
      <w:r>
        <w:rPr>
          <w:rFonts w:hint="eastAsia"/>
          <w:lang w:val="en-US" w:eastAsia="zh-CN"/>
        </w:rPr>
        <w:t>海外扩张</w:t>
      </w:r>
      <w:r>
        <w:tab/>
      </w:r>
      <w:r>
        <w:fldChar w:fldCharType="begin"/>
      </w:r>
      <w:r>
        <w:instrText xml:space="preserve"> PAGEREF _Toc25263 \h </w:instrText>
      </w:r>
      <w:r>
        <w:fldChar w:fldCharType="separate"/>
      </w:r>
      <w:r>
        <w:t>3</w:t>
      </w:r>
      <w:r>
        <w:fldChar w:fldCharType="end"/>
      </w:r>
      <w:r>
        <w:fldChar w:fldCharType="end"/>
      </w:r>
    </w:p>
    <w:p w14:paraId="3D3C8E7E">
      <w:pPr>
        <w:pStyle w:val="2"/>
        <w:tabs>
          <w:tab w:val="right" w:leader="dot" w:pos="8306"/>
        </w:tabs>
      </w:pPr>
      <w:r>
        <w:fldChar w:fldCharType="begin"/>
      </w:r>
      <w:r>
        <w:instrText xml:space="preserve"> HYPERLINK \l _Toc19279 </w:instrText>
      </w:r>
      <w:r>
        <w:fldChar w:fldCharType="separate"/>
      </w:r>
      <w:r>
        <w:rPr>
          <w:rFonts w:hint="default"/>
          <w:lang w:val="en-US" w:eastAsia="zh-CN"/>
        </w:rPr>
        <w:t>3.1.2多元化海外经营模式</w:t>
      </w:r>
      <w:r>
        <w:tab/>
      </w:r>
      <w:r>
        <w:fldChar w:fldCharType="begin"/>
      </w:r>
      <w:r>
        <w:instrText xml:space="preserve"> PAGEREF _Toc19279 \h </w:instrText>
      </w:r>
      <w:r>
        <w:fldChar w:fldCharType="separate"/>
      </w:r>
      <w:r>
        <w:t>3</w:t>
      </w:r>
      <w:r>
        <w:fldChar w:fldCharType="end"/>
      </w:r>
      <w:r>
        <w:fldChar w:fldCharType="end"/>
      </w:r>
    </w:p>
    <w:p w14:paraId="7FE08511">
      <w:pPr>
        <w:pStyle w:val="2"/>
        <w:tabs>
          <w:tab w:val="right" w:leader="dot" w:pos="8306"/>
        </w:tabs>
      </w:pPr>
      <w:r>
        <w:fldChar w:fldCharType="begin"/>
      </w:r>
      <w:r>
        <w:instrText xml:space="preserve"> HYPERLINK \l _Toc19816 </w:instrText>
      </w:r>
      <w:r>
        <w:fldChar w:fldCharType="separate"/>
      </w:r>
      <w:r>
        <w:rPr>
          <w:rFonts w:hint="default"/>
          <w:lang w:val="en-US" w:eastAsia="zh-CN"/>
        </w:rPr>
        <w:t>3.1.3高势能商圈布局策略</w:t>
      </w:r>
      <w:r>
        <w:tab/>
      </w:r>
      <w:r>
        <w:fldChar w:fldCharType="begin"/>
      </w:r>
      <w:r>
        <w:instrText xml:space="preserve"> PAGEREF _Toc19816 \h </w:instrText>
      </w:r>
      <w:r>
        <w:fldChar w:fldCharType="separate"/>
      </w:r>
      <w:r>
        <w:t>4</w:t>
      </w:r>
      <w:r>
        <w:fldChar w:fldCharType="end"/>
      </w:r>
      <w:r>
        <w:fldChar w:fldCharType="end"/>
      </w:r>
    </w:p>
    <w:p w14:paraId="35AF201E">
      <w:pPr>
        <w:pStyle w:val="6"/>
        <w:tabs>
          <w:tab w:val="right" w:leader="dot" w:pos="8306"/>
        </w:tabs>
      </w:pPr>
      <w:r>
        <w:fldChar w:fldCharType="begin"/>
      </w:r>
      <w:r>
        <w:instrText xml:space="preserve"> HYPERLINK \l _Toc21476 </w:instrText>
      </w:r>
      <w:r>
        <w:fldChar w:fldCharType="separate"/>
      </w:r>
      <w:r>
        <w:rPr>
          <w:rFonts w:hint="default"/>
          <w:lang w:val="en-US" w:eastAsia="zh-CN"/>
        </w:rPr>
        <w:t>3.2全球化与本土化并行的组织治理机制</w:t>
      </w:r>
      <w:r>
        <w:tab/>
      </w:r>
      <w:r>
        <w:fldChar w:fldCharType="begin"/>
      </w:r>
      <w:r>
        <w:instrText xml:space="preserve"> PAGEREF _Toc21476 \h </w:instrText>
      </w:r>
      <w:r>
        <w:fldChar w:fldCharType="separate"/>
      </w:r>
      <w:r>
        <w:t>4</w:t>
      </w:r>
      <w:r>
        <w:fldChar w:fldCharType="end"/>
      </w:r>
      <w:r>
        <w:fldChar w:fldCharType="end"/>
      </w:r>
    </w:p>
    <w:p w14:paraId="283CE111">
      <w:pPr>
        <w:pStyle w:val="2"/>
        <w:tabs>
          <w:tab w:val="right" w:leader="dot" w:pos="8306"/>
        </w:tabs>
      </w:pPr>
      <w:r>
        <w:fldChar w:fldCharType="begin"/>
      </w:r>
      <w:r>
        <w:instrText xml:space="preserve"> HYPERLINK \l _Toc6154 </w:instrText>
      </w:r>
      <w:r>
        <w:fldChar w:fldCharType="separate"/>
      </w:r>
      <w:r>
        <w:rPr>
          <w:rFonts w:hint="eastAsia"/>
          <w:lang w:val="en-US" w:eastAsia="zh-CN"/>
        </w:rPr>
        <w:t>3.2.1轻资产扩张</w:t>
      </w:r>
      <w:r>
        <w:t>快速渗透全球市场</w:t>
      </w:r>
      <w:r>
        <w:tab/>
      </w:r>
      <w:r>
        <w:fldChar w:fldCharType="begin"/>
      </w:r>
      <w:r>
        <w:instrText xml:space="preserve"> PAGEREF _Toc6154 \h </w:instrText>
      </w:r>
      <w:r>
        <w:fldChar w:fldCharType="separate"/>
      </w:r>
      <w:r>
        <w:t>4</w:t>
      </w:r>
      <w:r>
        <w:fldChar w:fldCharType="end"/>
      </w:r>
      <w:r>
        <w:fldChar w:fldCharType="end"/>
      </w:r>
    </w:p>
    <w:p w14:paraId="49C708D3">
      <w:pPr>
        <w:pStyle w:val="2"/>
        <w:tabs>
          <w:tab w:val="right" w:leader="dot" w:pos="8306"/>
        </w:tabs>
      </w:pPr>
      <w:r>
        <w:fldChar w:fldCharType="begin"/>
      </w:r>
      <w:r>
        <w:instrText xml:space="preserve"> HYPERLINK \l _Toc2806 </w:instrText>
      </w:r>
      <w:r>
        <w:fldChar w:fldCharType="separate"/>
      </w:r>
      <w:r>
        <w:rPr>
          <w:rFonts w:hint="default"/>
          <w:lang w:val="en-US" w:eastAsia="zh-CN"/>
        </w:rPr>
        <w:t>3.</w:t>
      </w:r>
      <w:r>
        <w:rPr>
          <w:rFonts w:hint="eastAsia"/>
          <w:lang w:val="en-US" w:eastAsia="zh-CN"/>
        </w:rPr>
        <w:t>2</w:t>
      </w:r>
      <w:r>
        <w:rPr>
          <w:rFonts w:hint="default"/>
          <w:lang w:val="en-US" w:eastAsia="zh-CN"/>
        </w:rPr>
        <w:t>.2</w:t>
      </w:r>
      <w:r>
        <w:rPr>
          <w:rFonts w:hint="eastAsia"/>
          <w:lang w:val="en-US" w:eastAsia="zh-CN"/>
        </w:rPr>
        <w:t>本土化适配</w:t>
      </w:r>
      <w:r>
        <w:t>破解文化差异</w:t>
      </w:r>
      <w:r>
        <w:tab/>
      </w:r>
      <w:r>
        <w:fldChar w:fldCharType="begin"/>
      </w:r>
      <w:r>
        <w:instrText xml:space="preserve"> PAGEREF _Toc2806 \h </w:instrText>
      </w:r>
      <w:r>
        <w:fldChar w:fldCharType="separate"/>
      </w:r>
      <w:r>
        <w:t>5</w:t>
      </w:r>
      <w:r>
        <w:fldChar w:fldCharType="end"/>
      </w:r>
      <w:r>
        <w:fldChar w:fldCharType="end"/>
      </w:r>
    </w:p>
    <w:p w14:paraId="459A2B83">
      <w:pPr>
        <w:pStyle w:val="2"/>
        <w:tabs>
          <w:tab w:val="right" w:leader="dot" w:pos="8306"/>
        </w:tabs>
      </w:pPr>
      <w:r>
        <w:fldChar w:fldCharType="begin"/>
      </w:r>
      <w:r>
        <w:instrText xml:space="preserve"> HYPERLINK \l _Toc24972 </w:instrText>
      </w:r>
      <w:r>
        <w:fldChar w:fldCharType="separate"/>
      </w:r>
      <w:r>
        <w:rPr>
          <w:rFonts w:hint="eastAsia"/>
          <w:lang w:val="en-US" w:eastAsia="zh-CN"/>
        </w:rPr>
        <w:t>3.2.3全链条协同保障供应链效率</w:t>
      </w:r>
      <w:r>
        <w:tab/>
      </w:r>
      <w:r>
        <w:fldChar w:fldCharType="begin"/>
      </w:r>
      <w:r>
        <w:instrText xml:space="preserve"> PAGEREF _Toc24972 \h </w:instrText>
      </w:r>
      <w:r>
        <w:fldChar w:fldCharType="separate"/>
      </w:r>
      <w:r>
        <w:t>5</w:t>
      </w:r>
      <w:r>
        <w:fldChar w:fldCharType="end"/>
      </w:r>
      <w:r>
        <w:fldChar w:fldCharType="end"/>
      </w:r>
    </w:p>
    <w:p w14:paraId="46FF1BE9">
      <w:pPr>
        <w:pStyle w:val="6"/>
        <w:tabs>
          <w:tab w:val="right" w:leader="dot" w:pos="8306"/>
        </w:tabs>
      </w:pPr>
      <w:r>
        <w:fldChar w:fldCharType="begin"/>
      </w:r>
      <w:r>
        <w:instrText xml:space="preserve"> HYPERLINK \l _Toc18282 </w:instrText>
      </w:r>
      <w:r>
        <w:fldChar w:fldCharType="separate"/>
      </w:r>
      <w:r>
        <w:rPr>
          <w:rFonts w:hint="default"/>
          <w:lang w:val="en-US" w:eastAsia="zh-CN"/>
        </w:rPr>
        <w:t>3.</w:t>
      </w:r>
      <w:r>
        <w:rPr>
          <w:rFonts w:hint="eastAsia"/>
          <w:lang w:val="en-US" w:eastAsia="zh-CN"/>
        </w:rPr>
        <w:t xml:space="preserve">3 </w:t>
      </w:r>
      <w:r>
        <w:rPr>
          <w:rFonts w:hint="default"/>
          <w:lang w:val="en-US" w:eastAsia="zh-CN"/>
        </w:rPr>
        <w:t>IP战略</w:t>
      </w:r>
      <w:r>
        <w:tab/>
      </w:r>
      <w:r>
        <w:fldChar w:fldCharType="begin"/>
      </w:r>
      <w:r>
        <w:instrText xml:space="preserve"> PAGEREF _Toc18282 \h </w:instrText>
      </w:r>
      <w:r>
        <w:fldChar w:fldCharType="separate"/>
      </w:r>
      <w:r>
        <w:t>6</w:t>
      </w:r>
      <w:r>
        <w:fldChar w:fldCharType="end"/>
      </w:r>
      <w:r>
        <w:fldChar w:fldCharType="end"/>
      </w:r>
    </w:p>
    <w:p w14:paraId="2E7FBC3C">
      <w:pPr>
        <w:pStyle w:val="2"/>
        <w:tabs>
          <w:tab w:val="right" w:leader="dot" w:pos="8306"/>
        </w:tabs>
      </w:pPr>
      <w:r>
        <w:fldChar w:fldCharType="begin"/>
      </w:r>
      <w:r>
        <w:instrText xml:space="preserve"> HYPERLINK \l _Toc12765 </w:instrText>
      </w:r>
      <w:r>
        <w:fldChar w:fldCharType="separate"/>
      </w:r>
      <w:r>
        <w:rPr>
          <w:rFonts w:hint="default"/>
          <w:lang w:val="en-US" w:eastAsia="zh-CN"/>
        </w:rPr>
        <w:t>3.</w:t>
      </w:r>
      <w:r>
        <w:rPr>
          <w:rFonts w:hint="eastAsia"/>
          <w:lang w:val="en-US" w:eastAsia="zh-CN"/>
        </w:rPr>
        <w:t>3</w:t>
      </w:r>
      <w:r>
        <w:rPr>
          <w:rFonts w:hint="default"/>
          <w:lang w:val="en-US" w:eastAsia="zh-CN"/>
        </w:rPr>
        <w:t>.1</w:t>
      </w:r>
      <w:r>
        <w:rPr>
          <w:rFonts w:hint="eastAsia"/>
          <w:lang w:val="en-US" w:eastAsia="zh-CN"/>
        </w:rPr>
        <w:t>知名</w:t>
      </w:r>
      <w:r>
        <w:t>IP</w:t>
      </w:r>
      <w:r>
        <w:rPr>
          <w:rFonts w:hint="eastAsia"/>
          <w:lang w:val="en-US" w:eastAsia="zh-CN"/>
        </w:rPr>
        <w:t>推广</w:t>
      </w:r>
      <w:r>
        <w:tab/>
      </w:r>
      <w:r>
        <w:fldChar w:fldCharType="begin"/>
      </w:r>
      <w:r>
        <w:instrText xml:space="preserve"> PAGEREF _Toc12765 \h </w:instrText>
      </w:r>
      <w:r>
        <w:fldChar w:fldCharType="separate"/>
      </w:r>
      <w:r>
        <w:t>6</w:t>
      </w:r>
      <w:r>
        <w:fldChar w:fldCharType="end"/>
      </w:r>
      <w:r>
        <w:fldChar w:fldCharType="end"/>
      </w:r>
    </w:p>
    <w:p w14:paraId="47E3667C">
      <w:pPr>
        <w:pStyle w:val="2"/>
        <w:tabs>
          <w:tab w:val="right" w:leader="dot" w:pos="8306"/>
        </w:tabs>
      </w:pPr>
      <w:r>
        <w:fldChar w:fldCharType="begin"/>
      </w:r>
      <w:r>
        <w:instrText xml:space="preserve"> HYPERLINK \l _Toc21394 </w:instrText>
      </w:r>
      <w:r>
        <w:fldChar w:fldCharType="separate"/>
      </w:r>
      <w:r>
        <w:rPr>
          <w:rFonts w:hint="default"/>
          <w:lang w:val="en-US" w:eastAsia="zh-CN"/>
        </w:rPr>
        <w:t>3.</w:t>
      </w:r>
      <w:r>
        <w:rPr>
          <w:rFonts w:hint="eastAsia"/>
          <w:lang w:val="en-US" w:eastAsia="zh-CN"/>
        </w:rPr>
        <w:t>3</w:t>
      </w:r>
      <w:r>
        <w:rPr>
          <w:rFonts w:hint="default"/>
          <w:lang w:val="en-US" w:eastAsia="zh-CN"/>
        </w:rPr>
        <w:t>.</w:t>
      </w:r>
      <w:r>
        <w:rPr>
          <w:rFonts w:hint="eastAsia"/>
          <w:lang w:val="en-US" w:eastAsia="zh-CN"/>
        </w:rPr>
        <w:t>2</w:t>
      </w:r>
      <w:r>
        <w:rPr>
          <w:rFonts w:hint="default"/>
          <w:lang w:val="en-US" w:eastAsia="zh-CN"/>
        </w:rPr>
        <w:t>原创IP孵化</w:t>
      </w:r>
      <w:r>
        <w:tab/>
      </w:r>
      <w:r>
        <w:fldChar w:fldCharType="begin"/>
      </w:r>
      <w:r>
        <w:instrText xml:space="preserve"> PAGEREF _Toc21394 \h </w:instrText>
      </w:r>
      <w:r>
        <w:fldChar w:fldCharType="separate"/>
      </w:r>
      <w:r>
        <w:t>6</w:t>
      </w:r>
      <w:r>
        <w:fldChar w:fldCharType="end"/>
      </w:r>
      <w:r>
        <w:fldChar w:fldCharType="end"/>
      </w:r>
    </w:p>
    <w:p w14:paraId="05045273">
      <w:pPr>
        <w:pStyle w:val="2"/>
        <w:tabs>
          <w:tab w:val="right" w:leader="dot" w:pos="8306"/>
        </w:tabs>
      </w:pPr>
      <w:r>
        <w:fldChar w:fldCharType="begin"/>
      </w:r>
      <w:r>
        <w:instrText xml:space="preserve"> HYPERLINK \l _Toc27579 </w:instrText>
      </w:r>
      <w:r>
        <w:fldChar w:fldCharType="separate"/>
      </w:r>
      <w:r>
        <w:rPr>
          <w:rFonts w:hint="default"/>
          <w:lang w:val="en-US" w:eastAsia="zh-CN"/>
        </w:rPr>
        <w:t>3.</w:t>
      </w:r>
      <w:r>
        <w:rPr>
          <w:rFonts w:hint="eastAsia"/>
          <w:lang w:val="en-US" w:eastAsia="zh-CN"/>
        </w:rPr>
        <w:t>3</w:t>
      </w:r>
      <w:r>
        <w:rPr>
          <w:rFonts w:hint="default"/>
          <w:lang w:val="en-US" w:eastAsia="zh-CN"/>
        </w:rPr>
        <w:t>.3</w:t>
      </w:r>
      <w:r>
        <w:rPr>
          <w:rFonts w:hint="eastAsia"/>
          <w:lang w:val="en-US" w:eastAsia="zh-CN"/>
        </w:rPr>
        <w:t xml:space="preserve"> IP场景延伸</w:t>
      </w:r>
      <w:r>
        <w:tab/>
      </w:r>
      <w:r>
        <w:fldChar w:fldCharType="begin"/>
      </w:r>
      <w:r>
        <w:instrText xml:space="preserve"> PAGEREF _Toc27579 \h </w:instrText>
      </w:r>
      <w:r>
        <w:fldChar w:fldCharType="separate"/>
      </w:r>
      <w:r>
        <w:t>6</w:t>
      </w:r>
      <w:r>
        <w:fldChar w:fldCharType="end"/>
      </w:r>
      <w:r>
        <w:fldChar w:fldCharType="end"/>
      </w:r>
    </w:p>
    <w:p w14:paraId="4050D704">
      <w:pPr>
        <w:pStyle w:val="5"/>
        <w:tabs>
          <w:tab w:val="right" w:leader="dot" w:pos="8306"/>
        </w:tabs>
      </w:pPr>
      <w:r>
        <w:fldChar w:fldCharType="begin"/>
      </w:r>
      <w:r>
        <w:instrText xml:space="preserve"> HYPERLINK \l _Toc2584 </w:instrText>
      </w:r>
      <w:r>
        <w:fldChar w:fldCharType="separate"/>
      </w:r>
      <w:r>
        <w:rPr>
          <w:rFonts w:hint="default"/>
          <w:lang w:val="en-US" w:eastAsia="zh-CN"/>
        </w:rPr>
        <w:t>第四章</w:t>
      </w:r>
      <w:r>
        <w:rPr>
          <w:rFonts w:hint="eastAsia"/>
          <w:lang w:val="en-US" w:eastAsia="zh-CN"/>
        </w:rPr>
        <w:t xml:space="preserve"> </w:t>
      </w:r>
      <w:r>
        <w:rPr>
          <w:rFonts w:hint="default"/>
          <w:lang w:val="en-US" w:eastAsia="zh-CN"/>
        </w:rPr>
        <w:t>名创优品全球化经营的SWOT分析</w:t>
      </w:r>
      <w:r>
        <w:tab/>
      </w:r>
      <w:r>
        <w:fldChar w:fldCharType="begin"/>
      </w:r>
      <w:r>
        <w:instrText xml:space="preserve"> PAGEREF _Toc2584 \h </w:instrText>
      </w:r>
      <w:r>
        <w:fldChar w:fldCharType="separate"/>
      </w:r>
      <w:r>
        <w:t>7</w:t>
      </w:r>
      <w:r>
        <w:fldChar w:fldCharType="end"/>
      </w:r>
      <w:r>
        <w:fldChar w:fldCharType="end"/>
      </w:r>
    </w:p>
    <w:p w14:paraId="6F1CB566">
      <w:pPr>
        <w:pStyle w:val="6"/>
        <w:tabs>
          <w:tab w:val="right" w:leader="dot" w:pos="8306"/>
        </w:tabs>
      </w:pPr>
      <w:r>
        <w:fldChar w:fldCharType="begin"/>
      </w:r>
      <w:r>
        <w:instrText xml:space="preserve"> HYPERLINK \l _Toc7784 </w:instrText>
      </w:r>
      <w:r>
        <w:fldChar w:fldCharType="separate"/>
      </w:r>
      <w:r>
        <w:rPr>
          <w:rFonts w:hint="default"/>
          <w:lang w:val="en-US" w:eastAsia="zh-CN"/>
        </w:rPr>
        <w:t>4.1</w:t>
      </w:r>
      <w:r>
        <w:rPr>
          <w:rFonts w:hint="eastAsia"/>
          <w:lang w:val="en-US" w:eastAsia="zh-CN"/>
        </w:rPr>
        <w:t>内部</w:t>
      </w:r>
      <w:r>
        <w:rPr>
          <w:rFonts w:hint="default"/>
          <w:lang w:val="en-US" w:eastAsia="zh-CN"/>
        </w:rPr>
        <w:t>优势</w:t>
      </w:r>
      <w:r>
        <w:rPr>
          <w:rFonts w:hint="eastAsia"/>
          <w:lang w:val="en-US" w:eastAsia="zh-CN"/>
        </w:rPr>
        <w:t>(S)</w:t>
      </w:r>
      <w:r>
        <w:tab/>
      </w:r>
      <w:r>
        <w:fldChar w:fldCharType="begin"/>
      </w:r>
      <w:r>
        <w:instrText xml:space="preserve"> PAGEREF _Toc7784 \h </w:instrText>
      </w:r>
      <w:r>
        <w:fldChar w:fldCharType="separate"/>
      </w:r>
      <w:r>
        <w:t>7</w:t>
      </w:r>
      <w:r>
        <w:fldChar w:fldCharType="end"/>
      </w:r>
      <w:r>
        <w:fldChar w:fldCharType="end"/>
      </w:r>
    </w:p>
    <w:p w14:paraId="1822899A">
      <w:pPr>
        <w:pStyle w:val="2"/>
        <w:tabs>
          <w:tab w:val="right" w:leader="dot" w:pos="8306"/>
        </w:tabs>
      </w:pPr>
      <w:r>
        <w:fldChar w:fldCharType="begin"/>
      </w:r>
      <w:r>
        <w:instrText xml:space="preserve"> HYPERLINK \l _Toc26483 </w:instrText>
      </w:r>
      <w:r>
        <w:fldChar w:fldCharType="separate"/>
      </w:r>
      <w:r>
        <w:rPr>
          <w:rFonts w:hint="eastAsia"/>
          <w:lang w:val="en-US" w:eastAsia="zh-CN"/>
        </w:rPr>
        <w:t>4.1.1财务增长与规模效应</w:t>
      </w:r>
      <w:r>
        <w:tab/>
      </w:r>
      <w:r>
        <w:fldChar w:fldCharType="begin"/>
      </w:r>
      <w:r>
        <w:instrText xml:space="preserve"> PAGEREF _Toc26483 \h </w:instrText>
      </w:r>
      <w:r>
        <w:fldChar w:fldCharType="separate"/>
      </w:r>
      <w:r>
        <w:t>7</w:t>
      </w:r>
      <w:r>
        <w:fldChar w:fldCharType="end"/>
      </w:r>
      <w:r>
        <w:fldChar w:fldCharType="end"/>
      </w:r>
    </w:p>
    <w:p w14:paraId="132BC4BF">
      <w:pPr>
        <w:pStyle w:val="2"/>
        <w:tabs>
          <w:tab w:val="right" w:leader="dot" w:pos="8306"/>
        </w:tabs>
      </w:pPr>
      <w:r>
        <w:fldChar w:fldCharType="begin"/>
      </w:r>
      <w:r>
        <w:instrText xml:space="preserve"> HYPERLINK \l _Toc15827 </w:instrText>
      </w:r>
      <w:r>
        <w:fldChar w:fldCharType="separate"/>
      </w:r>
      <w:r>
        <w:rPr>
          <w:rFonts w:hint="default"/>
          <w:lang w:val="en-US" w:eastAsia="zh-CN"/>
        </w:rPr>
        <w:t>4.1.</w:t>
      </w:r>
      <w:r>
        <w:rPr>
          <w:rFonts w:hint="eastAsia"/>
          <w:lang w:val="en-US" w:eastAsia="zh-CN"/>
        </w:rPr>
        <w:t>2供应链驱动的全球竞争优势</w:t>
      </w:r>
      <w:r>
        <w:tab/>
      </w:r>
      <w:r>
        <w:fldChar w:fldCharType="begin"/>
      </w:r>
      <w:r>
        <w:instrText xml:space="preserve"> PAGEREF _Toc15827 \h </w:instrText>
      </w:r>
      <w:r>
        <w:fldChar w:fldCharType="separate"/>
      </w:r>
      <w:r>
        <w:t>7</w:t>
      </w:r>
      <w:r>
        <w:fldChar w:fldCharType="end"/>
      </w:r>
      <w:r>
        <w:fldChar w:fldCharType="end"/>
      </w:r>
    </w:p>
    <w:p w14:paraId="1AEBD936">
      <w:pPr>
        <w:pStyle w:val="2"/>
        <w:tabs>
          <w:tab w:val="right" w:leader="dot" w:pos="8306"/>
        </w:tabs>
      </w:pPr>
      <w:r>
        <w:fldChar w:fldCharType="begin"/>
      </w:r>
      <w:r>
        <w:instrText xml:space="preserve"> HYPERLINK \l _Toc7134 </w:instrText>
      </w:r>
      <w:r>
        <w:fldChar w:fldCharType="separate"/>
      </w:r>
      <w:r>
        <w:rPr>
          <w:rFonts w:hint="eastAsia"/>
          <w:lang w:val="en-US" w:eastAsia="zh-CN"/>
        </w:rPr>
        <w:t>4.1.3</w:t>
      </w:r>
      <w:r>
        <w:rPr>
          <w:rFonts w:hint="default"/>
          <w:lang w:val="en-US" w:eastAsia="zh-CN"/>
        </w:rPr>
        <w:t>持续的产品创新能力</w:t>
      </w:r>
      <w:r>
        <w:tab/>
      </w:r>
      <w:r>
        <w:fldChar w:fldCharType="begin"/>
      </w:r>
      <w:r>
        <w:instrText xml:space="preserve"> PAGEREF _Toc7134 \h </w:instrText>
      </w:r>
      <w:r>
        <w:fldChar w:fldCharType="separate"/>
      </w:r>
      <w:r>
        <w:t>7</w:t>
      </w:r>
      <w:r>
        <w:fldChar w:fldCharType="end"/>
      </w:r>
      <w:r>
        <w:fldChar w:fldCharType="end"/>
      </w:r>
    </w:p>
    <w:p w14:paraId="1D83AD6F">
      <w:pPr>
        <w:pStyle w:val="2"/>
        <w:tabs>
          <w:tab w:val="right" w:leader="dot" w:pos="8306"/>
        </w:tabs>
      </w:pPr>
      <w:r>
        <w:fldChar w:fldCharType="begin"/>
      </w:r>
      <w:r>
        <w:instrText xml:space="preserve"> HYPERLINK \l _Toc15660 </w:instrText>
      </w:r>
      <w:r>
        <w:fldChar w:fldCharType="separate"/>
      </w:r>
      <w:r>
        <w:rPr>
          <w:rFonts w:hint="default"/>
          <w:lang w:val="en-US" w:eastAsia="zh-CN"/>
        </w:rPr>
        <w:t>4.1.</w:t>
      </w:r>
      <w:r>
        <w:rPr>
          <w:rFonts w:hint="eastAsia"/>
          <w:lang w:val="en-US" w:eastAsia="zh-CN"/>
        </w:rPr>
        <w:t xml:space="preserve">4 </w:t>
      </w:r>
      <w:r>
        <w:rPr>
          <w:rFonts w:hint="default"/>
          <w:lang w:val="en-US" w:eastAsia="zh-CN"/>
        </w:rPr>
        <w:t>IP驱动的品牌差异化能力</w:t>
      </w:r>
      <w:r>
        <w:tab/>
      </w:r>
      <w:r>
        <w:fldChar w:fldCharType="begin"/>
      </w:r>
      <w:r>
        <w:instrText xml:space="preserve"> PAGEREF _Toc15660 \h </w:instrText>
      </w:r>
      <w:r>
        <w:fldChar w:fldCharType="separate"/>
      </w:r>
      <w:r>
        <w:t>8</w:t>
      </w:r>
      <w:r>
        <w:fldChar w:fldCharType="end"/>
      </w:r>
      <w:r>
        <w:fldChar w:fldCharType="end"/>
      </w:r>
    </w:p>
    <w:p w14:paraId="77CDF76B">
      <w:pPr>
        <w:pStyle w:val="6"/>
        <w:tabs>
          <w:tab w:val="right" w:leader="dot" w:pos="8306"/>
        </w:tabs>
      </w:pPr>
      <w:r>
        <w:fldChar w:fldCharType="begin"/>
      </w:r>
      <w:r>
        <w:instrText xml:space="preserve"> HYPERLINK \l _Toc18981 </w:instrText>
      </w:r>
      <w:r>
        <w:fldChar w:fldCharType="separate"/>
      </w:r>
      <w:r>
        <w:rPr>
          <w:rFonts w:hint="default"/>
          <w:lang w:val="en-US" w:eastAsia="zh-CN"/>
        </w:rPr>
        <w:t>4.2</w:t>
      </w:r>
      <w:r>
        <w:rPr>
          <w:rFonts w:hint="eastAsia"/>
          <w:lang w:val="en-US" w:eastAsia="zh-CN"/>
        </w:rPr>
        <w:t>内部</w:t>
      </w:r>
      <w:r>
        <w:rPr>
          <w:rFonts w:hint="default"/>
          <w:lang w:val="en-US" w:eastAsia="zh-CN"/>
        </w:rPr>
        <w:t>劣势</w:t>
      </w:r>
      <w:r>
        <w:rPr>
          <w:rFonts w:hint="eastAsia"/>
          <w:lang w:val="en-US" w:eastAsia="zh-CN"/>
        </w:rPr>
        <w:t>(W)</w:t>
      </w:r>
      <w:r>
        <w:tab/>
      </w:r>
      <w:r>
        <w:fldChar w:fldCharType="begin"/>
      </w:r>
      <w:r>
        <w:instrText xml:space="preserve"> PAGEREF _Toc18981 \h </w:instrText>
      </w:r>
      <w:r>
        <w:fldChar w:fldCharType="separate"/>
      </w:r>
      <w:r>
        <w:t>8</w:t>
      </w:r>
      <w:r>
        <w:fldChar w:fldCharType="end"/>
      </w:r>
      <w:r>
        <w:fldChar w:fldCharType="end"/>
      </w:r>
    </w:p>
    <w:p w14:paraId="066AC98F">
      <w:pPr>
        <w:pStyle w:val="2"/>
        <w:tabs>
          <w:tab w:val="right" w:leader="dot" w:pos="8306"/>
        </w:tabs>
      </w:pPr>
      <w:r>
        <w:fldChar w:fldCharType="begin"/>
      </w:r>
      <w:r>
        <w:instrText xml:space="preserve"> HYPERLINK \l _Toc9984 </w:instrText>
      </w:r>
      <w:r>
        <w:fldChar w:fldCharType="separate"/>
      </w:r>
      <w:r>
        <w:rPr>
          <w:rFonts w:hint="default"/>
          <w:lang w:val="en-US" w:eastAsia="zh-CN"/>
        </w:rPr>
        <w:t>4.2.1</w:t>
      </w:r>
      <w:r>
        <w:t>线上渠道渗透不足</w:t>
      </w:r>
      <w:r>
        <w:tab/>
      </w:r>
      <w:r>
        <w:fldChar w:fldCharType="begin"/>
      </w:r>
      <w:r>
        <w:instrText xml:space="preserve"> PAGEREF _Toc9984 \h </w:instrText>
      </w:r>
      <w:r>
        <w:fldChar w:fldCharType="separate"/>
      </w:r>
      <w:r>
        <w:t>8</w:t>
      </w:r>
      <w:r>
        <w:fldChar w:fldCharType="end"/>
      </w:r>
      <w:r>
        <w:fldChar w:fldCharType="end"/>
      </w:r>
    </w:p>
    <w:p w14:paraId="338E5314">
      <w:pPr>
        <w:pStyle w:val="2"/>
        <w:tabs>
          <w:tab w:val="right" w:leader="dot" w:pos="8306"/>
        </w:tabs>
      </w:pPr>
      <w:r>
        <w:fldChar w:fldCharType="begin"/>
      </w:r>
      <w:r>
        <w:instrText xml:space="preserve"> HYPERLINK \l _Toc16842 </w:instrText>
      </w:r>
      <w:r>
        <w:fldChar w:fldCharType="separate"/>
      </w:r>
      <w:r>
        <w:rPr>
          <w:rFonts w:hint="default"/>
          <w:lang w:val="en-US" w:eastAsia="zh-CN"/>
        </w:rPr>
        <w:t>4.2.2品牌定位模糊</w:t>
      </w:r>
      <w:r>
        <w:tab/>
      </w:r>
      <w:r>
        <w:fldChar w:fldCharType="begin"/>
      </w:r>
      <w:r>
        <w:instrText xml:space="preserve"> PAGEREF _Toc16842 \h </w:instrText>
      </w:r>
      <w:r>
        <w:fldChar w:fldCharType="separate"/>
      </w:r>
      <w:r>
        <w:t>8</w:t>
      </w:r>
      <w:r>
        <w:fldChar w:fldCharType="end"/>
      </w:r>
      <w:r>
        <w:fldChar w:fldCharType="end"/>
      </w:r>
    </w:p>
    <w:p w14:paraId="726EFC42">
      <w:pPr>
        <w:pStyle w:val="2"/>
        <w:tabs>
          <w:tab w:val="right" w:leader="dot" w:pos="8306"/>
        </w:tabs>
      </w:pPr>
      <w:r>
        <w:fldChar w:fldCharType="begin"/>
      </w:r>
      <w:r>
        <w:instrText xml:space="preserve"> HYPERLINK \l _Toc26447 </w:instrText>
      </w:r>
      <w:r>
        <w:fldChar w:fldCharType="separate"/>
      </w:r>
      <w:r>
        <w:rPr>
          <w:rFonts w:hint="default"/>
          <w:lang w:val="en-US" w:eastAsia="zh-CN"/>
        </w:rPr>
        <w:t>4.2.3管理与成本压力凸显</w:t>
      </w:r>
      <w:r>
        <w:tab/>
      </w:r>
      <w:r>
        <w:fldChar w:fldCharType="begin"/>
      </w:r>
      <w:r>
        <w:instrText xml:space="preserve"> PAGEREF _Toc26447 \h </w:instrText>
      </w:r>
      <w:r>
        <w:fldChar w:fldCharType="separate"/>
      </w:r>
      <w:r>
        <w:t>8</w:t>
      </w:r>
      <w:r>
        <w:fldChar w:fldCharType="end"/>
      </w:r>
      <w:r>
        <w:fldChar w:fldCharType="end"/>
      </w:r>
    </w:p>
    <w:p w14:paraId="0842FA8F">
      <w:pPr>
        <w:pStyle w:val="6"/>
        <w:tabs>
          <w:tab w:val="right" w:leader="dot" w:pos="8306"/>
        </w:tabs>
      </w:pPr>
      <w:r>
        <w:fldChar w:fldCharType="begin"/>
      </w:r>
      <w:r>
        <w:instrText xml:space="preserve"> HYPERLINK \l _Toc14149 </w:instrText>
      </w:r>
      <w:r>
        <w:fldChar w:fldCharType="separate"/>
      </w:r>
      <w:r>
        <w:rPr>
          <w:rFonts w:hint="default"/>
          <w:lang w:val="en-US" w:eastAsia="zh-CN"/>
        </w:rPr>
        <w:t>4.</w:t>
      </w:r>
      <w:r>
        <w:rPr>
          <w:rFonts w:hint="eastAsia"/>
          <w:lang w:val="en-US" w:eastAsia="zh-CN"/>
        </w:rPr>
        <w:t>3外部机遇(O)</w:t>
      </w:r>
      <w:r>
        <w:tab/>
      </w:r>
      <w:r>
        <w:fldChar w:fldCharType="begin"/>
      </w:r>
      <w:r>
        <w:instrText xml:space="preserve"> PAGEREF _Toc14149 \h </w:instrText>
      </w:r>
      <w:r>
        <w:fldChar w:fldCharType="separate"/>
      </w:r>
      <w:r>
        <w:t>9</w:t>
      </w:r>
      <w:r>
        <w:fldChar w:fldCharType="end"/>
      </w:r>
      <w:r>
        <w:fldChar w:fldCharType="end"/>
      </w:r>
    </w:p>
    <w:p w14:paraId="08B29D4B">
      <w:pPr>
        <w:pStyle w:val="2"/>
        <w:tabs>
          <w:tab w:val="right" w:leader="dot" w:pos="8306"/>
        </w:tabs>
      </w:pPr>
      <w:r>
        <w:fldChar w:fldCharType="begin"/>
      </w:r>
      <w:r>
        <w:instrText xml:space="preserve"> HYPERLINK \l _Toc24381 </w:instrText>
      </w:r>
      <w:r>
        <w:fldChar w:fldCharType="separate"/>
      </w:r>
      <w:r>
        <w:rPr>
          <w:rFonts w:hint="default"/>
          <w:lang w:val="en-US" w:eastAsia="zh-CN"/>
        </w:rPr>
        <w:t>4.3.</w:t>
      </w:r>
      <w:r>
        <w:rPr>
          <w:rFonts w:hint="eastAsia"/>
          <w:lang w:val="en-US" w:eastAsia="zh-CN"/>
        </w:rPr>
        <w:t>1</w:t>
      </w:r>
      <w:r>
        <w:rPr>
          <w:rFonts w:hint="default"/>
          <w:lang w:val="en-US" w:eastAsia="zh-CN"/>
        </w:rPr>
        <w:t>新兴市场零售环境持续改善</w:t>
      </w:r>
      <w:r>
        <w:tab/>
      </w:r>
      <w:r>
        <w:fldChar w:fldCharType="begin"/>
      </w:r>
      <w:r>
        <w:instrText xml:space="preserve"> PAGEREF _Toc24381 \h </w:instrText>
      </w:r>
      <w:r>
        <w:fldChar w:fldCharType="separate"/>
      </w:r>
      <w:r>
        <w:t>9</w:t>
      </w:r>
      <w:r>
        <w:fldChar w:fldCharType="end"/>
      </w:r>
      <w:r>
        <w:fldChar w:fldCharType="end"/>
      </w:r>
    </w:p>
    <w:p w14:paraId="613456F4">
      <w:pPr>
        <w:pStyle w:val="2"/>
        <w:tabs>
          <w:tab w:val="right" w:leader="dot" w:pos="8306"/>
        </w:tabs>
      </w:pPr>
      <w:r>
        <w:fldChar w:fldCharType="begin"/>
      </w:r>
      <w:r>
        <w:instrText xml:space="preserve"> HYPERLINK \l _Toc21371 </w:instrText>
      </w:r>
      <w:r>
        <w:fldChar w:fldCharType="separate"/>
      </w:r>
      <w:r>
        <w:rPr>
          <w:rFonts w:hint="default"/>
          <w:lang w:val="en-US" w:eastAsia="zh-CN"/>
        </w:rPr>
        <w:t>4.3.</w:t>
      </w:r>
      <w:r>
        <w:rPr>
          <w:rFonts w:hint="eastAsia"/>
          <w:lang w:val="en-US" w:eastAsia="zh-CN"/>
        </w:rPr>
        <w:t>2</w:t>
      </w:r>
      <w:r>
        <w:rPr>
          <w:rFonts w:hint="default"/>
          <w:lang w:val="en-US" w:eastAsia="zh-CN"/>
        </w:rPr>
        <w:t>情绪消费与IP商品需求增长</w:t>
      </w:r>
      <w:r>
        <w:tab/>
      </w:r>
      <w:r>
        <w:fldChar w:fldCharType="begin"/>
      </w:r>
      <w:r>
        <w:instrText xml:space="preserve"> PAGEREF _Toc21371 \h </w:instrText>
      </w:r>
      <w:r>
        <w:fldChar w:fldCharType="separate"/>
      </w:r>
      <w:r>
        <w:t>9</w:t>
      </w:r>
      <w:r>
        <w:fldChar w:fldCharType="end"/>
      </w:r>
      <w:r>
        <w:fldChar w:fldCharType="end"/>
      </w:r>
    </w:p>
    <w:p w14:paraId="1AEA2F7B">
      <w:pPr>
        <w:pStyle w:val="2"/>
        <w:tabs>
          <w:tab w:val="right" w:leader="dot" w:pos="8306"/>
        </w:tabs>
      </w:pPr>
      <w:r>
        <w:fldChar w:fldCharType="begin"/>
      </w:r>
      <w:r>
        <w:instrText xml:space="preserve"> HYPERLINK \l _Toc22339 </w:instrText>
      </w:r>
      <w:r>
        <w:fldChar w:fldCharType="separate"/>
      </w:r>
      <w:r>
        <w:rPr>
          <w:rFonts w:hint="eastAsia"/>
          <w:lang w:val="en-US" w:eastAsia="zh-CN"/>
        </w:rPr>
        <w:t>4.3.3数字化和人工智能技术赋能零售业</w:t>
      </w:r>
      <w:r>
        <w:tab/>
      </w:r>
      <w:r>
        <w:fldChar w:fldCharType="begin"/>
      </w:r>
      <w:r>
        <w:instrText xml:space="preserve"> PAGEREF _Toc22339 \h </w:instrText>
      </w:r>
      <w:r>
        <w:fldChar w:fldCharType="separate"/>
      </w:r>
      <w:r>
        <w:t>9</w:t>
      </w:r>
      <w:r>
        <w:fldChar w:fldCharType="end"/>
      </w:r>
      <w:r>
        <w:fldChar w:fldCharType="end"/>
      </w:r>
    </w:p>
    <w:p w14:paraId="48DE4361">
      <w:pPr>
        <w:pStyle w:val="2"/>
        <w:tabs>
          <w:tab w:val="right" w:leader="dot" w:pos="8306"/>
        </w:tabs>
      </w:pPr>
      <w:r>
        <w:fldChar w:fldCharType="begin"/>
      </w:r>
      <w:r>
        <w:instrText xml:space="preserve"> HYPERLINK \l _Toc31636 </w:instrText>
      </w:r>
      <w:r>
        <w:fldChar w:fldCharType="separate"/>
      </w:r>
      <w:r>
        <w:rPr>
          <w:rFonts w:hint="default"/>
          <w:lang w:val="en-US" w:eastAsia="zh-CN"/>
        </w:rPr>
        <w:t>4.3.</w:t>
      </w:r>
      <w:r>
        <w:rPr>
          <w:rFonts w:hint="eastAsia"/>
          <w:lang w:val="en-US" w:eastAsia="zh-CN"/>
        </w:rPr>
        <w:t>4</w:t>
      </w:r>
      <w:r>
        <w:rPr>
          <w:rFonts w:hint="default"/>
          <w:lang w:val="en-US" w:eastAsia="zh-CN"/>
        </w:rPr>
        <w:t>可持续发展意识全球提升</w:t>
      </w:r>
      <w:r>
        <w:tab/>
      </w:r>
      <w:r>
        <w:fldChar w:fldCharType="begin"/>
      </w:r>
      <w:r>
        <w:instrText xml:space="preserve"> PAGEREF _Toc31636 \h </w:instrText>
      </w:r>
      <w:r>
        <w:fldChar w:fldCharType="separate"/>
      </w:r>
      <w:r>
        <w:t>9</w:t>
      </w:r>
      <w:r>
        <w:fldChar w:fldCharType="end"/>
      </w:r>
      <w:r>
        <w:fldChar w:fldCharType="end"/>
      </w:r>
    </w:p>
    <w:p w14:paraId="589E268A">
      <w:pPr>
        <w:pStyle w:val="6"/>
        <w:tabs>
          <w:tab w:val="right" w:leader="dot" w:pos="8306"/>
        </w:tabs>
      </w:pPr>
      <w:r>
        <w:fldChar w:fldCharType="begin"/>
      </w:r>
      <w:r>
        <w:instrText xml:space="preserve"> HYPERLINK \l _Toc19479 </w:instrText>
      </w:r>
      <w:r>
        <w:fldChar w:fldCharType="separate"/>
      </w:r>
      <w:r>
        <w:rPr>
          <w:rFonts w:hint="default"/>
          <w:lang w:val="en-US" w:eastAsia="zh-CN"/>
        </w:rPr>
        <w:t>4.4</w:t>
      </w:r>
      <w:r>
        <w:rPr>
          <w:rFonts w:hint="eastAsia"/>
          <w:lang w:val="en-US" w:eastAsia="zh-CN"/>
        </w:rPr>
        <w:t>外部挑战(T)</w:t>
      </w:r>
      <w:r>
        <w:tab/>
      </w:r>
      <w:r>
        <w:fldChar w:fldCharType="begin"/>
      </w:r>
      <w:r>
        <w:instrText xml:space="preserve"> PAGEREF _Toc19479 \h </w:instrText>
      </w:r>
      <w:r>
        <w:fldChar w:fldCharType="separate"/>
      </w:r>
      <w:r>
        <w:t>9</w:t>
      </w:r>
      <w:r>
        <w:fldChar w:fldCharType="end"/>
      </w:r>
      <w:r>
        <w:fldChar w:fldCharType="end"/>
      </w:r>
    </w:p>
    <w:p w14:paraId="655701D3">
      <w:pPr>
        <w:pStyle w:val="2"/>
        <w:tabs>
          <w:tab w:val="right" w:leader="dot" w:pos="8306"/>
        </w:tabs>
      </w:pPr>
      <w:r>
        <w:fldChar w:fldCharType="begin"/>
      </w:r>
      <w:r>
        <w:instrText xml:space="preserve"> HYPERLINK \l _Toc31961 </w:instrText>
      </w:r>
      <w:r>
        <w:fldChar w:fldCharType="separate"/>
      </w:r>
      <w:r>
        <w:rPr>
          <w:rFonts w:hint="default"/>
          <w:lang w:val="en-US" w:eastAsia="zh-CN"/>
        </w:rPr>
        <w:t>4.4.1</w:t>
      </w:r>
      <w:r>
        <w:t>市场竞争加剧</w:t>
      </w:r>
      <w:r>
        <w:rPr>
          <w:rFonts w:hint="eastAsia"/>
          <w:lang w:val="en-US" w:eastAsia="zh-CN"/>
        </w:rPr>
        <w:t>与</w:t>
      </w:r>
      <w:r>
        <w:t>同质化压力</w:t>
      </w:r>
      <w:r>
        <w:tab/>
      </w:r>
      <w:r>
        <w:fldChar w:fldCharType="begin"/>
      </w:r>
      <w:r>
        <w:instrText xml:space="preserve"> PAGEREF _Toc31961 \h </w:instrText>
      </w:r>
      <w:r>
        <w:fldChar w:fldCharType="separate"/>
      </w:r>
      <w:r>
        <w:t>9</w:t>
      </w:r>
      <w:r>
        <w:fldChar w:fldCharType="end"/>
      </w:r>
      <w:r>
        <w:fldChar w:fldCharType="end"/>
      </w:r>
    </w:p>
    <w:p w14:paraId="54BA922E">
      <w:pPr>
        <w:pStyle w:val="2"/>
        <w:tabs>
          <w:tab w:val="right" w:leader="dot" w:pos="8306"/>
        </w:tabs>
      </w:pPr>
      <w:r>
        <w:fldChar w:fldCharType="begin"/>
      </w:r>
      <w:r>
        <w:instrText xml:space="preserve"> HYPERLINK \l _Toc13219 </w:instrText>
      </w:r>
      <w:r>
        <w:fldChar w:fldCharType="separate"/>
      </w:r>
      <w:r>
        <w:rPr>
          <w:rFonts w:hint="eastAsia"/>
          <w:lang w:val="en-US" w:eastAsia="zh-CN"/>
        </w:rPr>
        <w:t>4.4.2国际市场偏见限制品牌溢价</w:t>
      </w:r>
      <w:r>
        <w:tab/>
      </w:r>
      <w:r>
        <w:fldChar w:fldCharType="begin"/>
      </w:r>
      <w:r>
        <w:instrText xml:space="preserve"> PAGEREF _Toc13219 \h </w:instrText>
      </w:r>
      <w:r>
        <w:fldChar w:fldCharType="separate"/>
      </w:r>
      <w:r>
        <w:t>10</w:t>
      </w:r>
      <w:r>
        <w:fldChar w:fldCharType="end"/>
      </w:r>
      <w:r>
        <w:fldChar w:fldCharType="end"/>
      </w:r>
    </w:p>
    <w:p w14:paraId="43DF91CC">
      <w:pPr>
        <w:pStyle w:val="2"/>
        <w:tabs>
          <w:tab w:val="right" w:leader="dot" w:pos="8306"/>
        </w:tabs>
      </w:pPr>
      <w:r>
        <w:fldChar w:fldCharType="begin"/>
      </w:r>
      <w:r>
        <w:instrText xml:space="preserve"> HYPERLINK \l _Toc25674 </w:instrText>
      </w:r>
      <w:r>
        <w:fldChar w:fldCharType="separate"/>
      </w:r>
      <w:r>
        <w:rPr>
          <w:rFonts w:hint="default"/>
          <w:lang w:val="en-US" w:eastAsia="zh-CN"/>
        </w:rPr>
        <w:t>4.4.3外部环境不确定</w:t>
      </w:r>
      <w:r>
        <w:rPr>
          <w:rFonts w:hint="eastAsia"/>
          <w:lang w:val="en-US" w:eastAsia="zh-CN"/>
        </w:rPr>
        <w:t>加剧</w:t>
      </w:r>
      <w:r>
        <w:rPr>
          <w:rFonts w:hint="default"/>
          <w:lang w:val="en-US" w:eastAsia="zh-CN"/>
        </w:rPr>
        <w:t>经营风险</w:t>
      </w:r>
      <w:r>
        <w:tab/>
      </w:r>
      <w:r>
        <w:fldChar w:fldCharType="begin"/>
      </w:r>
      <w:r>
        <w:instrText xml:space="preserve"> PAGEREF _Toc25674 \h </w:instrText>
      </w:r>
      <w:r>
        <w:fldChar w:fldCharType="separate"/>
      </w:r>
      <w:r>
        <w:t>10</w:t>
      </w:r>
      <w:r>
        <w:fldChar w:fldCharType="end"/>
      </w:r>
      <w:r>
        <w:fldChar w:fldCharType="end"/>
      </w:r>
    </w:p>
    <w:p w14:paraId="7690BAEF">
      <w:pPr>
        <w:pStyle w:val="5"/>
        <w:tabs>
          <w:tab w:val="right" w:leader="dot" w:pos="8306"/>
        </w:tabs>
      </w:pPr>
      <w:r>
        <w:fldChar w:fldCharType="begin"/>
      </w:r>
      <w:r>
        <w:instrText xml:space="preserve"> HYPERLINK \l _Toc692 </w:instrText>
      </w:r>
      <w:r>
        <w:fldChar w:fldCharType="separate"/>
      </w:r>
      <w:r>
        <w:rPr>
          <w:rFonts w:hint="default"/>
          <w:lang w:val="en-US" w:eastAsia="zh-CN"/>
        </w:rPr>
        <w:t>第五章</w:t>
      </w:r>
      <w:r>
        <w:rPr>
          <w:rFonts w:hint="eastAsia"/>
          <w:lang w:val="en-US" w:eastAsia="zh-CN"/>
        </w:rPr>
        <w:t xml:space="preserve"> </w:t>
      </w:r>
      <w:r>
        <w:rPr>
          <w:rFonts w:hint="default"/>
          <w:lang w:val="en-US" w:eastAsia="zh-CN"/>
        </w:rPr>
        <w:t>名创优品未来全球发展战略</w:t>
      </w:r>
      <w:r>
        <w:tab/>
      </w:r>
      <w:r>
        <w:fldChar w:fldCharType="begin"/>
      </w:r>
      <w:r>
        <w:instrText xml:space="preserve"> PAGEREF _Toc692 \h </w:instrText>
      </w:r>
      <w:r>
        <w:fldChar w:fldCharType="separate"/>
      </w:r>
      <w:r>
        <w:t>10</w:t>
      </w:r>
      <w:r>
        <w:fldChar w:fldCharType="end"/>
      </w:r>
      <w:r>
        <w:fldChar w:fldCharType="end"/>
      </w:r>
    </w:p>
    <w:p w14:paraId="0C8410F3">
      <w:pPr>
        <w:pStyle w:val="6"/>
        <w:tabs>
          <w:tab w:val="right" w:leader="dot" w:pos="8306"/>
        </w:tabs>
      </w:pPr>
      <w:r>
        <w:fldChar w:fldCharType="begin"/>
      </w:r>
      <w:r>
        <w:instrText xml:space="preserve"> HYPERLINK \l _Toc18435 </w:instrText>
      </w:r>
      <w:r>
        <w:fldChar w:fldCharType="separate"/>
      </w:r>
      <w:r>
        <w:rPr>
          <w:rFonts w:hint="default"/>
          <w:lang w:val="en-US" w:eastAsia="zh-CN"/>
        </w:rPr>
        <w:t>5.1差异化竞争</w:t>
      </w:r>
      <w:r>
        <w:tab/>
      </w:r>
      <w:r>
        <w:fldChar w:fldCharType="begin"/>
      </w:r>
      <w:r>
        <w:instrText xml:space="preserve"> PAGEREF _Toc18435 \h </w:instrText>
      </w:r>
      <w:r>
        <w:fldChar w:fldCharType="separate"/>
      </w:r>
      <w:r>
        <w:t>10</w:t>
      </w:r>
      <w:r>
        <w:fldChar w:fldCharType="end"/>
      </w:r>
      <w:r>
        <w:fldChar w:fldCharType="end"/>
      </w:r>
    </w:p>
    <w:p w14:paraId="6C528A68">
      <w:pPr>
        <w:pStyle w:val="2"/>
        <w:tabs>
          <w:tab w:val="right" w:leader="dot" w:pos="8306"/>
        </w:tabs>
      </w:pPr>
      <w:r>
        <w:fldChar w:fldCharType="begin"/>
      </w:r>
      <w:r>
        <w:instrText xml:space="preserve"> HYPERLINK \l _Toc16733 </w:instrText>
      </w:r>
      <w:r>
        <w:fldChar w:fldCharType="separate"/>
      </w:r>
      <w:r>
        <w:rPr>
          <w:rFonts w:hint="eastAsia"/>
          <w:lang w:val="en-US" w:eastAsia="zh-CN"/>
        </w:rPr>
        <w:t>5.1.1</w:t>
      </w:r>
      <w:r>
        <w:rPr>
          <w:rFonts w:hint="default"/>
          <w:lang w:val="en-US" w:eastAsia="zh-CN"/>
        </w:rPr>
        <w:t>深化自有IP开发​</w:t>
      </w:r>
      <w:r>
        <w:tab/>
      </w:r>
      <w:r>
        <w:fldChar w:fldCharType="begin"/>
      </w:r>
      <w:r>
        <w:instrText xml:space="preserve"> PAGEREF _Toc16733 \h </w:instrText>
      </w:r>
      <w:r>
        <w:fldChar w:fldCharType="separate"/>
      </w:r>
      <w:r>
        <w:t>10</w:t>
      </w:r>
      <w:r>
        <w:fldChar w:fldCharType="end"/>
      </w:r>
      <w:r>
        <w:fldChar w:fldCharType="end"/>
      </w:r>
    </w:p>
    <w:p w14:paraId="25D205D5">
      <w:pPr>
        <w:pStyle w:val="2"/>
        <w:tabs>
          <w:tab w:val="right" w:leader="dot" w:pos="8306"/>
        </w:tabs>
      </w:pPr>
      <w:r>
        <w:fldChar w:fldCharType="begin"/>
      </w:r>
      <w:r>
        <w:instrText xml:space="preserve"> HYPERLINK \l _Toc14509 </w:instrText>
      </w:r>
      <w:r>
        <w:fldChar w:fldCharType="separate"/>
      </w:r>
      <w:r>
        <w:rPr>
          <w:rFonts w:hint="eastAsia"/>
          <w:lang w:val="en-US" w:eastAsia="zh-CN"/>
        </w:rPr>
        <w:t>5.1.2</w:t>
      </w:r>
      <w:r>
        <w:rPr>
          <w:rFonts w:hint="default"/>
          <w:lang w:val="en-US" w:eastAsia="zh-CN"/>
        </w:rPr>
        <w:t>优化产品组合与设计</w:t>
      </w:r>
      <w:r>
        <w:tab/>
      </w:r>
      <w:r>
        <w:fldChar w:fldCharType="begin"/>
      </w:r>
      <w:r>
        <w:instrText xml:space="preserve"> PAGEREF _Toc14509 \h </w:instrText>
      </w:r>
      <w:r>
        <w:fldChar w:fldCharType="separate"/>
      </w:r>
      <w:r>
        <w:t>10</w:t>
      </w:r>
      <w:r>
        <w:fldChar w:fldCharType="end"/>
      </w:r>
      <w:r>
        <w:fldChar w:fldCharType="end"/>
      </w:r>
    </w:p>
    <w:p w14:paraId="61BDD7C9">
      <w:pPr>
        <w:pStyle w:val="2"/>
        <w:tabs>
          <w:tab w:val="right" w:leader="dot" w:pos="8306"/>
        </w:tabs>
      </w:pPr>
      <w:r>
        <w:fldChar w:fldCharType="begin"/>
      </w:r>
      <w:r>
        <w:instrText xml:space="preserve"> HYPERLINK \l _Toc11029 </w:instrText>
      </w:r>
      <w:r>
        <w:fldChar w:fldCharType="separate"/>
      </w:r>
      <w:r>
        <w:rPr>
          <w:rFonts w:hint="eastAsia"/>
          <w:lang w:val="en-US" w:eastAsia="zh-CN"/>
        </w:rPr>
        <w:t>5.1.3</w:t>
      </w:r>
      <w:r>
        <w:rPr>
          <w:rFonts w:hint="default"/>
          <w:lang w:val="en-US" w:eastAsia="zh-CN"/>
        </w:rPr>
        <w:t>加强数字化营销与品牌体验​​</w:t>
      </w:r>
      <w:r>
        <w:tab/>
      </w:r>
      <w:r>
        <w:fldChar w:fldCharType="begin"/>
      </w:r>
      <w:r>
        <w:instrText xml:space="preserve"> PAGEREF _Toc11029 \h </w:instrText>
      </w:r>
      <w:r>
        <w:fldChar w:fldCharType="separate"/>
      </w:r>
      <w:r>
        <w:t>11</w:t>
      </w:r>
      <w:r>
        <w:fldChar w:fldCharType="end"/>
      </w:r>
      <w:r>
        <w:fldChar w:fldCharType="end"/>
      </w:r>
    </w:p>
    <w:p w14:paraId="3ACFB54D">
      <w:pPr>
        <w:pStyle w:val="6"/>
        <w:tabs>
          <w:tab w:val="right" w:leader="dot" w:pos="8306"/>
        </w:tabs>
        <w:sectPr>
          <w:footerReference r:id="rId4" w:type="default"/>
          <w:pgSz w:w="11906" w:h="16838"/>
          <w:pgMar w:top="1440" w:right="1800" w:bottom="1440" w:left="1800" w:header="851" w:footer="992" w:gutter="0"/>
          <w:pgNumType w:fmt="decimal" w:start="1"/>
          <w:cols w:space="425" w:num="1"/>
          <w:docGrid w:type="lines" w:linePitch="312" w:charSpace="0"/>
        </w:sectPr>
      </w:pPr>
    </w:p>
    <w:p w14:paraId="0CDC9C5C">
      <w:pPr>
        <w:pStyle w:val="6"/>
        <w:tabs>
          <w:tab w:val="right" w:leader="dot" w:pos="8306"/>
        </w:tabs>
      </w:pPr>
      <w:r>
        <w:fldChar w:fldCharType="begin"/>
      </w:r>
      <w:r>
        <w:instrText xml:space="preserve"> HYPERLINK \l _Toc905 </w:instrText>
      </w:r>
      <w:r>
        <w:fldChar w:fldCharType="separate"/>
      </w:r>
      <w:r>
        <w:rPr>
          <w:rFonts w:hint="default"/>
          <w:lang w:val="en-US" w:eastAsia="zh-CN"/>
        </w:rPr>
        <w:t>5.2强化文化认同与可持续价值的品牌国际化路径</w:t>
      </w:r>
      <w:r>
        <w:tab/>
      </w:r>
      <w:r>
        <w:fldChar w:fldCharType="begin"/>
      </w:r>
      <w:r>
        <w:instrText xml:space="preserve"> PAGEREF _Toc905 \h </w:instrText>
      </w:r>
      <w:r>
        <w:fldChar w:fldCharType="separate"/>
      </w:r>
      <w:r>
        <w:t>11</w:t>
      </w:r>
      <w:r>
        <w:fldChar w:fldCharType="end"/>
      </w:r>
      <w:r>
        <w:fldChar w:fldCharType="end"/>
      </w:r>
    </w:p>
    <w:p w14:paraId="3208DE08">
      <w:pPr>
        <w:pStyle w:val="2"/>
        <w:tabs>
          <w:tab w:val="right" w:leader="dot" w:pos="8306"/>
        </w:tabs>
      </w:pPr>
      <w:r>
        <w:fldChar w:fldCharType="begin"/>
      </w:r>
      <w:r>
        <w:instrText xml:space="preserve"> HYPERLINK \l _Toc278 </w:instrText>
      </w:r>
      <w:r>
        <w:fldChar w:fldCharType="separate"/>
      </w:r>
      <w:r>
        <w:rPr>
          <w:rFonts w:hint="eastAsia"/>
          <w:lang w:val="en-US" w:eastAsia="zh-CN"/>
        </w:rPr>
        <w:t>5.2.1中华文化赋能品牌身份</w:t>
      </w:r>
      <w:r>
        <w:tab/>
      </w:r>
      <w:r>
        <w:fldChar w:fldCharType="begin"/>
      </w:r>
      <w:r>
        <w:instrText xml:space="preserve"> PAGEREF _Toc278 \h </w:instrText>
      </w:r>
      <w:r>
        <w:fldChar w:fldCharType="separate"/>
      </w:r>
      <w:r>
        <w:t>11</w:t>
      </w:r>
      <w:r>
        <w:fldChar w:fldCharType="end"/>
      </w:r>
      <w:r>
        <w:fldChar w:fldCharType="end"/>
      </w:r>
    </w:p>
    <w:p w14:paraId="2BBCC9CF">
      <w:pPr>
        <w:pStyle w:val="2"/>
        <w:tabs>
          <w:tab w:val="right" w:leader="dot" w:pos="8306"/>
        </w:tabs>
      </w:pPr>
      <w:r>
        <w:fldChar w:fldCharType="begin"/>
      </w:r>
      <w:r>
        <w:instrText xml:space="preserve"> HYPERLINK \l _Toc29153 </w:instrText>
      </w:r>
      <w:r>
        <w:fldChar w:fldCharType="separate"/>
      </w:r>
      <w:r>
        <w:rPr>
          <w:rFonts w:hint="eastAsia"/>
          <w:lang w:val="en-US" w:eastAsia="zh-CN"/>
        </w:rPr>
        <w:t>5.2.2本土化运营提升市场情感连接</w:t>
      </w:r>
      <w:r>
        <w:tab/>
      </w:r>
      <w:r>
        <w:fldChar w:fldCharType="begin"/>
      </w:r>
      <w:r>
        <w:instrText xml:space="preserve"> PAGEREF _Toc29153 \h </w:instrText>
      </w:r>
      <w:r>
        <w:fldChar w:fldCharType="separate"/>
      </w:r>
      <w:r>
        <w:t>11</w:t>
      </w:r>
      <w:r>
        <w:fldChar w:fldCharType="end"/>
      </w:r>
      <w:r>
        <w:fldChar w:fldCharType="end"/>
      </w:r>
    </w:p>
    <w:p w14:paraId="07B598DF">
      <w:pPr>
        <w:pStyle w:val="2"/>
        <w:tabs>
          <w:tab w:val="right" w:leader="dot" w:pos="8306"/>
        </w:tabs>
      </w:pPr>
      <w:r>
        <w:fldChar w:fldCharType="begin"/>
      </w:r>
      <w:r>
        <w:instrText xml:space="preserve"> HYPERLINK \l _Toc10392 </w:instrText>
      </w:r>
      <w:r>
        <w:fldChar w:fldCharType="separate"/>
      </w:r>
      <w:r>
        <w:rPr>
          <w:rFonts w:hint="eastAsia"/>
          <w:lang w:val="en-US" w:eastAsia="zh-CN"/>
        </w:rPr>
        <w:t>5.2.3 ESG价值传播拓展品牌国际认可度</w:t>
      </w:r>
      <w:r>
        <w:tab/>
      </w:r>
      <w:r>
        <w:fldChar w:fldCharType="begin"/>
      </w:r>
      <w:r>
        <w:instrText xml:space="preserve"> PAGEREF _Toc10392 \h </w:instrText>
      </w:r>
      <w:r>
        <w:fldChar w:fldCharType="separate"/>
      </w:r>
      <w:r>
        <w:t>11</w:t>
      </w:r>
      <w:r>
        <w:fldChar w:fldCharType="end"/>
      </w:r>
      <w:r>
        <w:fldChar w:fldCharType="end"/>
      </w:r>
    </w:p>
    <w:p w14:paraId="25E837DA">
      <w:pPr>
        <w:pStyle w:val="6"/>
        <w:tabs>
          <w:tab w:val="right" w:leader="dot" w:pos="8306"/>
        </w:tabs>
      </w:pPr>
      <w:r>
        <w:fldChar w:fldCharType="begin"/>
      </w:r>
      <w:r>
        <w:instrText xml:space="preserve"> HYPERLINK \l _Toc22748 </w:instrText>
      </w:r>
      <w:r>
        <w:fldChar w:fldCharType="separate"/>
      </w:r>
      <w:r>
        <w:rPr>
          <w:rFonts w:hint="default"/>
          <w:lang w:val="en-US" w:eastAsia="zh-CN"/>
        </w:rPr>
        <w:t>5.3应对市场波动与地缘风险的协同策略</w:t>
      </w:r>
      <w:r>
        <w:tab/>
      </w:r>
      <w:r>
        <w:fldChar w:fldCharType="begin"/>
      </w:r>
      <w:r>
        <w:instrText xml:space="preserve"> PAGEREF _Toc22748 \h </w:instrText>
      </w:r>
      <w:r>
        <w:fldChar w:fldCharType="separate"/>
      </w:r>
      <w:r>
        <w:t>11</w:t>
      </w:r>
      <w:r>
        <w:fldChar w:fldCharType="end"/>
      </w:r>
      <w:r>
        <w:fldChar w:fldCharType="end"/>
      </w:r>
    </w:p>
    <w:p w14:paraId="37A990DA">
      <w:pPr>
        <w:pStyle w:val="2"/>
        <w:tabs>
          <w:tab w:val="right" w:leader="dot" w:pos="8306"/>
        </w:tabs>
      </w:pPr>
      <w:r>
        <w:fldChar w:fldCharType="begin"/>
      </w:r>
      <w:r>
        <w:instrText xml:space="preserve"> HYPERLINK \l _Toc15306 </w:instrText>
      </w:r>
      <w:r>
        <w:fldChar w:fldCharType="separate"/>
      </w:r>
      <w:r>
        <w:rPr>
          <w:rFonts w:hint="eastAsia"/>
          <w:lang w:val="en-US" w:eastAsia="zh-CN"/>
        </w:rPr>
        <w:t>5.3.1提升产品创新能力</w:t>
      </w:r>
      <w:r>
        <w:tab/>
      </w:r>
      <w:r>
        <w:fldChar w:fldCharType="begin"/>
      </w:r>
      <w:r>
        <w:instrText xml:space="preserve"> PAGEREF _Toc15306 \h </w:instrText>
      </w:r>
      <w:r>
        <w:fldChar w:fldCharType="separate"/>
      </w:r>
      <w:r>
        <w:t>11</w:t>
      </w:r>
      <w:r>
        <w:fldChar w:fldCharType="end"/>
      </w:r>
      <w:r>
        <w:fldChar w:fldCharType="end"/>
      </w:r>
    </w:p>
    <w:p w14:paraId="2D1BA360">
      <w:pPr>
        <w:pStyle w:val="2"/>
        <w:tabs>
          <w:tab w:val="right" w:leader="dot" w:pos="8306"/>
        </w:tabs>
      </w:pPr>
      <w:r>
        <w:fldChar w:fldCharType="begin"/>
      </w:r>
      <w:r>
        <w:instrText xml:space="preserve"> HYPERLINK \l _Toc9474 </w:instrText>
      </w:r>
      <w:r>
        <w:fldChar w:fldCharType="separate"/>
      </w:r>
      <w:r>
        <w:rPr>
          <w:rFonts w:hint="eastAsia"/>
          <w:lang w:val="en-US" w:eastAsia="zh-CN"/>
        </w:rPr>
        <w:t>5.3.2推动供应链区域多元化布局</w:t>
      </w:r>
      <w:r>
        <w:tab/>
      </w:r>
      <w:r>
        <w:fldChar w:fldCharType="begin"/>
      </w:r>
      <w:r>
        <w:instrText xml:space="preserve"> PAGEREF _Toc9474 \h </w:instrText>
      </w:r>
      <w:r>
        <w:fldChar w:fldCharType="separate"/>
      </w:r>
      <w:r>
        <w:t>12</w:t>
      </w:r>
      <w:r>
        <w:fldChar w:fldCharType="end"/>
      </w:r>
      <w:r>
        <w:fldChar w:fldCharType="end"/>
      </w:r>
    </w:p>
    <w:p w14:paraId="71D7800B">
      <w:pPr>
        <w:pStyle w:val="5"/>
        <w:tabs>
          <w:tab w:val="right" w:leader="dot" w:pos="8306"/>
        </w:tabs>
      </w:pPr>
      <w:r>
        <w:fldChar w:fldCharType="begin"/>
      </w:r>
      <w:r>
        <w:instrText xml:space="preserve"> HYPERLINK \l _Toc11201 </w:instrText>
      </w:r>
      <w:r>
        <w:fldChar w:fldCharType="separate"/>
      </w:r>
      <w:r>
        <w:rPr>
          <w:rFonts w:hint="eastAsia"/>
          <w:lang w:val="en-US" w:eastAsia="zh-CN"/>
        </w:rPr>
        <w:t>结语</w:t>
      </w:r>
      <w:r>
        <w:tab/>
      </w:r>
      <w:r>
        <w:fldChar w:fldCharType="begin"/>
      </w:r>
      <w:r>
        <w:instrText xml:space="preserve"> PAGEREF _Toc11201 \h </w:instrText>
      </w:r>
      <w:r>
        <w:fldChar w:fldCharType="separate"/>
      </w:r>
      <w:r>
        <w:t>13</w:t>
      </w:r>
      <w:r>
        <w:fldChar w:fldCharType="end"/>
      </w:r>
      <w:r>
        <w:fldChar w:fldCharType="end"/>
      </w:r>
    </w:p>
    <w:p w14:paraId="6DD3678B">
      <w:pPr>
        <w:pStyle w:val="5"/>
        <w:tabs>
          <w:tab w:val="right" w:leader="dot" w:pos="8306"/>
        </w:tabs>
      </w:pPr>
      <w:r>
        <w:fldChar w:fldCharType="begin"/>
      </w:r>
      <w:r>
        <w:instrText xml:space="preserve"> HYPERLINK \l _Toc9986 </w:instrText>
      </w:r>
      <w:r>
        <w:fldChar w:fldCharType="separate"/>
      </w:r>
      <w:r>
        <w:rPr>
          <w:rFonts w:hint="eastAsia"/>
          <w:lang w:val="en-US" w:eastAsia="zh-CN"/>
        </w:rPr>
        <w:t>参考文献</w:t>
      </w:r>
      <w:r>
        <w:tab/>
      </w:r>
      <w:r>
        <w:fldChar w:fldCharType="begin"/>
      </w:r>
      <w:r>
        <w:instrText xml:space="preserve"> PAGEREF _Toc9986 \h </w:instrText>
      </w:r>
      <w:r>
        <w:fldChar w:fldCharType="separate"/>
      </w:r>
      <w:r>
        <w:t>14</w:t>
      </w:r>
      <w:r>
        <w:fldChar w:fldCharType="end"/>
      </w:r>
      <w:r>
        <w:fldChar w:fldCharType="end"/>
      </w:r>
    </w:p>
    <w:p w14:paraId="486DB6B9">
      <w:r>
        <w:fldChar w:fldCharType="end"/>
      </w:r>
    </w:p>
    <w:p w14:paraId="1983A8ED">
      <w:pPr>
        <w:pStyle w:val="14"/>
        <w:keepNext w:val="0"/>
        <w:keepLines w:val="0"/>
        <w:pageBreakBefore w:val="0"/>
        <w:kinsoku/>
        <w:wordWrap/>
        <w:overflowPunct/>
        <w:topLinePunct w:val="0"/>
        <w:autoSpaceDE/>
        <w:autoSpaceDN/>
        <w:bidi w:val="0"/>
        <w:adjustRightInd/>
        <w:snapToGrid/>
        <w:spacing w:line="440" w:lineRule="exact"/>
        <w:jc w:val="center"/>
        <w:textAlignment w:val="auto"/>
        <w:rPr>
          <w:rFonts w:hint="default"/>
          <w:lang w:val="en-US" w:eastAsia="zh-CN"/>
        </w:rPr>
      </w:pPr>
    </w:p>
    <w:p w14:paraId="68888087">
      <w:pPr>
        <w:pStyle w:val="14"/>
        <w:keepNext w:val="0"/>
        <w:keepLines w:val="0"/>
        <w:pageBreakBefore w:val="0"/>
        <w:kinsoku/>
        <w:wordWrap/>
        <w:overflowPunct/>
        <w:topLinePunct w:val="0"/>
        <w:autoSpaceDE/>
        <w:autoSpaceDN/>
        <w:bidi w:val="0"/>
        <w:adjustRightInd/>
        <w:snapToGrid/>
        <w:spacing w:line="440" w:lineRule="exact"/>
        <w:jc w:val="center"/>
        <w:textAlignment w:val="auto"/>
        <w:rPr>
          <w:rFonts w:hint="default"/>
          <w:lang w:val="en-US" w:eastAsia="zh-CN"/>
        </w:rPr>
      </w:pPr>
    </w:p>
    <w:p w14:paraId="15EDAC36">
      <w:pPr>
        <w:pStyle w:val="14"/>
        <w:keepNext w:val="0"/>
        <w:keepLines w:val="0"/>
        <w:pageBreakBefore w:val="0"/>
        <w:kinsoku/>
        <w:wordWrap/>
        <w:overflowPunct/>
        <w:topLinePunct w:val="0"/>
        <w:autoSpaceDE/>
        <w:autoSpaceDN/>
        <w:bidi w:val="0"/>
        <w:adjustRightInd/>
        <w:snapToGrid/>
        <w:spacing w:line="440" w:lineRule="exact"/>
        <w:jc w:val="center"/>
        <w:textAlignment w:val="auto"/>
        <w:rPr>
          <w:rFonts w:hint="default"/>
          <w:lang w:val="en-US" w:eastAsia="zh-CN"/>
        </w:rPr>
      </w:pPr>
    </w:p>
    <w:p w14:paraId="48BDDD72">
      <w:pPr>
        <w:pStyle w:val="14"/>
        <w:keepNext w:val="0"/>
        <w:keepLines w:val="0"/>
        <w:pageBreakBefore w:val="0"/>
        <w:kinsoku/>
        <w:wordWrap/>
        <w:overflowPunct/>
        <w:topLinePunct w:val="0"/>
        <w:autoSpaceDE/>
        <w:autoSpaceDN/>
        <w:bidi w:val="0"/>
        <w:adjustRightInd/>
        <w:snapToGrid/>
        <w:spacing w:line="440" w:lineRule="exact"/>
        <w:jc w:val="both"/>
        <w:textAlignment w:val="auto"/>
        <w:rPr>
          <w:rFonts w:hint="default"/>
          <w:lang w:val="en-US" w:eastAsia="zh-CN"/>
        </w:rPr>
        <w:sectPr>
          <w:footerReference r:id="rId5" w:type="default"/>
          <w:pgSz w:w="11906" w:h="16838"/>
          <w:pgMar w:top="1440" w:right="1800" w:bottom="1440" w:left="1800" w:header="851" w:footer="992" w:gutter="0"/>
          <w:pgNumType w:fmt="decimal" w:start="1"/>
          <w:cols w:space="425" w:num="1"/>
          <w:docGrid w:type="lines" w:linePitch="312" w:charSpace="0"/>
        </w:sectPr>
      </w:pPr>
    </w:p>
    <w:p w14:paraId="1D951877">
      <w:pPr>
        <w:pStyle w:val="14"/>
        <w:keepNext w:val="0"/>
        <w:keepLines w:val="0"/>
        <w:pageBreakBefore w:val="0"/>
        <w:kinsoku/>
        <w:wordWrap/>
        <w:overflowPunct/>
        <w:topLinePunct w:val="0"/>
        <w:autoSpaceDE/>
        <w:autoSpaceDN/>
        <w:bidi w:val="0"/>
        <w:adjustRightInd/>
        <w:snapToGrid/>
        <w:spacing w:line="440" w:lineRule="exact"/>
        <w:jc w:val="center"/>
        <w:textAlignment w:val="auto"/>
        <w:rPr>
          <w:rFonts w:hint="default"/>
          <w:lang w:val="en-US" w:eastAsia="zh-CN"/>
        </w:rPr>
      </w:pPr>
      <w:bookmarkStart w:id="0" w:name="_Toc11819"/>
      <w:r>
        <w:rPr>
          <w:rFonts w:hint="default"/>
          <w:lang w:val="en-US" w:eastAsia="zh-CN"/>
        </w:rPr>
        <w:t>第一章</w:t>
      </w:r>
      <w:r>
        <w:rPr>
          <w:rFonts w:hint="eastAsia"/>
          <w:lang w:val="en-US" w:eastAsia="zh-CN"/>
        </w:rPr>
        <w:t xml:space="preserve"> </w:t>
      </w:r>
      <w:r>
        <w:rPr>
          <w:rFonts w:hint="default"/>
          <w:lang w:val="en-US" w:eastAsia="zh-CN"/>
        </w:rPr>
        <w:t>绪论</w:t>
      </w:r>
      <w:bookmarkEnd w:id="0"/>
    </w:p>
    <w:p w14:paraId="494B140E">
      <w:pPr>
        <w:pStyle w:val="15"/>
        <w:keepNext w:val="0"/>
        <w:keepLines w:val="0"/>
        <w:pageBreakBefore w:val="0"/>
        <w:kinsoku/>
        <w:wordWrap/>
        <w:overflowPunct/>
        <w:topLinePunct w:val="0"/>
        <w:autoSpaceDE/>
        <w:autoSpaceDN/>
        <w:bidi w:val="0"/>
        <w:adjustRightInd/>
        <w:snapToGrid/>
        <w:spacing w:line="440" w:lineRule="exact"/>
        <w:textAlignment w:val="auto"/>
        <w:rPr>
          <w:rFonts w:hint="default"/>
          <w:lang w:val="en-US" w:eastAsia="zh-CN"/>
        </w:rPr>
      </w:pPr>
      <w:bookmarkStart w:id="1" w:name="_Toc11023"/>
      <w:r>
        <w:rPr>
          <w:rFonts w:hint="default"/>
          <w:lang w:val="en-US" w:eastAsia="zh-CN"/>
        </w:rPr>
        <w:t>1.1研究背景</w:t>
      </w:r>
      <w:bookmarkEnd w:id="1"/>
    </w:p>
    <w:p w14:paraId="7037B639">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近年来，中国制造业和供应链体系的持续成熟，为本土企业走向国际市场提供了坚实基础。在此背景下，中国新消费品牌逐步从“产品出海”向“品牌出海”转型，开始在海外市场构建长期经营能力。相较于传统制造型企业，新零售和消费品企业在全球化过程中更加依赖品牌表达、渠道布局和供应链协同</w:t>
      </w:r>
      <w:r>
        <w:rPr>
          <w:rFonts w:hint="eastAsia" w:ascii="宋体" w:hAnsi="宋体" w:eastAsia="宋体" w:cs="宋体"/>
          <w:sz w:val="24"/>
          <w:szCs w:val="24"/>
          <w:lang w:val="en-US" w:eastAsia="zh-CN"/>
        </w:rPr>
        <w:t>，对</w:t>
      </w:r>
      <w:r>
        <w:rPr>
          <w:rFonts w:hint="default" w:ascii="宋体" w:hAnsi="宋体" w:eastAsia="宋体" w:cs="宋体"/>
          <w:sz w:val="24"/>
          <w:szCs w:val="24"/>
          <w:lang w:val="en-US" w:eastAsia="zh-CN"/>
        </w:rPr>
        <w:t>其国际化路径和竞争逻辑具有较强研究价值。</w:t>
      </w:r>
    </w:p>
    <w:p w14:paraId="7F0DB06E">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名创优品作为中国新消费零售企业的代表，自成立以来在较短时间内完成了全球范围内的门店扩张，并形成了覆盖多个国家和地区的零售网络。名创优品（MINISO）是广州赛曼集团运营的一个品牌。广州赛曼集团是一家全球化经营的自有品牌综合零售商，提供多样的创意家居产品，于2013年成立，以加盟连锁的方式，进行快速扩张，成功孵化了两个品牌：名创优品（MINISO）和top</w:t>
      </w:r>
      <w:r>
        <w:rPr>
          <w:rFonts w:hint="eastAsia" w:ascii="宋体" w:hAnsi="宋体" w:eastAsia="宋体" w:cs="宋体"/>
          <w:sz w:val="24"/>
          <w:szCs w:val="24"/>
          <w:lang w:val="en-US" w:eastAsia="zh-CN"/>
        </w:rPr>
        <w:t xml:space="preserve"> </w:t>
      </w:r>
      <w:r>
        <w:rPr>
          <w:rFonts w:hint="default" w:ascii="宋体" w:hAnsi="宋体" w:eastAsia="宋体" w:cs="宋体"/>
          <w:sz w:val="24"/>
          <w:szCs w:val="24"/>
          <w:lang w:val="en-US" w:eastAsia="zh-CN"/>
        </w:rPr>
        <w:t>toy,并实现了跨国经营,早期名创优品通过深耕渠道，得到迅速发展。它所采用的加盟连锁商业模式也是早期海外品牌进入中国市场的常用商业模式之一。因此，对名创优品全球化经营模式与发展战略进行系统分析，对于理解中国新消费企业的跨国经营路径具有现实意义。</w:t>
      </w:r>
    </w:p>
    <w:p w14:paraId="3B59F6DB">
      <w:pPr>
        <w:pStyle w:val="15"/>
        <w:keepNext w:val="0"/>
        <w:keepLines w:val="0"/>
        <w:pageBreakBefore w:val="0"/>
        <w:kinsoku/>
        <w:wordWrap/>
        <w:overflowPunct/>
        <w:topLinePunct w:val="0"/>
        <w:autoSpaceDE/>
        <w:autoSpaceDN/>
        <w:bidi w:val="0"/>
        <w:adjustRightInd/>
        <w:snapToGrid/>
        <w:spacing w:line="440" w:lineRule="exact"/>
        <w:textAlignment w:val="auto"/>
        <w:rPr>
          <w:rFonts w:hint="default"/>
          <w:lang w:val="en-US" w:eastAsia="zh-CN"/>
        </w:rPr>
      </w:pPr>
      <w:bookmarkStart w:id="2" w:name="_Toc10902"/>
      <w:r>
        <w:rPr>
          <w:rFonts w:hint="default"/>
          <w:lang w:val="en-US" w:eastAsia="zh-CN"/>
        </w:rPr>
        <w:t>1.2研究意义</w:t>
      </w:r>
      <w:bookmarkEnd w:id="2"/>
    </w:p>
    <w:p w14:paraId="55774A89">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从理论层面看，现有跨国经营研究多集中于重资产制造企业与大型资本集团，对新兴消费零售领域的国际化机理探讨尚不充分。名创优品全球化实践融合轻资产扩张、柔性供应链与IP品牌运营，其非传统扩张逻辑为零售企业跨国管理理论提供了有价值的分析样本。</w:t>
      </w:r>
    </w:p>
    <w:p w14:paraId="23380C0E">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从实践层面看，名创优品在海外扩张中的模式选择及全球本土协同机制，为正在国际化的中国品牌提供了可参照的实证经验。通过解析其全球化进程中的核心能力与潜在短板，相关企业可更精准地优化国际化战略，降低复杂环境下的试错成本。</w:t>
      </w:r>
    </w:p>
    <w:p w14:paraId="0E7C836C">
      <w:pPr>
        <w:pStyle w:val="15"/>
        <w:keepNext w:val="0"/>
        <w:keepLines w:val="0"/>
        <w:pageBreakBefore w:val="0"/>
        <w:kinsoku/>
        <w:wordWrap/>
        <w:overflowPunct/>
        <w:topLinePunct w:val="0"/>
        <w:autoSpaceDE/>
        <w:autoSpaceDN/>
        <w:bidi w:val="0"/>
        <w:adjustRightInd/>
        <w:snapToGrid/>
        <w:spacing w:line="440" w:lineRule="exact"/>
        <w:textAlignment w:val="auto"/>
        <w:rPr>
          <w:rFonts w:hint="default"/>
          <w:lang w:val="en-US" w:eastAsia="zh-CN"/>
        </w:rPr>
      </w:pPr>
      <w:bookmarkStart w:id="3" w:name="_Toc15834"/>
      <w:r>
        <w:rPr>
          <w:rFonts w:hint="default"/>
          <w:lang w:val="en-US" w:eastAsia="zh-CN"/>
        </w:rPr>
        <w:t>1.</w:t>
      </w:r>
      <w:r>
        <w:rPr>
          <w:rFonts w:hint="eastAsia"/>
          <w:lang w:val="en-US" w:eastAsia="zh-CN"/>
        </w:rPr>
        <w:t>3</w:t>
      </w:r>
      <w:r>
        <w:rPr>
          <w:rFonts w:hint="default"/>
          <w:lang w:val="en-US" w:eastAsia="zh-CN"/>
        </w:rPr>
        <w:t>研究</w:t>
      </w:r>
      <w:r>
        <w:rPr>
          <w:rFonts w:hint="eastAsia"/>
          <w:lang w:val="en-US" w:eastAsia="zh-CN"/>
        </w:rPr>
        <w:t>内容与研究方法</w:t>
      </w:r>
      <w:bookmarkEnd w:id="3"/>
    </w:p>
    <w:p w14:paraId="1B874B40">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本文以名创优品全球化经营为研究对象，系统梳理其发展历程与海外扩张路径，进而分析其经营模式与发展战略。研究侧重于对企业实际做法的归纳与规范性分析，不涉及定量实证。</w:t>
      </w:r>
    </w:p>
    <w:p w14:paraId="4EF44AC4">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通过梳理名创优品海外市场进入方式、组织治理机制及品牌IP战略，本文提炼其全球化经营的主要特征，并运用SWOT框架进行内外部环境的结构化分析。在此基础上，结合战略管理理论为企业未来发展提出规范性建议。研究从企业实践出发，通过逻辑分析与综合研判，揭示名创优品全球化经营的内在逻辑及其制约因素，以期为我国新消费零售企业的国际化发展提供参考。</w:t>
      </w:r>
    </w:p>
    <w:p w14:paraId="34C64771">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hint="default" w:ascii="宋体" w:hAnsi="宋体" w:eastAsia="宋体" w:cs="宋体"/>
          <w:sz w:val="24"/>
          <w:szCs w:val="24"/>
          <w:lang w:val="en-US" w:eastAsia="zh-CN"/>
        </w:rPr>
      </w:pPr>
    </w:p>
    <w:p w14:paraId="0D8DFEC8">
      <w:pPr>
        <w:pStyle w:val="14"/>
        <w:keepNext w:val="0"/>
        <w:keepLines w:val="0"/>
        <w:pageBreakBefore w:val="0"/>
        <w:kinsoku/>
        <w:wordWrap/>
        <w:overflowPunct/>
        <w:topLinePunct w:val="0"/>
        <w:autoSpaceDE/>
        <w:autoSpaceDN/>
        <w:bidi w:val="0"/>
        <w:adjustRightInd/>
        <w:snapToGrid/>
        <w:spacing w:line="440" w:lineRule="exact"/>
        <w:textAlignment w:val="auto"/>
        <w:rPr>
          <w:rFonts w:hint="default"/>
          <w:lang w:val="en-US" w:eastAsia="zh-CN"/>
        </w:rPr>
      </w:pPr>
      <w:bookmarkStart w:id="4" w:name="_Toc12595"/>
      <w:r>
        <w:rPr>
          <w:rFonts w:hint="default"/>
          <w:lang w:val="en-US" w:eastAsia="zh-CN"/>
        </w:rPr>
        <w:t>第二章</w:t>
      </w:r>
      <w:r>
        <w:rPr>
          <w:rFonts w:hint="eastAsia"/>
          <w:lang w:val="en-US" w:eastAsia="zh-CN"/>
        </w:rPr>
        <w:t xml:space="preserve"> </w:t>
      </w:r>
      <w:r>
        <w:rPr>
          <w:rFonts w:hint="default"/>
          <w:lang w:val="en-US" w:eastAsia="zh-CN"/>
        </w:rPr>
        <w:t>名创优品发展概况与全球化历程</w:t>
      </w:r>
      <w:bookmarkEnd w:id="4"/>
    </w:p>
    <w:p w14:paraId="410892B4">
      <w:pPr>
        <w:pStyle w:val="15"/>
        <w:keepNext w:val="0"/>
        <w:keepLines w:val="0"/>
        <w:pageBreakBefore w:val="0"/>
        <w:kinsoku/>
        <w:wordWrap/>
        <w:overflowPunct/>
        <w:topLinePunct w:val="0"/>
        <w:autoSpaceDE/>
        <w:autoSpaceDN/>
        <w:bidi w:val="0"/>
        <w:adjustRightInd/>
        <w:snapToGrid/>
        <w:spacing w:line="440" w:lineRule="exact"/>
        <w:textAlignment w:val="auto"/>
        <w:rPr>
          <w:rFonts w:hint="default"/>
          <w:lang w:val="en-US" w:eastAsia="zh-CN"/>
        </w:rPr>
      </w:pPr>
      <w:bookmarkStart w:id="5" w:name="_Toc26537"/>
      <w:r>
        <w:rPr>
          <w:rFonts w:hint="default"/>
          <w:lang w:val="en-US" w:eastAsia="zh-CN"/>
        </w:rPr>
        <w:t>2.1发展概况</w:t>
      </w:r>
      <w:bookmarkEnd w:id="5"/>
    </w:p>
    <w:p w14:paraId="4EEB954F">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名创优品自2013年成立以来专注线下零售业务，定位于提供高性价比生活方式产品，覆盖家居用品、文具、数码配件、个护、美妆及潮流玩具等多个品类。区别于传统零售企业，其经营模式强调设计美学、快速上新与规模化采购，并通过高频次SKU更新维持门店吸引力</w:t>
      </w:r>
      <w:r>
        <w:rPr>
          <w:rFonts w:hint="default" w:ascii="宋体" w:hAnsi="宋体" w:eastAsia="宋体" w:cs="宋体"/>
          <w:sz w:val="24"/>
          <w:szCs w:val="24"/>
          <w:vertAlign w:val="superscript"/>
          <w:lang w:val="en-US" w:eastAsia="zh-CN"/>
        </w:rPr>
        <w:fldChar w:fldCharType="begin"/>
      </w:r>
      <w:r>
        <w:rPr>
          <w:rFonts w:hint="default" w:ascii="宋体" w:hAnsi="宋体" w:eastAsia="宋体" w:cs="宋体"/>
          <w:sz w:val="24"/>
          <w:szCs w:val="24"/>
          <w:vertAlign w:val="superscript"/>
          <w:lang w:val="en-US" w:eastAsia="zh-CN"/>
        </w:rPr>
        <w:instrText xml:space="preserve"> REF _Ref21723 \r \h </w:instrText>
      </w:r>
      <w:r>
        <w:rPr>
          <w:rFonts w:hint="default" w:ascii="宋体" w:hAnsi="宋体" w:eastAsia="宋体" w:cs="宋体"/>
          <w:sz w:val="24"/>
          <w:szCs w:val="24"/>
          <w:vertAlign w:val="superscript"/>
          <w:lang w:val="en-US" w:eastAsia="zh-CN"/>
        </w:rPr>
        <w:fldChar w:fldCharType="separate"/>
      </w:r>
      <w:r>
        <w:rPr>
          <w:rFonts w:hint="default" w:ascii="宋体" w:hAnsi="宋体" w:eastAsia="宋体" w:cs="宋体"/>
          <w:sz w:val="24"/>
          <w:szCs w:val="24"/>
          <w:vertAlign w:val="superscript"/>
          <w:lang w:val="en-US" w:eastAsia="zh-CN"/>
        </w:rPr>
        <w:t>[1]</w:t>
      </w:r>
      <w:r>
        <w:rPr>
          <w:rFonts w:hint="default" w:ascii="宋体" w:hAnsi="宋体" w:eastAsia="宋体" w:cs="宋体"/>
          <w:sz w:val="24"/>
          <w:szCs w:val="24"/>
          <w:vertAlign w:val="superscript"/>
          <w:lang w:val="en-US" w:eastAsia="zh-CN"/>
        </w:rPr>
        <w:fldChar w:fldCharType="end"/>
      </w:r>
      <w:r>
        <w:rPr>
          <w:rFonts w:hint="default" w:ascii="宋体" w:hAnsi="宋体" w:eastAsia="宋体" w:cs="宋体"/>
          <w:sz w:val="24"/>
          <w:szCs w:val="24"/>
          <w:lang w:val="en-US" w:eastAsia="zh-CN"/>
        </w:rPr>
        <w:t>。公司在产品结构上逐步形成以基础生活用品为稳定销售基础、以IP联名产品及潮流玩具为增长引擎的组合模式，借助统一的品牌视觉体系与标准化门店管理实现了高效的全球门店复制能力。</w:t>
      </w:r>
    </w:p>
    <w:p w14:paraId="0D1247D2">
      <w:pPr>
        <w:pStyle w:val="15"/>
        <w:keepNext w:val="0"/>
        <w:keepLines w:val="0"/>
        <w:pageBreakBefore w:val="0"/>
        <w:kinsoku/>
        <w:wordWrap/>
        <w:overflowPunct/>
        <w:topLinePunct w:val="0"/>
        <w:autoSpaceDE/>
        <w:autoSpaceDN/>
        <w:bidi w:val="0"/>
        <w:adjustRightInd/>
        <w:snapToGrid/>
        <w:spacing w:line="440" w:lineRule="exact"/>
        <w:textAlignment w:val="auto"/>
        <w:rPr>
          <w:rFonts w:hint="default"/>
          <w:lang w:val="en-US" w:eastAsia="zh-CN"/>
        </w:rPr>
      </w:pPr>
      <w:bookmarkStart w:id="6" w:name="_Toc2805"/>
      <w:r>
        <w:rPr>
          <w:rFonts w:hint="default"/>
          <w:lang w:val="en-US" w:eastAsia="zh-CN"/>
        </w:rPr>
        <w:t>2.2全球化</w:t>
      </w:r>
      <w:r>
        <w:rPr>
          <w:rFonts w:hint="eastAsia"/>
          <w:lang w:val="en-US" w:eastAsia="zh-CN"/>
        </w:rPr>
        <w:t>历程</w:t>
      </w:r>
      <w:bookmarkEnd w:id="6"/>
    </w:p>
    <w:p w14:paraId="36A12B00">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名创优品的全球化进程始于2015年。在企业早期发展阶段，管理层在拓展供应链与参与国际展会过程中，逐步形成了面向海外市场输出零售模式的设想。真正推动公司启动海外业务的，是东南亚地区华侨及海外渠道商提出的合作需求。企业选择新加坡作为首个海外市场，通过代理模式开设门店。新加坡在区域内具备商业枢纽属性，消费环境成熟，有助于品牌在海外市场完成初步验证。这一阶段，名创优品的海外布局仍以试探性进入为主，重点在于验证产品组合和门店模式的可行性。</w:t>
      </w:r>
    </w:p>
    <w:p w14:paraId="0ADD0E95">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在完成海外首站运营后，名创优品逐步将业务拓展至东南亚其他国家，并于2016年进入墨西哥市场，开始布局拉美地区。随后，公司将海外业务延伸至北美和欧洲市场，形成跨区域的全球零售网络。在不同区域市场中，名创优品根据当地消费环境和市场成熟度，采取差异化扩张节奏</w:t>
      </w:r>
      <w:r>
        <w:rPr>
          <w:rFonts w:hint="default" w:ascii="宋体" w:hAnsi="宋体" w:eastAsia="宋体" w:cs="宋体"/>
          <w:sz w:val="24"/>
          <w:szCs w:val="24"/>
          <w:vertAlign w:val="superscript"/>
          <w:lang w:val="en-US" w:eastAsia="zh-CN"/>
        </w:rPr>
        <w:fldChar w:fldCharType="begin"/>
      </w:r>
      <w:r>
        <w:rPr>
          <w:rFonts w:hint="default" w:ascii="宋体" w:hAnsi="宋体" w:eastAsia="宋体" w:cs="宋体"/>
          <w:sz w:val="24"/>
          <w:szCs w:val="24"/>
          <w:vertAlign w:val="superscript"/>
          <w:lang w:val="en-US" w:eastAsia="zh-CN"/>
        </w:rPr>
        <w:instrText xml:space="preserve"> REF _Ref23644 \r \h </w:instrText>
      </w:r>
      <w:r>
        <w:rPr>
          <w:rFonts w:hint="default" w:ascii="宋体" w:hAnsi="宋体" w:eastAsia="宋体" w:cs="宋体"/>
          <w:sz w:val="24"/>
          <w:szCs w:val="24"/>
          <w:vertAlign w:val="superscript"/>
          <w:lang w:val="en-US" w:eastAsia="zh-CN"/>
        </w:rPr>
        <w:fldChar w:fldCharType="separate"/>
      </w:r>
      <w:r>
        <w:rPr>
          <w:rFonts w:hint="default" w:ascii="宋体" w:hAnsi="宋体" w:eastAsia="宋体" w:cs="宋体"/>
          <w:sz w:val="24"/>
          <w:szCs w:val="24"/>
          <w:vertAlign w:val="superscript"/>
          <w:lang w:val="en-US" w:eastAsia="zh-CN"/>
        </w:rPr>
        <w:t>[2]</w:t>
      </w:r>
      <w:r>
        <w:rPr>
          <w:rFonts w:hint="default" w:ascii="宋体" w:hAnsi="宋体" w:eastAsia="宋体" w:cs="宋体"/>
          <w:sz w:val="24"/>
          <w:szCs w:val="24"/>
          <w:vertAlign w:val="superscript"/>
          <w:lang w:val="en-US" w:eastAsia="zh-CN"/>
        </w:rPr>
        <w:fldChar w:fldCharType="end"/>
      </w:r>
      <w:r>
        <w:rPr>
          <w:rFonts w:hint="default" w:ascii="宋体" w:hAnsi="宋体" w:eastAsia="宋体" w:cs="宋体"/>
          <w:sz w:val="24"/>
          <w:szCs w:val="24"/>
          <w:lang w:val="en-US" w:eastAsia="zh-CN"/>
        </w:rPr>
        <w:t>。其中，印尼市场成为企业海外发展过程中的重要节点，门店数量在较短时间内实现快速增长，并逐步发展为公司最重要的海外单一市场之一。</w:t>
      </w:r>
    </w:p>
    <w:p w14:paraId="0D2AE109">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hint="default" w:ascii="宋体" w:hAnsi="宋体" w:eastAsia="宋体" w:cs="宋体"/>
          <w:sz w:val="24"/>
          <w:szCs w:val="24"/>
          <w:lang w:val="en-US" w:eastAsia="zh-CN"/>
        </w:rPr>
      </w:pPr>
    </w:p>
    <w:p w14:paraId="53AC966F">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hint="default" w:ascii="宋体" w:hAnsi="宋体" w:eastAsia="宋体" w:cs="宋体"/>
          <w:sz w:val="24"/>
          <w:szCs w:val="24"/>
          <w:lang w:val="en-US" w:eastAsia="zh-CN"/>
        </w:rPr>
      </w:pPr>
    </w:p>
    <w:p w14:paraId="20447518">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hint="default" w:ascii="宋体" w:hAnsi="宋体" w:eastAsia="宋体" w:cs="宋体"/>
          <w:sz w:val="24"/>
          <w:szCs w:val="24"/>
          <w:lang w:val="en-US" w:eastAsia="zh-CN"/>
        </w:rPr>
      </w:pPr>
    </w:p>
    <w:p w14:paraId="74A55F25">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hint="default" w:ascii="宋体" w:hAnsi="宋体" w:eastAsia="宋体" w:cs="宋体"/>
          <w:sz w:val="24"/>
          <w:szCs w:val="24"/>
          <w:lang w:val="en-US" w:eastAsia="zh-CN"/>
        </w:rPr>
      </w:pPr>
    </w:p>
    <w:p w14:paraId="634A6C2D">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hint="default" w:ascii="宋体" w:hAnsi="宋体" w:eastAsia="宋体" w:cs="宋体"/>
          <w:sz w:val="24"/>
          <w:szCs w:val="24"/>
          <w:lang w:val="en-US" w:eastAsia="zh-CN"/>
        </w:rPr>
      </w:pPr>
    </w:p>
    <w:p w14:paraId="682DE005">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440" w:lineRule="exact"/>
        <w:jc w:val="center"/>
        <w:textAlignment w:val="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表1 名创优品</w:t>
      </w:r>
      <w:r>
        <w:rPr>
          <w:rFonts w:hint="default" w:ascii="宋体" w:hAnsi="宋体" w:eastAsia="宋体" w:cs="宋体"/>
          <w:sz w:val="21"/>
          <w:szCs w:val="21"/>
          <w:lang w:val="en-US" w:eastAsia="zh-CN"/>
        </w:rPr>
        <w:t>2021-2024年营收及毛利率变化</w:t>
      </w:r>
    </w:p>
    <w:tbl>
      <w:tblPr>
        <w:tblStyle w:val="8"/>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241"/>
        <w:gridCol w:w="4577"/>
        <w:gridCol w:w="2701"/>
      </w:tblGrid>
      <w:tr w14:paraId="60A4CF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728" w:type="pct"/>
            <w:tcBorders>
              <w:top w:val="single" w:color="000000" w:sz="12" w:space="0"/>
              <w:left w:val="nil"/>
              <w:bottom w:val="single" w:color="000000" w:sz="4" w:space="0"/>
              <w:right w:val="nil"/>
              <w:tl2br w:val="nil"/>
            </w:tcBorders>
            <w:shd w:val="clear" w:color="auto" w:fill="FFFFFF"/>
            <w:noWrap/>
            <w:vAlign w:val="center"/>
          </w:tcPr>
          <w:p w14:paraId="32AE3E4E">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年份</w:t>
            </w:r>
          </w:p>
        </w:tc>
        <w:tc>
          <w:tcPr>
            <w:tcW w:w="2686" w:type="pct"/>
            <w:tcBorders>
              <w:top w:val="single" w:color="000000" w:sz="12" w:space="0"/>
              <w:left w:val="nil"/>
              <w:bottom w:val="single" w:color="000000" w:sz="4" w:space="0"/>
              <w:right w:val="nil"/>
            </w:tcBorders>
            <w:shd w:val="clear" w:color="auto" w:fill="FFFFFF"/>
            <w:noWrap/>
            <w:vAlign w:val="center"/>
          </w:tcPr>
          <w:p w14:paraId="53BB1568">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销售收入（百万美元）</w:t>
            </w:r>
          </w:p>
        </w:tc>
        <w:tc>
          <w:tcPr>
            <w:tcW w:w="1585" w:type="pct"/>
            <w:tcBorders>
              <w:top w:val="single" w:color="000000" w:sz="12" w:space="0"/>
              <w:left w:val="nil"/>
              <w:bottom w:val="single" w:color="000000" w:sz="4" w:space="0"/>
              <w:right w:val="nil"/>
            </w:tcBorders>
            <w:shd w:val="clear" w:color="auto" w:fill="FFFFFF"/>
            <w:noWrap/>
            <w:vAlign w:val="center"/>
          </w:tcPr>
          <w:p w14:paraId="4BEC6077">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毛利率（%）</w:t>
            </w:r>
          </w:p>
        </w:tc>
      </w:tr>
      <w:tr w14:paraId="66C603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728" w:type="pct"/>
            <w:tcBorders>
              <w:top w:val="single" w:color="000000" w:sz="4" w:space="0"/>
              <w:left w:val="nil"/>
              <w:bottom w:val="nil"/>
              <w:right w:val="nil"/>
            </w:tcBorders>
            <w:shd w:val="clear" w:color="auto" w:fill="FFFFFF"/>
            <w:noWrap/>
            <w:vAlign w:val="center"/>
          </w:tcPr>
          <w:p w14:paraId="69072754">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2021</w:t>
            </w:r>
          </w:p>
        </w:tc>
        <w:tc>
          <w:tcPr>
            <w:tcW w:w="2686" w:type="pct"/>
            <w:tcBorders>
              <w:top w:val="single" w:color="000000" w:sz="4" w:space="0"/>
              <w:left w:val="nil"/>
              <w:bottom w:val="nil"/>
              <w:right w:val="nil"/>
            </w:tcBorders>
            <w:shd w:val="clear" w:color="auto" w:fill="FFFFFF"/>
            <w:noWrap/>
            <w:vAlign w:val="center"/>
          </w:tcPr>
          <w:p w14:paraId="1F710825">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1405</w:t>
            </w:r>
          </w:p>
        </w:tc>
        <w:tc>
          <w:tcPr>
            <w:tcW w:w="1585" w:type="pct"/>
            <w:tcBorders>
              <w:top w:val="single" w:color="000000" w:sz="4" w:space="0"/>
              <w:left w:val="nil"/>
              <w:bottom w:val="nil"/>
              <w:right w:val="nil"/>
            </w:tcBorders>
            <w:shd w:val="clear" w:color="auto" w:fill="FFFFFF"/>
            <w:noWrap/>
            <w:vAlign w:val="center"/>
          </w:tcPr>
          <w:p w14:paraId="786D4A99">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25.8</w:t>
            </w:r>
          </w:p>
        </w:tc>
      </w:tr>
      <w:tr w14:paraId="1A3BD4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728" w:type="pct"/>
            <w:tcBorders>
              <w:top w:val="nil"/>
              <w:left w:val="nil"/>
              <w:bottom w:val="nil"/>
              <w:right w:val="nil"/>
            </w:tcBorders>
            <w:shd w:val="clear" w:color="auto" w:fill="FFFFFF"/>
            <w:noWrap/>
            <w:vAlign w:val="center"/>
          </w:tcPr>
          <w:p w14:paraId="4C3F535C">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2022</w:t>
            </w:r>
          </w:p>
        </w:tc>
        <w:tc>
          <w:tcPr>
            <w:tcW w:w="2686" w:type="pct"/>
            <w:tcBorders>
              <w:top w:val="nil"/>
              <w:left w:val="nil"/>
              <w:bottom w:val="nil"/>
              <w:right w:val="nil"/>
            </w:tcBorders>
            <w:shd w:val="clear" w:color="auto" w:fill="FFFFFF"/>
            <w:noWrap/>
            <w:vAlign w:val="center"/>
          </w:tcPr>
          <w:p w14:paraId="318574D4">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1505.7</w:t>
            </w:r>
          </w:p>
        </w:tc>
        <w:tc>
          <w:tcPr>
            <w:tcW w:w="1585" w:type="pct"/>
            <w:tcBorders>
              <w:top w:val="nil"/>
              <w:left w:val="nil"/>
              <w:bottom w:val="nil"/>
              <w:right w:val="nil"/>
            </w:tcBorders>
            <w:shd w:val="clear" w:color="auto" w:fill="FFFFFF"/>
            <w:noWrap/>
            <w:vAlign w:val="center"/>
          </w:tcPr>
          <w:p w14:paraId="56A61DC7">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33.3</w:t>
            </w:r>
          </w:p>
        </w:tc>
      </w:tr>
      <w:tr w14:paraId="4A71F0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728" w:type="pct"/>
            <w:tcBorders>
              <w:top w:val="nil"/>
              <w:left w:val="nil"/>
              <w:bottom w:val="nil"/>
              <w:right w:val="nil"/>
            </w:tcBorders>
            <w:shd w:val="clear" w:color="auto" w:fill="FFFFFF"/>
            <w:noWrap/>
            <w:vAlign w:val="center"/>
          </w:tcPr>
          <w:p w14:paraId="19442940">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2023</w:t>
            </w:r>
          </w:p>
        </w:tc>
        <w:tc>
          <w:tcPr>
            <w:tcW w:w="2686" w:type="pct"/>
            <w:tcBorders>
              <w:top w:val="nil"/>
              <w:left w:val="nil"/>
              <w:bottom w:val="nil"/>
              <w:right w:val="nil"/>
            </w:tcBorders>
            <w:shd w:val="clear" w:color="auto" w:fill="FFFFFF"/>
            <w:noWrap/>
            <w:vAlign w:val="center"/>
          </w:tcPr>
          <w:p w14:paraId="65DC7A1E">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1582.2</w:t>
            </w:r>
          </w:p>
        </w:tc>
        <w:tc>
          <w:tcPr>
            <w:tcW w:w="1585" w:type="pct"/>
            <w:tcBorders>
              <w:top w:val="nil"/>
              <w:left w:val="nil"/>
              <w:bottom w:val="nil"/>
              <w:right w:val="nil"/>
            </w:tcBorders>
            <w:shd w:val="clear" w:color="auto" w:fill="FFFFFF"/>
            <w:noWrap/>
            <w:vAlign w:val="center"/>
          </w:tcPr>
          <w:p w14:paraId="060C7F95">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40.4</w:t>
            </w:r>
          </w:p>
        </w:tc>
      </w:tr>
      <w:tr w14:paraId="3DE9A5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728" w:type="pct"/>
            <w:tcBorders>
              <w:top w:val="nil"/>
              <w:left w:val="nil"/>
              <w:bottom w:val="single" w:color="000000" w:sz="12" w:space="0"/>
              <w:right w:val="nil"/>
            </w:tcBorders>
            <w:shd w:val="clear" w:color="auto" w:fill="FFFFFF"/>
            <w:noWrap/>
            <w:vAlign w:val="center"/>
          </w:tcPr>
          <w:p w14:paraId="3A7D195B">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2024</w:t>
            </w:r>
          </w:p>
        </w:tc>
        <w:tc>
          <w:tcPr>
            <w:tcW w:w="2686" w:type="pct"/>
            <w:tcBorders>
              <w:top w:val="nil"/>
              <w:left w:val="nil"/>
              <w:bottom w:val="single" w:color="000000" w:sz="12" w:space="0"/>
              <w:right w:val="nil"/>
            </w:tcBorders>
            <w:shd w:val="clear" w:color="auto" w:fill="FFFFFF"/>
            <w:noWrap/>
            <w:vAlign w:val="center"/>
          </w:tcPr>
          <w:p w14:paraId="5B5D825A">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1750.1</w:t>
            </w:r>
          </w:p>
        </w:tc>
        <w:tc>
          <w:tcPr>
            <w:tcW w:w="1585" w:type="pct"/>
            <w:tcBorders>
              <w:top w:val="nil"/>
              <w:left w:val="nil"/>
              <w:bottom w:val="single" w:color="000000" w:sz="12" w:space="0"/>
              <w:right w:val="nil"/>
            </w:tcBorders>
            <w:shd w:val="clear" w:color="auto" w:fill="FFFFFF"/>
            <w:noWrap/>
            <w:vAlign w:val="center"/>
          </w:tcPr>
          <w:p w14:paraId="27A74D74">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44.1</w:t>
            </w:r>
          </w:p>
        </w:tc>
      </w:tr>
    </w:tbl>
    <w:p w14:paraId="10D10AB1">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数据来源：名创优品官网</w:t>
      </w:r>
    </w:p>
    <w:p w14:paraId="7AAC0940">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宋体" w:hAnsi="宋体" w:eastAsia="宋体" w:cs="宋体"/>
          <w:sz w:val="24"/>
          <w:szCs w:val="24"/>
          <w:lang w:val="en-US" w:eastAsia="zh-CN"/>
        </w:rPr>
      </w:pPr>
    </w:p>
    <w:p w14:paraId="79F1DEA7">
      <w:pPr>
        <w:pStyle w:val="14"/>
        <w:numPr>
          <w:ilvl w:val="0"/>
          <w:numId w:val="1"/>
        </w:numPr>
        <w:bidi w:val="0"/>
        <w:rPr>
          <w:rFonts w:hint="eastAsia"/>
          <w:lang w:val="en-US" w:eastAsia="zh-CN"/>
        </w:rPr>
      </w:pPr>
      <w:bookmarkStart w:id="7" w:name="_Toc9331"/>
      <w:r>
        <w:rPr>
          <w:rFonts w:hint="default"/>
          <w:lang w:val="en-US" w:eastAsia="zh-CN"/>
        </w:rPr>
        <w:t>名创优品全球化经营模式</w:t>
      </w:r>
      <w:r>
        <w:rPr>
          <w:rFonts w:hint="eastAsia"/>
          <w:lang w:val="en-US" w:eastAsia="zh-CN"/>
        </w:rPr>
        <w:t>分析</w:t>
      </w:r>
      <w:bookmarkEnd w:id="7"/>
    </w:p>
    <w:p w14:paraId="1A994CEE">
      <w:pPr>
        <w:pStyle w:val="15"/>
        <w:bidi w:val="0"/>
        <w:rPr>
          <w:rFonts w:hint="default"/>
          <w:lang w:val="en-US" w:eastAsia="zh-CN"/>
        </w:rPr>
      </w:pPr>
      <w:bookmarkStart w:id="8" w:name="_Toc1922"/>
      <w:r>
        <w:rPr>
          <w:rFonts w:hint="default"/>
          <w:lang w:val="en-US" w:eastAsia="zh-CN"/>
        </w:rPr>
        <w:t>3.1全球市场进入路径与海外经营模式选择</w:t>
      </w:r>
      <w:bookmarkEnd w:id="8"/>
    </w:p>
    <w:p w14:paraId="23429158">
      <w:pPr>
        <w:pStyle w:val="16"/>
        <w:bidi w:val="0"/>
        <w:rPr>
          <w:rFonts w:hint="default"/>
          <w:lang w:val="en-US" w:eastAsia="zh-CN"/>
        </w:rPr>
      </w:pPr>
      <w:bookmarkStart w:id="9" w:name="_Toc25263"/>
      <w:r>
        <w:rPr>
          <w:rFonts w:hint="default"/>
          <w:lang w:val="en-US" w:eastAsia="zh-CN"/>
        </w:rPr>
        <w:t>3.1.1阶段性</w:t>
      </w:r>
      <w:r>
        <w:rPr>
          <w:rFonts w:hint="eastAsia"/>
          <w:lang w:val="en-US" w:eastAsia="zh-CN"/>
        </w:rPr>
        <w:t>海外扩张</w:t>
      </w:r>
      <w:bookmarkEnd w:id="9"/>
    </w:p>
    <w:p w14:paraId="183868E1">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名创优品的全球化布局源于对海外市场“中国制造”供需差异的洞察，而非预设战略规划。品牌在2015年应东南亚渠道商合作需求以代理模式进入新加坡市场，依托其区域枢纽地位完成初步市场测试。此后迅速向东南亚及拉美地区扩展半径，实现了从亚洲向全球多元市场的首轮渗透。名创优品在完成初步模式验证后进入加速扩张阶段，尤其通过印尼市场的深耕确立了海外单一市场增长范例。这种由点及面的布局模式有效支撑了品牌的规模化快速复制。截至2024年，名创优品已在全球110个国家及地区开设超过2700家门店，海外业务从早期试水发展为驱动公司增长的核心动力。名创优品在扩大门店数量的同时，也严格把控门店的面积，单个普通门店的面积一般在 200 平方米左右</w:t>
      </w:r>
      <w:r>
        <w:rPr>
          <w:rFonts w:hint="default" w:ascii="宋体" w:hAnsi="宋体" w:eastAsia="宋体" w:cs="宋体"/>
          <w:sz w:val="24"/>
          <w:szCs w:val="24"/>
          <w:vertAlign w:val="superscript"/>
          <w:lang w:val="en-US" w:eastAsia="zh-CN"/>
        </w:rPr>
        <w:fldChar w:fldCharType="begin"/>
      </w:r>
      <w:r>
        <w:rPr>
          <w:rFonts w:hint="default" w:ascii="宋体" w:hAnsi="宋体" w:eastAsia="宋体" w:cs="宋体"/>
          <w:sz w:val="24"/>
          <w:szCs w:val="24"/>
          <w:vertAlign w:val="superscript"/>
          <w:lang w:val="en-US" w:eastAsia="zh-CN"/>
        </w:rPr>
        <w:instrText xml:space="preserve"> REF _Ref23811 \r \h </w:instrText>
      </w:r>
      <w:r>
        <w:rPr>
          <w:rFonts w:hint="default" w:ascii="宋体" w:hAnsi="宋体" w:eastAsia="宋体" w:cs="宋体"/>
          <w:sz w:val="24"/>
          <w:szCs w:val="24"/>
          <w:vertAlign w:val="superscript"/>
          <w:lang w:val="en-US" w:eastAsia="zh-CN"/>
        </w:rPr>
        <w:fldChar w:fldCharType="separate"/>
      </w:r>
      <w:r>
        <w:rPr>
          <w:rFonts w:hint="default" w:ascii="宋体" w:hAnsi="宋体" w:eastAsia="宋体" w:cs="宋体"/>
          <w:sz w:val="24"/>
          <w:szCs w:val="24"/>
          <w:vertAlign w:val="superscript"/>
          <w:lang w:val="en-US" w:eastAsia="zh-CN"/>
        </w:rPr>
        <w:t>[3]</w:t>
      </w:r>
      <w:r>
        <w:rPr>
          <w:rFonts w:hint="default" w:ascii="宋体" w:hAnsi="宋体" w:eastAsia="宋体" w:cs="宋体"/>
          <w:sz w:val="24"/>
          <w:szCs w:val="24"/>
          <w:vertAlign w:val="superscript"/>
          <w:lang w:val="en-US" w:eastAsia="zh-CN"/>
        </w:rPr>
        <w:fldChar w:fldCharType="end"/>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给门店商品提供充足的陈列空间，同时给顾客营造较为宽松的购物环境。另外，</w:t>
      </w:r>
      <w:r>
        <w:rPr>
          <w:rFonts w:hint="eastAsia" w:ascii="宋体" w:hAnsi="宋体" w:eastAsia="宋体" w:cs="宋体"/>
          <w:sz w:val="24"/>
          <w:szCs w:val="24"/>
          <w:lang w:val="en-US" w:eastAsia="zh-CN"/>
        </w:rPr>
        <w:t>名创</w:t>
      </w:r>
      <w:r>
        <w:rPr>
          <w:rFonts w:hint="default" w:ascii="宋体" w:hAnsi="宋体" w:eastAsia="宋体" w:cs="宋体"/>
          <w:sz w:val="24"/>
          <w:szCs w:val="24"/>
          <w:lang w:val="en-US" w:eastAsia="zh-CN"/>
        </w:rPr>
        <w:t>积极尝试‘超级门店’战略，在势能位置开设门店，这些选址有利于提升品牌势能。同时客流量大，能带来更高的销售</w:t>
      </w:r>
    </w:p>
    <w:p w14:paraId="5E52704E">
      <w:pPr>
        <w:pStyle w:val="16"/>
        <w:bidi w:val="0"/>
        <w:rPr>
          <w:rFonts w:hint="default"/>
          <w:lang w:val="en-US" w:eastAsia="zh-CN"/>
        </w:rPr>
      </w:pPr>
      <w:bookmarkStart w:id="10" w:name="_Toc19279"/>
      <w:r>
        <w:rPr>
          <w:rFonts w:hint="default"/>
          <w:lang w:val="en-US" w:eastAsia="zh-CN"/>
        </w:rPr>
        <w:t>3.1.2多元化海外经营模式</w:t>
      </w:r>
      <w:bookmarkEnd w:id="10"/>
    </w:p>
    <w:p w14:paraId="0BF3CDE2">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在海外经营过程中，名创优品并未采用单一模式，而是根据市场特征灵活选择代理、合伙人与直营等不同方式。名创优品的海外拓展初期以代理为主，通过与当地代理商合作，不仅能降低进入新市场的风险，更好地融入当地市场，还有助提高扩张速度。由于与代理商沟通效率较低、政策落地较慢，名创优品2019年决定逐步收回代理权。始于2020年的疫情对线下销售的冲击也使一些代理商主动退出，名创优品借此机会加速将北美转为直营市场。</w:t>
      </w:r>
    </w:p>
    <w:p w14:paraId="0EB4B653">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440" w:lineRule="exact"/>
        <w:jc w:val="center"/>
        <w:textAlignment w:val="auto"/>
        <w:rPr>
          <w:rFonts w:hint="eastAsia" w:ascii="宋体" w:hAnsi="宋体" w:eastAsia="宋体" w:cs="宋体"/>
          <w:sz w:val="21"/>
          <w:szCs w:val="21"/>
          <w:lang w:val="en-US" w:eastAsia="zh-CN"/>
        </w:rPr>
      </w:pPr>
    </w:p>
    <w:p w14:paraId="3DE07F01">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440" w:lineRule="exact"/>
        <w:jc w:val="center"/>
        <w:textAlignment w:val="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表2 名创优品在海外商业模式的变化路径</w:t>
      </w: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683"/>
        <w:gridCol w:w="1159"/>
        <w:gridCol w:w="1893"/>
        <w:gridCol w:w="1148"/>
        <w:gridCol w:w="2804"/>
      </w:tblGrid>
      <w:tr w14:paraId="6580E0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683" w:type="dxa"/>
            <w:tcBorders>
              <w:top w:val="single" w:color="000000" w:sz="12" w:space="0"/>
              <w:left w:val="nil"/>
              <w:bottom w:val="single" w:color="000000" w:sz="4" w:space="0"/>
              <w:right w:val="nil"/>
              <w:tl2br w:val="nil"/>
            </w:tcBorders>
            <w:shd w:val="clear" w:color="auto" w:fill="FFFFFF"/>
            <w:noWrap/>
            <w:vAlign w:val="center"/>
          </w:tcPr>
          <w:p w14:paraId="4663BFDB">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商业模式</w:t>
            </w:r>
          </w:p>
        </w:tc>
        <w:tc>
          <w:tcPr>
            <w:tcW w:w="1159" w:type="dxa"/>
            <w:tcBorders>
              <w:top w:val="single" w:color="000000" w:sz="12" w:space="0"/>
              <w:left w:val="nil"/>
              <w:bottom w:val="single" w:color="000000" w:sz="4" w:space="0"/>
              <w:right w:val="nil"/>
            </w:tcBorders>
            <w:shd w:val="clear" w:color="auto" w:fill="FFFFFF"/>
            <w:noWrap/>
            <w:vAlign w:val="center"/>
          </w:tcPr>
          <w:p w14:paraId="03DA1A6B">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起始时间</w:t>
            </w:r>
          </w:p>
        </w:tc>
        <w:tc>
          <w:tcPr>
            <w:tcW w:w="1893" w:type="dxa"/>
            <w:tcBorders>
              <w:top w:val="single" w:color="000000" w:sz="12" w:space="0"/>
              <w:left w:val="nil"/>
              <w:bottom w:val="single" w:color="000000" w:sz="4" w:space="0"/>
              <w:right w:val="nil"/>
            </w:tcBorders>
            <w:shd w:val="clear" w:color="auto" w:fill="FFFFFF"/>
            <w:noWrap/>
            <w:vAlign w:val="center"/>
          </w:tcPr>
          <w:p w14:paraId="38DC943D">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主要覆盖区域</w:t>
            </w:r>
          </w:p>
        </w:tc>
        <w:tc>
          <w:tcPr>
            <w:tcW w:w="1148" w:type="dxa"/>
            <w:tcBorders>
              <w:top w:val="single" w:color="000000" w:sz="12" w:space="0"/>
              <w:left w:val="nil"/>
              <w:bottom w:val="single" w:color="000000" w:sz="4" w:space="0"/>
              <w:right w:val="nil"/>
            </w:tcBorders>
            <w:shd w:val="clear" w:color="auto" w:fill="FFFFFF"/>
            <w:noWrap/>
            <w:vAlign w:val="center"/>
          </w:tcPr>
          <w:p w14:paraId="599EC846">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代表国家</w:t>
            </w:r>
          </w:p>
        </w:tc>
        <w:tc>
          <w:tcPr>
            <w:tcW w:w="2804" w:type="dxa"/>
            <w:tcBorders>
              <w:top w:val="single" w:color="000000" w:sz="12" w:space="0"/>
              <w:left w:val="nil"/>
              <w:bottom w:val="single" w:color="000000" w:sz="4" w:space="0"/>
              <w:right w:val="nil"/>
            </w:tcBorders>
            <w:shd w:val="clear" w:color="auto" w:fill="FFFFFF"/>
            <w:noWrap/>
            <w:vAlign w:val="center"/>
          </w:tcPr>
          <w:p w14:paraId="4B7DD28E">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核心运营方式</w:t>
            </w:r>
          </w:p>
        </w:tc>
      </w:tr>
      <w:tr w14:paraId="0B70F7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683" w:type="dxa"/>
            <w:tcBorders>
              <w:top w:val="single" w:color="000000" w:sz="4" w:space="0"/>
              <w:left w:val="nil"/>
              <w:bottom w:val="nil"/>
              <w:right w:val="nil"/>
            </w:tcBorders>
            <w:shd w:val="clear" w:color="auto" w:fill="FFFFFF"/>
            <w:noWrap/>
            <w:vAlign w:val="center"/>
          </w:tcPr>
          <w:p w14:paraId="20C17E85">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合伙人模式</w:t>
            </w:r>
          </w:p>
        </w:tc>
        <w:tc>
          <w:tcPr>
            <w:tcW w:w="1159" w:type="dxa"/>
            <w:tcBorders>
              <w:top w:val="single" w:color="000000" w:sz="4" w:space="0"/>
              <w:left w:val="nil"/>
              <w:bottom w:val="nil"/>
              <w:right w:val="nil"/>
            </w:tcBorders>
            <w:shd w:val="clear" w:color="auto" w:fill="FFFFFF"/>
            <w:noWrap/>
            <w:vAlign w:val="center"/>
          </w:tcPr>
          <w:p w14:paraId="024A56E6">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2015年</w:t>
            </w:r>
          </w:p>
        </w:tc>
        <w:tc>
          <w:tcPr>
            <w:tcW w:w="1893" w:type="dxa"/>
            <w:tcBorders>
              <w:top w:val="single" w:color="000000" w:sz="4" w:space="0"/>
              <w:left w:val="nil"/>
              <w:bottom w:val="nil"/>
              <w:right w:val="nil"/>
            </w:tcBorders>
            <w:shd w:val="clear" w:color="auto" w:fill="FFFFFF"/>
            <w:noWrap/>
            <w:vAlign w:val="center"/>
          </w:tcPr>
          <w:p w14:paraId="52128E23">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亚洲地区为主</w:t>
            </w:r>
          </w:p>
        </w:tc>
        <w:tc>
          <w:tcPr>
            <w:tcW w:w="1148" w:type="dxa"/>
            <w:tcBorders>
              <w:top w:val="single" w:color="000000" w:sz="4" w:space="0"/>
              <w:left w:val="nil"/>
              <w:bottom w:val="nil"/>
              <w:right w:val="nil"/>
            </w:tcBorders>
            <w:shd w:val="clear" w:color="auto" w:fill="FFFFFF"/>
            <w:noWrap/>
            <w:vAlign w:val="center"/>
          </w:tcPr>
          <w:p w14:paraId="5D1EC82D">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印尼</w:t>
            </w:r>
          </w:p>
        </w:tc>
        <w:tc>
          <w:tcPr>
            <w:tcW w:w="2804" w:type="dxa"/>
            <w:tcBorders>
              <w:top w:val="single" w:color="000000" w:sz="4" w:space="0"/>
              <w:left w:val="nil"/>
              <w:bottom w:val="nil"/>
              <w:right w:val="nil"/>
            </w:tcBorders>
            <w:shd w:val="clear" w:color="auto" w:fill="FFFFFF"/>
            <w:noWrap/>
            <w:vAlign w:val="center"/>
          </w:tcPr>
          <w:p w14:paraId="04F703E2">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加盟商出资，总部运营</w:t>
            </w:r>
          </w:p>
        </w:tc>
      </w:tr>
      <w:tr w14:paraId="18738B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683" w:type="dxa"/>
            <w:tcBorders>
              <w:top w:val="nil"/>
              <w:left w:val="nil"/>
              <w:bottom w:val="nil"/>
              <w:right w:val="nil"/>
            </w:tcBorders>
            <w:shd w:val="clear" w:color="auto" w:fill="FFFFFF"/>
            <w:noWrap/>
            <w:vAlign w:val="center"/>
          </w:tcPr>
          <w:p w14:paraId="540A4200">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代理模式</w:t>
            </w:r>
          </w:p>
        </w:tc>
        <w:tc>
          <w:tcPr>
            <w:tcW w:w="1159" w:type="dxa"/>
            <w:tcBorders>
              <w:top w:val="nil"/>
              <w:left w:val="nil"/>
              <w:bottom w:val="nil"/>
              <w:right w:val="nil"/>
            </w:tcBorders>
            <w:shd w:val="clear" w:color="auto" w:fill="FFFFFF"/>
            <w:noWrap/>
            <w:vAlign w:val="center"/>
          </w:tcPr>
          <w:p w14:paraId="69E004C3">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2016年</w:t>
            </w:r>
          </w:p>
        </w:tc>
        <w:tc>
          <w:tcPr>
            <w:tcW w:w="1893" w:type="dxa"/>
            <w:tcBorders>
              <w:top w:val="nil"/>
              <w:left w:val="nil"/>
              <w:bottom w:val="nil"/>
              <w:right w:val="nil"/>
            </w:tcBorders>
            <w:shd w:val="clear" w:color="auto" w:fill="FFFFFF"/>
            <w:noWrap/>
            <w:vAlign w:val="center"/>
          </w:tcPr>
          <w:p w14:paraId="4C78E460">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全球（亚洲除外）</w:t>
            </w:r>
          </w:p>
        </w:tc>
        <w:tc>
          <w:tcPr>
            <w:tcW w:w="1148" w:type="dxa"/>
            <w:tcBorders>
              <w:top w:val="nil"/>
              <w:left w:val="nil"/>
              <w:bottom w:val="nil"/>
              <w:right w:val="nil"/>
            </w:tcBorders>
            <w:shd w:val="clear" w:color="auto" w:fill="FFFFFF"/>
            <w:noWrap/>
            <w:vAlign w:val="center"/>
          </w:tcPr>
          <w:p w14:paraId="35962012">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墨西哥</w:t>
            </w:r>
          </w:p>
        </w:tc>
        <w:tc>
          <w:tcPr>
            <w:tcW w:w="2804" w:type="dxa"/>
            <w:tcBorders>
              <w:top w:val="nil"/>
              <w:left w:val="nil"/>
              <w:bottom w:val="nil"/>
              <w:right w:val="nil"/>
            </w:tcBorders>
            <w:shd w:val="clear" w:color="auto" w:fill="FFFFFF"/>
            <w:noWrap/>
            <w:vAlign w:val="center"/>
          </w:tcPr>
          <w:p w14:paraId="31B141D3">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代理商运营+拓店，总部供货</w:t>
            </w:r>
          </w:p>
        </w:tc>
      </w:tr>
      <w:tr w14:paraId="6C77C9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683" w:type="dxa"/>
            <w:tcBorders>
              <w:top w:val="nil"/>
              <w:left w:val="nil"/>
              <w:bottom w:val="single" w:color="000000" w:sz="12" w:space="0"/>
              <w:right w:val="nil"/>
            </w:tcBorders>
            <w:shd w:val="clear" w:color="auto" w:fill="FFFFFF"/>
            <w:noWrap/>
            <w:vAlign w:val="center"/>
          </w:tcPr>
          <w:p w14:paraId="2D6904EC">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直营模式</w:t>
            </w:r>
          </w:p>
        </w:tc>
        <w:tc>
          <w:tcPr>
            <w:tcW w:w="1159" w:type="dxa"/>
            <w:tcBorders>
              <w:top w:val="nil"/>
              <w:left w:val="nil"/>
              <w:bottom w:val="single" w:color="000000" w:sz="12" w:space="0"/>
              <w:right w:val="nil"/>
            </w:tcBorders>
            <w:shd w:val="clear" w:color="auto" w:fill="FFFFFF"/>
            <w:noWrap/>
            <w:vAlign w:val="center"/>
          </w:tcPr>
          <w:p w14:paraId="6EE8A143">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2019年</w:t>
            </w:r>
          </w:p>
        </w:tc>
        <w:tc>
          <w:tcPr>
            <w:tcW w:w="1893" w:type="dxa"/>
            <w:tcBorders>
              <w:top w:val="nil"/>
              <w:left w:val="nil"/>
              <w:bottom w:val="single" w:color="000000" w:sz="12" w:space="0"/>
              <w:right w:val="nil"/>
            </w:tcBorders>
            <w:shd w:val="clear" w:color="auto" w:fill="FFFFFF"/>
            <w:noWrap/>
            <w:vAlign w:val="center"/>
          </w:tcPr>
          <w:p w14:paraId="4C8A81CC">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北美洲地区为主</w:t>
            </w:r>
          </w:p>
        </w:tc>
        <w:tc>
          <w:tcPr>
            <w:tcW w:w="1148" w:type="dxa"/>
            <w:tcBorders>
              <w:top w:val="nil"/>
              <w:left w:val="nil"/>
              <w:bottom w:val="single" w:color="000000" w:sz="12" w:space="0"/>
              <w:right w:val="nil"/>
            </w:tcBorders>
            <w:shd w:val="clear" w:color="auto" w:fill="FFFFFF"/>
            <w:noWrap/>
            <w:vAlign w:val="center"/>
          </w:tcPr>
          <w:p w14:paraId="68A99183">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美国</w:t>
            </w:r>
          </w:p>
        </w:tc>
        <w:tc>
          <w:tcPr>
            <w:tcW w:w="2804" w:type="dxa"/>
            <w:tcBorders>
              <w:top w:val="nil"/>
              <w:left w:val="nil"/>
              <w:bottom w:val="single" w:color="000000" w:sz="12" w:space="0"/>
              <w:right w:val="nil"/>
            </w:tcBorders>
            <w:shd w:val="clear" w:color="auto" w:fill="FFFFFF"/>
            <w:noWrap/>
            <w:vAlign w:val="center"/>
          </w:tcPr>
          <w:p w14:paraId="1D412155">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总部设立子公司运营</w:t>
            </w:r>
          </w:p>
        </w:tc>
      </w:tr>
    </w:tbl>
    <w:p w14:paraId="7C5CA4FC">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数据来源：专家访谈</w:t>
      </w:r>
    </w:p>
    <w:p w14:paraId="0CBE8F94">
      <w:pPr>
        <w:pStyle w:val="16"/>
        <w:bidi w:val="0"/>
        <w:rPr>
          <w:rFonts w:hint="default"/>
          <w:lang w:val="en-US" w:eastAsia="zh-CN"/>
        </w:rPr>
      </w:pPr>
      <w:bookmarkStart w:id="11" w:name="_Toc19816"/>
      <w:r>
        <w:rPr>
          <w:rFonts w:hint="default"/>
          <w:lang w:val="en-US" w:eastAsia="zh-CN"/>
        </w:rPr>
        <w:t>3.1.3高势能商圈布局策略</w:t>
      </w:r>
      <w:bookmarkEnd w:id="11"/>
    </w:p>
    <w:p w14:paraId="4CC37915">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在海外门店布局方面，名创优品强调优先进入全球一线城市的核心商圈。市场广、消费强、底盘稳的美国，是品牌出海的重要目的地之一，如何在该市场建立起知名度、影响力，提高市场占有率，一直困扰中国企业。</w:t>
      </w:r>
      <w:r>
        <w:rPr>
          <w:rFonts w:hint="eastAsia" w:ascii="宋体" w:hAnsi="宋体" w:eastAsia="宋体" w:cs="宋体"/>
          <w:sz w:val="24"/>
          <w:szCs w:val="24"/>
          <w:lang w:val="en-US" w:eastAsia="zh-CN"/>
        </w:rPr>
        <w:t>名创优品刘晓斌提出：“我们目标是成为全球化‘超级品牌’，将从超级IP、超级品类、超级门店、超级营销、超级符号、超级用户等方面持续发力”</w:t>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REF _Ref25326 \r \h </w:instrText>
      </w:r>
      <w:r>
        <w:rPr>
          <w:rFonts w:hint="eastAsia" w:ascii="宋体" w:hAnsi="宋体" w:eastAsia="宋体" w:cs="宋体"/>
          <w:sz w:val="24"/>
          <w:szCs w:val="24"/>
          <w:vertAlign w:val="superscript"/>
          <w:lang w:val="en-US" w:eastAsia="zh-CN"/>
        </w:rPr>
        <w:fldChar w:fldCharType="separate"/>
      </w:r>
      <w:r>
        <w:rPr>
          <w:rFonts w:hint="eastAsia" w:ascii="宋体" w:hAnsi="宋体" w:eastAsia="宋体" w:cs="宋体"/>
          <w:sz w:val="24"/>
          <w:szCs w:val="24"/>
          <w:vertAlign w:val="superscript"/>
          <w:lang w:val="en-US" w:eastAsia="zh-CN"/>
        </w:rPr>
        <w:t>[5]</w:t>
      </w:r>
      <w:r>
        <w:rPr>
          <w:rFonts w:hint="eastAsia" w:ascii="宋体" w:hAnsi="宋体" w:eastAsia="宋体" w:cs="宋体"/>
          <w:sz w:val="24"/>
          <w:szCs w:val="24"/>
          <w:vertAlign w:val="superscript"/>
          <w:lang w:val="en-US" w:eastAsia="zh-CN"/>
        </w:rPr>
        <w:fldChar w:fldCharType="end"/>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公司通过在纽约时代广场、巴黎香榭丽舍大街等顶级地段部署旗舰店，构建全球品牌地标。此类布局虽伴随高额成本，却能在极高流量场域释放明确的品牌信号</w:t>
      </w:r>
      <w:r>
        <w:rPr>
          <w:rFonts w:hint="eastAsia" w:ascii="宋体" w:hAnsi="宋体" w:eastAsia="宋体" w:cs="宋体"/>
          <w:sz w:val="24"/>
          <w:szCs w:val="24"/>
          <w:lang w:val="en-US" w:eastAsia="zh-CN"/>
        </w:rPr>
        <w:t>。</w:t>
      </w:r>
    </w:p>
    <w:p w14:paraId="2E56876A">
      <w:pPr>
        <w:pStyle w:val="15"/>
        <w:bidi w:val="0"/>
        <w:rPr>
          <w:rFonts w:hint="default"/>
          <w:lang w:val="en-US" w:eastAsia="zh-CN"/>
        </w:rPr>
      </w:pPr>
      <w:bookmarkStart w:id="12" w:name="_Toc21476"/>
      <w:r>
        <w:rPr>
          <w:rFonts w:hint="default"/>
          <w:lang w:val="en-US" w:eastAsia="zh-CN"/>
        </w:rPr>
        <w:t>3.2全球化与本土化并行的组织治理机制</w:t>
      </w:r>
      <w:bookmarkEnd w:id="12"/>
    </w:p>
    <w:p w14:paraId="3E913D62">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名创优品跨越了门店复制阶段，构建起以“轻资产、本土化、全链条”为支柱的治理逻辑。该机制通过轻资产模式加速全球渗透，并依托属地化治理与全链协同对冲管理复杂性，实现了规模扩张与经营效率的系统性平衡。</w:t>
      </w:r>
    </w:p>
    <w:p w14:paraId="5F273585">
      <w:pPr>
        <w:pStyle w:val="16"/>
        <w:bidi w:val="0"/>
        <w:rPr>
          <w:rFonts w:hint="eastAsia"/>
          <w:lang w:val="en-US" w:eastAsia="zh-CN"/>
        </w:rPr>
      </w:pPr>
      <w:bookmarkStart w:id="13" w:name="_Toc6154"/>
      <w:r>
        <w:rPr>
          <w:rFonts w:hint="eastAsia"/>
          <w:lang w:val="en-US" w:eastAsia="zh-CN"/>
        </w:rPr>
        <w:t>3.2.1轻资产扩张</w:t>
      </w:r>
      <w:r>
        <w:t>快速渗透全球市场</w:t>
      </w:r>
      <w:bookmarkEnd w:id="13"/>
    </w:p>
    <w:p w14:paraId="325AAEC0">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早期名创优品曾因坚持“全球一盘货”策略而面临挑战，将厚袜子发往热带的东南亚市场，或向习惯冷饮、对保温热水需求较低的欧美消费者推广保温杯，这种因忽视文化与气候差异导致的选品错位促使品牌开启了深刻的组织变革。名创优品吸取教训和经验后，根据地理与消费特征精细化调整为北美、拉美、东南亚、中东和欧洲五个大区，将海外商品团队独立出来，实行差异化的“五盘货”管理。当地子公司承担起“精准反馈本土需求”与“拓展本土供应链直采短保”双重职责。同时，名创优品在代理制市场通过设立“国家代表”来深度服务代理商，确保总部能听见一线的声音。名创优品采用“加盟为主、直营为辅”的轻资产模式，大幅降低全球化扩张的资金压力与管理成本。2023年，其全球超5000家门店中89%为轻资产加盟模式，通过输出标准化门店模块与品牌运营体系，让加盟商承担租金、人力等固定成本，自身聚焦核心环节管控。这种模式推动其扩张速度达到优衣库的10倍，平均每日新增3.2家门店，仅2021-2024年四年间，海外门店数量便从1810家增至2936家，累计增长62.2%，快速完成全球核心区域布局</w:t>
      </w:r>
      <w:r>
        <w:rPr>
          <w:rFonts w:hint="default" w:ascii="宋体" w:hAnsi="宋体" w:eastAsia="宋体" w:cs="宋体"/>
          <w:sz w:val="24"/>
          <w:szCs w:val="24"/>
          <w:vertAlign w:val="superscript"/>
          <w:lang w:val="en-US" w:eastAsia="zh-CN"/>
        </w:rPr>
        <w:fldChar w:fldCharType="begin"/>
      </w:r>
      <w:r>
        <w:rPr>
          <w:rFonts w:hint="default" w:ascii="宋体" w:hAnsi="宋体" w:eastAsia="宋体" w:cs="宋体"/>
          <w:sz w:val="24"/>
          <w:szCs w:val="24"/>
          <w:vertAlign w:val="superscript"/>
          <w:lang w:val="en-US" w:eastAsia="zh-CN"/>
        </w:rPr>
        <w:instrText xml:space="preserve"> REF _Ref24004 \r \h </w:instrText>
      </w:r>
      <w:r>
        <w:rPr>
          <w:rFonts w:hint="default" w:ascii="宋体" w:hAnsi="宋体" w:eastAsia="宋体" w:cs="宋体"/>
          <w:sz w:val="24"/>
          <w:szCs w:val="24"/>
          <w:vertAlign w:val="superscript"/>
          <w:lang w:val="en-US" w:eastAsia="zh-CN"/>
        </w:rPr>
        <w:fldChar w:fldCharType="separate"/>
      </w:r>
      <w:r>
        <w:rPr>
          <w:rFonts w:hint="default" w:ascii="宋体" w:hAnsi="宋体" w:eastAsia="宋体" w:cs="宋体"/>
          <w:sz w:val="24"/>
          <w:szCs w:val="24"/>
          <w:vertAlign w:val="superscript"/>
          <w:lang w:val="en-US" w:eastAsia="zh-CN"/>
        </w:rPr>
        <w:t>[4]</w:t>
      </w:r>
      <w:r>
        <w:rPr>
          <w:rFonts w:hint="default" w:ascii="宋体" w:hAnsi="宋体" w:eastAsia="宋体" w:cs="宋体"/>
          <w:sz w:val="24"/>
          <w:szCs w:val="24"/>
          <w:vertAlign w:val="superscript"/>
          <w:lang w:val="en-US" w:eastAsia="zh-CN"/>
        </w:rPr>
        <w:fldChar w:fldCharType="end"/>
      </w:r>
      <w:r>
        <w:rPr>
          <w:rFonts w:hint="default" w:ascii="宋体" w:hAnsi="宋体" w:eastAsia="宋体" w:cs="宋体"/>
          <w:sz w:val="24"/>
          <w:szCs w:val="24"/>
          <w:lang w:val="en-US" w:eastAsia="zh-CN"/>
        </w:rPr>
        <w:t>。</w:t>
      </w:r>
    </w:p>
    <w:p w14:paraId="7C17E84D">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440" w:lineRule="exact"/>
        <w:jc w:val="center"/>
        <w:textAlignment w:val="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 xml:space="preserve">表3 </w:t>
      </w:r>
      <w:r>
        <w:rPr>
          <w:rFonts w:hint="default" w:ascii="宋体" w:hAnsi="宋体" w:eastAsia="宋体" w:cs="宋体"/>
          <w:sz w:val="21"/>
          <w:szCs w:val="21"/>
          <w:lang w:val="en-US" w:eastAsia="zh-CN"/>
        </w:rPr>
        <w:t>2021-2024年名创优品海外门店规模及营收增长</w:t>
      </w:r>
    </w:p>
    <w:tbl>
      <w:tblPr>
        <w:tblStyle w:val="8"/>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978"/>
        <w:gridCol w:w="3278"/>
        <w:gridCol w:w="4263"/>
      </w:tblGrid>
      <w:tr w14:paraId="4E621D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0" w:hRule="atLeast"/>
        </w:trPr>
        <w:tc>
          <w:tcPr>
            <w:tcW w:w="574" w:type="pct"/>
            <w:tcBorders>
              <w:top w:val="single" w:color="000000" w:sz="12" w:space="0"/>
              <w:left w:val="nil"/>
              <w:bottom w:val="single" w:color="000000" w:sz="4" w:space="0"/>
              <w:right w:val="nil"/>
              <w:tl2br w:val="nil"/>
            </w:tcBorders>
            <w:shd w:val="clear" w:color="auto" w:fill="FFFFFF"/>
            <w:noWrap/>
            <w:vAlign w:val="center"/>
          </w:tcPr>
          <w:p w14:paraId="051D5F43">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年份</w:t>
            </w:r>
          </w:p>
        </w:tc>
        <w:tc>
          <w:tcPr>
            <w:tcW w:w="1923" w:type="pct"/>
            <w:tcBorders>
              <w:top w:val="single" w:color="000000" w:sz="12" w:space="0"/>
              <w:left w:val="nil"/>
              <w:bottom w:val="single" w:color="000000" w:sz="4" w:space="0"/>
              <w:right w:val="nil"/>
            </w:tcBorders>
            <w:shd w:val="clear" w:color="auto" w:fill="FFFFFF"/>
            <w:noWrap/>
            <w:vAlign w:val="center"/>
          </w:tcPr>
          <w:p w14:paraId="43CF8E45">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海外门店数量（家）</w:t>
            </w:r>
          </w:p>
        </w:tc>
        <w:tc>
          <w:tcPr>
            <w:tcW w:w="2501" w:type="pct"/>
            <w:tcBorders>
              <w:top w:val="single" w:color="000000" w:sz="12" w:space="0"/>
              <w:left w:val="nil"/>
              <w:bottom w:val="single" w:color="000000" w:sz="4" w:space="0"/>
              <w:right w:val="nil"/>
            </w:tcBorders>
            <w:shd w:val="clear" w:color="auto" w:fill="FFFFFF"/>
            <w:noWrap/>
            <w:vAlign w:val="center"/>
          </w:tcPr>
          <w:p w14:paraId="71D2001D">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海外销售收入（百万美元）</w:t>
            </w:r>
          </w:p>
        </w:tc>
      </w:tr>
      <w:tr w14:paraId="0BFBDB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574" w:type="pct"/>
            <w:tcBorders>
              <w:top w:val="single" w:color="000000" w:sz="4" w:space="0"/>
              <w:left w:val="nil"/>
              <w:bottom w:val="nil"/>
              <w:right w:val="nil"/>
            </w:tcBorders>
            <w:shd w:val="clear" w:color="auto" w:fill="FFFFFF"/>
            <w:noWrap/>
            <w:vAlign w:val="center"/>
          </w:tcPr>
          <w:p w14:paraId="14128910">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2021</w:t>
            </w:r>
          </w:p>
        </w:tc>
        <w:tc>
          <w:tcPr>
            <w:tcW w:w="1923" w:type="pct"/>
            <w:tcBorders>
              <w:top w:val="single" w:color="000000" w:sz="4" w:space="0"/>
              <w:left w:val="nil"/>
              <w:bottom w:val="nil"/>
              <w:right w:val="nil"/>
            </w:tcBorders>
            <w:shd w:val="clear" w:color="auto" w:fill="FFFFFF"/>
            <w:noWrap/>
            <w:vAlign w:val="center"/>
          </w:tcPr>
          <w:p w14:paraId="38F867F9">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1810</w:t>
            </w:r>
          </w:p>
        </w:tc>
        <w:tc>
          <w:tcPr>
            <w:tcW w:w="2501" w:type="pct"/>
            <w:tcBorders>
              <w:top w:val="single" w:color="000000" w:sz="4" w:space="0"/>
              <w:left w:val="nil"/>
              <w:bottom w:val="nil"/>
              <w:right w:val="nil"/>
            </w:tcBorders>
            <w:shd w:val="clear" w:color="auto" w:fill="FFFFFF"/>
            <w:noWrap/>
            <w:vAlign w:val="center"/>
          </w:tcPr>
          <w:p w14:paraId="746936C5">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275.8</w:t>
            </w:r>
          </w:p>
        </w:tc>
      </w:tr>
      <w:tr w14:paraId="59962D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74" w:type="pct"/>
            <w:tcBorders>
              <w:top w:val="nil"/>
              <w:left w:val="nil"/>
              <w:bottom w:val="nil"/>
              <w:right w:val="nil"/>
            </w:tcBorders>
            <w:shd w:val="clear" w:color="auto" w:fill="FFFFFF"/>
            <w:noWrap/>
            <w:vAlign w:val="center"/>
          </w:tcPr>
          <w:p w14:paraId="30EEB227">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2022</w:t>
            </w:r>
          </w:p>
        </w:tc>
        <w:tc>
          <w:tcPr>
            <w:tcW w:w="1923" w:type="pct"/>
            <w:tcBorders>
              <w:top w:val="nil"/>
              <w:left w:val="nil"/>
              <w:bottom w:val="nil"/>
              <w:right w:val="nil"/>
            </w:tcBorders>
            <w:shd w:val="clear" w:color="auto" w:fill="FFFFFF"/>
            <w:noWrap/>
            <w:vAlign w:val="center"/>
          </w:tcPr>
          <w:p w14:paraId="16F95C83">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1916</w:t>
            </w:r>
          </w:p>
        </w:tc>
        <w:tc>
          <w:tcPr>
            <w:tcW w:w="2501" w:type="pct"/>
            <w:tcBorders>
              <w:top w:val="nil"/>
              <w:left w:val="nil"/>
              <w:bottom w:val="nil"/>
              <w:right w:val="nil"/>
            </w:tcBorders>
            <w:shd w:val="clear" w:color="auto" w:fill="FFFFFF"/>
            <w:noWrap/>
            <w:vAlign w:val="center"/>
          </w:tcPr>
          <w:p w14:paraId="66C330D6">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394.7</w:t>
            </w:r>
          </w:p>
        </w:tc>
      </w:tr>
      <w:tr w14:paraId="0C469A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74" w:type="pct"/>
            <w:tcBorders>
              <w:top w:val="nil"/>
              <w:left w:val="nil"/>
              <w:bottom w:val="nil"/>
              <w:right w:val="nil"/>
            </w:tcBorders>
            <w:shd w:val="clear" w:color="auto" w:fill="FFFFFF"/>
            <w:noWrap/>
            <w:vAlign w:val="center"/>
          </w:tcPr>
          <w:p w14:paraId="6F06579E">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2023</w:t>
            </w:r>
          </w:p>
        </w:tc>
        <w:tc>
          <w:tcPr>
            <w:tcW w:w="1923" w:type="pct"/>
            <w:tcBorders>
              <w:top w:val="nil"/>
              <w:left w:val="nil"/>
              <w:bottom w:val="nil"/>
              <w:right w:val="nil"/>
            </w:tcBorders>
            <w:shd w:val="clear" w:color="auto" w:fill="FFFFFF"/>
            <w:noWrap/>
            <w:vAlign w:val="center"/>
          </w:tcPr>
          <w:p w14:paraId="75CDF266">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2313</w:t>
            </w:r>
          </w:p>
        </w:tc>
        <w:tc>
          <w:tcPr>
            <w:tcW w:w="2501" w:type="pct"/>
            <w:tcBorders>
              <w:top w:val="nil"/>
              <w:left w:val="nil"/>
              <w:bottom w:val="nil"/>
              <w:right w:val="nil"/>
            </w:tcBorders>
            <w:shd w:val="clear" w:color="auto" w:fill="FFFFFF"/>
            <w:noWrap/>
            <w:vAlign w:val="center"/>
          </w:tcPr>
          <w:p w14:paraId="39209B1A">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527.1</w:t>
            </w:r>
          </w:p>
        </w:tc>
      </w:tr>
      <w:tr w14:paraId="466620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74" w:type="pct"/>
            <w:tcBorders>
              <w:top w:val="nil"/>
              <w:left w:val="nil"/>
              <w:bottom w:val="single" w:color="000000" w:sz="12" w:space="0"/>
              <w:right w:val="nil"/>
            </w:tcBorders>
            <w:shd w:val="clear" w:color="auto" w:fill="FFFFFF"/>
            <w:noWrap/>
            <w:vAlign w:val="center"/>
          </w:tcPr>
          <w:p w14:paraId="3F35A05F">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2024</w:t>
            </w:r>
          </w:p>
        </w:tc>
        <w:tc>
          <w:tcPr>
            <w:tcW w:w="1923" w:type="pct"/>
            <w:tcBorders>
              <w:top w:val="nil"/>
              <w:left w:val="nil"/>
              <w:bottom w:val="single" w:color="000000" w:sz="12" w:space="0"/>
              <w:right w:val="nil"/>
            </w:tcBorders>
            <w:shd w:val="clear" w:color="auto" w:fill="FFFFFF"/>
            <w:noWrap/>
            <w:vAlign w:val="center"/>
          </w:tcPr>
          <w:p w14:paraId="0AF52F3A">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2936</w:t>
            </w:r>
          </w:p>
        </w:tc>
        <w:tc>
          <w:tcPr>
            <w:tcW w:w="2501" w:type="pct"/>
            <w:tcBorders>
              <w:top w:val="nil"/>
              <w:left w:val="nil"/>
              <w:bottom w:val="single" w:color="000000" w:sz="12" w:space="0"/>
              <w:right w:val="nil"/>
            </w:tcBorders>
            <w:shd w:val="clear" w:color="auto" w:fill="FFFFFF"/>
            <w:noWrap/>
            <w:vAlign w:val="center"/>
          </w:tcPr>
          <w:p w14:paraId="10CAB844">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647.4</w:t>
            </w:r>
          </w:p>
        </w:tc>
      </w:tr>
    </w:tbl>
    <w:p w14:paraId="2173110C">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数据来源：名创优品官网</w:t>
      </w:r>
    </w:p>
    <w:p w14:paraId="2F87FDCE">
      <w:pPr>
        <w:pStyle w:val="16"/>
        <w:bidi w:val="0"/>
        <w:rPr>
          <w:rFonts w:hint="default"/>
          <w:lang w:val="en-US" w:eastAsia="zh-CN"/>
        </w:rPr>
      </w:pPr>
      <w:bookmarkStart w:id="14" w:name="_Toc2806"/>
      <w:r>
        <w:rPr>
          <w:rFonts w:hint="default"/>
          <w:lang w:val="en-US" w:eastAsia="zh-CN"/>
        </w:rPr>
        <w:t>3.</w:t>
      </w:r>
      <w:r>
        <w:rPr>
          <w:rFonts w:hint="eastAsia"/>
          <w:lang w:val="en-US" w:eastAsia="zh-CN"/>
        </w:rPr>
        <w:t>2</w:t>
      </w:r>
      <w:r>
        <w:rPr>
          <w:rFonts w:hint="default"/>
          <w:lang w:val="en-US" w:eastAsia="zh-CN"/>
        </w:rPr>
        <w:t>.2</w:t>
      </w:r>
      <w:r>
        <w:rPr>
          <w:rFonts w:hint="eastAsia"/>
          <w:lang w:val="en-US" w:eastAsia="zh-CN"/>
        </w:rPr>
        <w:t>本土化适配</w:t>
      </w:r>
      <w:r>
        <w:t>破解文化差异</w:t>
      </w:r>
      <w:bookmarkEnd w:id="14"/>
    </w:p>
    <w:p w14:paraId="56651834">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根据表3数据显示，名创优品海外经营采取差异化本土化策略而非统一模式。北美及欧洲市场定价较高，反映成熟市场对品牌设计价值的认可；拉美与亚洲市场定价相对温和，更注重产品可负担性以适应本地消费特征。产品结构方面，欧美市场侧重玩具、盲盒等情绪价值导向品类，拉美与亚洲市场则以生活百货、美妆香水等高频消费品为主。IP产品布局呈现区域差异，北美市场渗透率最高，欧洲与拉美次之，亚洲市场相对保守，体现品牌对不同地区IP文化接受度的针对性判断。</w:t>
      </w:r>
    </w:p>
    <w:p w14:paraId="24979B1A">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440" w:lineRule="exact"/>
        <w:jc w:val="center"/>
        <w:textAlignment w:val="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表4 名创优品在海外各主要市场的经营特色和优势</w:t>
      </w:r>
    </w:p>
    <w:tbl>
      <w:tblPr>
        <w:tblStyle w:val="8"/>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697"/>
        <w:gridCol w:w="1551"/>
        <w:gridCol w:w="1639"/>
        <w:gridCol w:w="1941"/>
        <w:gridCol w:w="1694"/>
      </w:tblGrid>
      <w:tr w14:paraId="6C4C10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995" w:type="pct"/>
            <w:tcBorders>
              <w:top w:val="single" w:color="000000" w:sz="12" w:space="0"/>
              <w:left w:val="nil"/>
              <w:bottom w:val="single" w:color="000000" w:sz="4" w:space="0"/>
              <w:right w:val="nil"/>
              <w:tl2br w:val="nil"/>
            </w:tcBorders>
            <w:shd w:val="clear" w:color="auto" w:fill="FFFFFF"/>
            <w:noWrap/>
            <w:vAlign w:val="center"/>
          </w:tcPr>
          <w:p w14:paraId="12E70E95">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指标</w:t>
            </w:r>
          </w:p>
        </w:tc>
        <w:tc>
          <w:tcPr>
            <w:tcW w:w="909" w:type="pct"/>
            <w:tcBorders>
              <w:top w:val="single" w:color="000000" w:sz="12" w:space="0"/>
              <w:left w:val="nil"/>
              <w:bottom w:val="single" w:color="000000" w:sz="4" w:space="0"/>
              <w:right w:val="nil"/>
            </w:tcBorders>
            <w:shd w:val="clear" w:color="auto" w:fill="FFFFFF"/>
            <w:noWrap/>
            <w:vAlign w:val="center"/>
          </w:tcPr>
          <w:p w14:paraId="61C9810D">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北美</w:t>
            </w:r>
          </w:p>
        </w:tc>
        <w:tc>
          <w:tcPr>
            <w:tcW w:w="961" w:type="pct"/>
            <w:tcBorders>
              <w:top w:val="single" w:color="000000" w:sz="12" w:space="0"/>
              <w:left w:val="nil"/>
              <w:bottom w:val="single" w:color="000000" w:sz="4" w:space="0"/>
              <w:right w:val="nil"/>
            </w:tcBorders>
            <w:shd w:val="clear" w:color="auto" w:fill="FFFFFF"/>
            <w:noWrap/>
            <w:vAlign w:val="center"/>
          </w:tcPr>
          <w:p w14:paraId="2AE2D5E3">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欧洲</w:t>
            </w:r>
          </w:p>
        </w:tc>
        <w:tc>
          <w:tcPr>
            <w:tcW w:w="1138" w:type="pct"/>
            <w:tcBorders>
              <w:top w:val="single" w:color="000000" w:sz="12" w:space="0"/>
              <w:left w:val="nil"/>
              <w:bottom w:val="single" w:color="000000" w:sz="4" w:space="0"/>
              <w:right w:val="nil"/>
            </w:tcBorders>
            <w:shd w:val="clear" w:color="auto" w:fill="FFFFFF"/>
            <w:noWrap/>
            <w:vAlign w:val="center"/>
          </w:tcPr>
          <w:p w14:paraId="1C1A2E2E">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拉美</w:t>
            </w:r>
          </w:p>
        </w:tc>
        <w:tc>
          <w:tcPr>
            <w:tcW w:w="993" w:type="pct"/>
            <w:tcBorders>
              <w:top w:val="single" w:color="000000" w:sz="12" w:space="0"/>
              <w:left w:val="nil"/>
              <w:bottom w:val="single" w:color="000000" w:sz="4" w:space="0"/>
              <w:right w:val="nil"/>
            </w:tcBorders>
            <w:shd w:val="clear" w:color="auto" w:fill="FFFFFF"/>
            <w:noWrap/>
            <w:vAlign w:val="center"/>
          </w:tcPr>
          <w:p w14:paraId="716B5084">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亚洲（除中国）</w:t>
            </w:r>
          </w:p>
        </w:tc>
      </w:tr>
      <w:tr w14:paraId="754771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995" w:type="pct"/>
            <w:tcBorders>
              <w:top w:val="single" w:color="000000" w:sz="4" w:space="0"/>
              <w:left w:val="nil"/>
              <w:bottom w:val="nil"/>
              <w:right w:val="nil"/>
            </w:tcBorders>
            <w:shd w:val="clear" w:color="auto" w:fill="FFFFFF"/>
            <w:noWrap/>
            <w:vAlign w:val="center"/>
          </w:tcPr>
          <w:p w14:paraId="14CEC0BE">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产品定价（相比国内零售）</w:t>
            </w:r>
          </w:p>
        </w:tc>
        <w:tc>
          <w:tcPr>
            <w:tcW w:w="909" w:type="pct"/>
            <w:tcBorders>
              <w:top w:val="single" w:color="000000" w:sz="4" w:space="0"/>
              <w:left w:val="nil"/>
              <w:bottom w:val="nil"/>
              <w:right w:val="nil"/>
            </w:tcBorders>
            <w:shd w:val="clear" w:color="auto" w:fill="FFFFFF"/>
            <w:noWrap/>
            <w:vAlign w:val="center"/>
          </w:tcPr>
          <w:p w14:paraId="6730F7AE">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3倍</w:t>
            </w:r>
          </w:p>
        </w:tc>
        <w:tc>
          <w:tcPr>
            <w:tcW w:w="961" w:type="pct"/>
            <w:tcBorders>
              <w:top w:val="single" w:color="000000" w:sz="4" w:space="0"/>
              <w:left w:val="nil"/>
              <w:bottom w:val="nil"/>
              <w:right w:val="nil"/>
            </w:tcBorders>
            <w:shd w:val="clear" w:color="auto" w:fill="FFFFFF"/>
            <w:noWrap/>
            <w:vAlign w:val="center"/>
          </w:tcPr>
          <w:p w14:paraId="00380632">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2-2.3倍，英国等国家可达2.5-3.5倍</w:t>
            </w:r>
          </w:p>
        </w:tc>
        <w:tc>
          <w:tcPr>
            <w:tcW w:w="1138" w:type="pct"/>
            <w:tcBorders>
              <w:top w:val="single" w:color="000000" w:sz="4" w:space="0"/>
              <w:left w:val="nil"/>
              <w:bottom w:val="nil"/>
              <w:right w:val="nil"/>
            </w:tcBorders>
            <w:shd w:val="clear" w:color="auto" w:fill="FFFFFF"/>
            <w:noWrap/>
            <w:vAlign w:val="center"/>
          </w:tcPr>
          <w:p w14:paraId="36D57063">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2.3-2.5倍</w:t>
            </w:r>
          </w:p>
        </w:tc>
        <w:tc>
          <w:tcPr>
            <w:tcW w:w="993" w:type="pct"/>
            <w:tcBorders>
              <w:top w:val="single" w:color="000000" w:sz="4" w:space="0"/>
              <w:left w:val="nil"/>
              <w:bottom w:val="nil"/>
              <w:right w:val="nil"/>
            </w:tcBorders>
            <w:shd w:val="clear" w:color="auto" w:fill="FFFFFF"/>
            <w:noWrap/>
            <w:vAlign w:val="center"/>
          </w:tcPr>
          <w:p w14:paraId="6C3D2B67">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1.5-1.8倍</w:t>
            </w:r>
          </w:p>
        </w:tc>
      </w:tr>
      <w:tr w14:paraId="62EED9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995" w:type="pct"/>
            <w:tcBorders>
              <w:top w:val="nil"/>
              <w:left w:val="nil"/>
              <w:bottom w:val="nil"/>
              <w:right w:val="nil"/>
            </w:tcBorders>
            <w:shd w:val="clear" w:color="auto" w:fill="FFFFFF"/>
            <w:noWrap/>
            <w:vAlign w:val="center"/>
          </w:tcPr>
          <w:p w14:paraId="5B550FC2">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定价水平</w:t>
            </w:r>
          </w:p>
        </w:tc>
        <w:tc>
          <w:tcPr>
            <w:tcW w:w="909" w:type="pct"/>
            <w:tcBorders>
              <w:top w:val="nil"/>
              <w:left w:val="nil"/>
              <w:bottom w:val="nil"/>
              <w:right w:val="nil"/>
            </w:tcBorders>
            <w:shd w:val="clear" w:color="auto" w:fill="FFFFFF"/>
            <w:noWrap/>
            <w:vAlign w:val="center"/>
          </w:tcPr>
          <w:p w14:paraId="0909D173">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当地中等水平</w:t>
            </w:r>
          </w:p>
        </w:tc>
        <w:tc>
          <w:tcPr>
            <w:tcW w:w="961" w:type="pct"/>
            <w:tcBorders>
              <w:top w:val="nil"/>
              <w:left w:val="nil"/>
              <w:bottom w:val="nil"/>
              <w:right w:val="nil"/>
            </w:tcBorders>
            <w:shd w:val="clear" w:color="auto" w:fill="FFFFFF"/>
            <w:noWrap/>
            <w:vAlign w:val="center"/>
          </w:tcPr>
          <w:p w14:paraId="0B569E1D">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当地中等水平</w:t>
            </w:r>
          </w:p>
        </w:tc>
        <w:tc>
          <w:tcPr>
            <w:tcW w:w="1138" w:type="pct"/>
            <w:tcBorders>
              <w:top w:val="nil"/>
              <w:left w:val="nil"/>
              <w:bottom w:val="nil"/>
              <w:right w:val="nil"/>
            </w:tcBorders>
            <w:shd w:val="clear" w:color="auto" w:fill="FFFFFF"/>
            <w:noWrap/>
            <w:vAlign w:val="center"/>
          </w:tcPr>
          <w:p w14:paraId="43DB3E15">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当地中等偏上</w:t>
            </w:r>
          </w:p>
        </w:tc>
        <w:tc>
          <w:tcPr>
            <w:tcW w:w="993" w:type="pct"/>
            <w:tcBorders>
              <w:top w:val="nil"/>
              <w:left w:val="nil"/>
              <w:bottom w:val="nil"/>
              <w:right w:val="nil"/>
            </w:tcBorders>
            <w:shd w:val="clear" w:color="auto" w:fill="FFFFFF"/>
            <w:noWrap/>
            <w:vAlign w:val="center"/>
          </w:tcPr>
          <w:p w14:paraId="6D286C38">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当地中等偏下</w:t>
            </w:r>
          </w:p>
        </w:tc>
      </w:tr>
      <w:tr w14:paraId="06EAE9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995" w:type="pct"/>
            <w:tcBorders>
              <w:top w:val="nil"/>
              <w:left w:val="nil"/>
              <w:bottom w:val="nil"/>
              <w:right w:val="nil"/>
            </w:tcBorders>
            <w:shd w:val="clear" w:color="auto" w:fill="FFFFFF"/>
            <w:noWrap/>
            <w:vAlign w:val="center"/>
          </w:tcPr>
          <w:p w14:paraId="14FDC724">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主力产品品类</w:t>
            </w:r>
          </w:p>
        </w:tc>
        <w:tc>
          <w:tcPr>
            <w:tcW w:w="909" w:type="pct"/>
            <w:tcBorders>
              <w:top w:val="nil"/>
              <w:left w:val="nil"/>
              <w:bottom w:val="nil"/>
              <w:right w:val="nil"/>
            </w:tcBorders>
            <w:shd w:val="clear" w:color="auto" w:fill="FFFFFF"/>
            <w:noWrap/>
            <w:vAlign w:val="center"/>
          </w:tcPr>
          <w:p w14:paraId="4B23F2C0">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玩具品类、生活家居</w:t>
            </w:r>
          </w:p>
        </w:tc>
        <w:tc>
          <w:tcPr>
            <w:tcW w:w="961" w:type="pct"/>
            <w:tcBorders>
              <w:top w:val="nil"/>
              <w:left w:val="nil"/>
              <w:bottom w:val="nil"/>
              <w:right w:val="nil"/>
            </w:tcBorders>
            <w:shd w:val="clear" w:color="auto" w:fill="FFFFFF"/>
            <w:noWrap/>
            <w:vAlign w:val="center"/>
          </w:tcPr>
          <w:p w14:paraId="7CB38802">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盲盒公仔、生活家居</w:t>
            </w:r>
          </w:p>
        </w:tc>
        <w:tc>
          <w:tcPr>
            <w:tcW w:w="1138" w:type="pct"/>
            <w:tcBorders>
              <w:top w:val="nil"/>
              <w:left w:val="nil"/>
              <w:bottom w:val="nil"/>
              <w:right w:val="nil"/>
            </w:tcBorders>
            <w:shd w:val="clear" w:color="auto" w:fill="FFFFFF"/>
            <w:noWrap/>
            <w:vAlign w:val="center"/>
          </w:tcPr>
          <w:p w14:paraId="1A26CAF4">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生活百货、健康美容、包装配饰</w:t>
            </w:r>
          </w:p>
        </w:tc>
        <w:tc>
          <w:tcPr>
            <w:tcW w:w="993" w:type="pct"/>
            <w:tcBorders>
              <w:top w:val="nil"/>
              <w:left w:val="nil"/>
              <w:bottom w:val="nil"/>
              <w:right w:val="nil"/>
            </w:tcBorders>
            <w:shd w:val="clear" w:color="auto" w:fill="FFFFFF"/>
            <w:noWrap/>
            <w:vAlign w:val="center"/>
          </w:tcPr>
          <w:p w14:paraId="36D922C1">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美妆香水、生活百货</w:t>
            </w:r>
          </w:p>
        </w:tc>
      </w:tr>
      <w:tr w14:paraId="31E791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995" w:type="pct"/>
            <w:tcBorders>
              <w:top w:val="nil"/>
              <w:left w:val="nil"/>
              <w:bottom w:val="nil"/>
              <w:right w:val="nil"/>
            </w:tcBorders>
            <w:shd w:val="clear" w:color="auto" w:fill="FFFFFF"/>
            <w:noWrap/>
            <w:vAlign w:val="center"/>
          </w:tcPr>
          <w:p w14:paraId="188CDA77">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IP 产品占比</w:t>
            </w:r>
          </w:p>
        </w:tc>
        <w:tc>
          <w:tcPr>
            <w:tcW w:w="909" w:type="pct"/>
            <w:tcBorders>
              <w:top w:val="nil"/>
              <w:left w:val="nil"/>
              <w:bottom w:val="nil"/>
              <w:right w:val="nil"/>
            </w:tcBorders>
            <w:shd w:val="clear" w:color="auto" w:fill="FFFFFF"/>
            <w:noWrap/>
            <w:vAlign w:val="center"/>
          </w:tcPr>
          <w:p w14:paraId="0EFE1DF1">
            <w:pPr>
              <w:keepNext w:val="0"/>
              <w:keepLines w:val="0"/>
              <w:widowControl/>
              <w:suppressLineNumbers w:val="0"/>
              <w:jc w:val="center"/>
              <w:textAlignment w:val="center"/>
              <w:rPr>
                <w:rFonts w:hint="eastAsia" w:ascii="宋体" w:hAnsi="宋体" w:eastAsia="宋体" w:cs="宋体"/>
                <w:b w:val="0"/>
                <w:i w:val="0"/>
                <w:iCs w:val="0"/>
                <w:color w:val="000000"/>
                <w:kern w:val="0"/>
                <w:sz w:val="21"/>
                <w:szCs w:val="21"/>
                <w:u w:val="none"/>
                <w:lang w:val="en-US" w:eastAsia="zh-CN" w:bidi="ar"/>
              </w:rPr>
            </w:pPr>
            <w:r>
              <w:rPr>
                <w:rFonts w:hint="eastAsia" w:ascii="宋体" w:hAnsi="宋体" w:eastAsia="宋体" w:cs="宋体"/>
                <w:b w:val="0"/>
                <w:i w:val="0"/>
                <w:iCs w:val="0"/>
                <w:color w:val="000000"/>
                <w:kern w:val="0"/>
                <w:sz w:val="21"/>
                <w:szCs w:val="21"/>
                <w:u w:val="none"/>
                <w:lang w:val="en-US" w:eastAsia="zh-CN" w:bidi="ar"/>
              </w:rPr>
              <w:t>美国：70%+</w:t>
            </w:r>
          </w:p>
          <w:p w14:paraId="44D960CB">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加拿大：60%+</w:t>
            </w:r>
          </w:p>
        </w:tc>
        <w:tc>
          <w:tcPr>
            <w:tcW w:w="961" w:type="pct"/>
            <w:tcBorders>
              <w:top w:val="nil"/>
              <w:left w:val="nil"/>
              <w:bottom w:val="nil"/>
              <w:right w:val="nil"/>
            </w:tcBorders>
            <w:shd w:val="clear" w:color="auto" w:fill="FFFFFF"/>
            <w:noWrap/>
            <w:vAlign w:val="center"/>
          </w:tcPr>
          <w:p w14:paraId="7E3DAB85">
            <w:pPr>
              <w:jc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20%+</w:t>
            </w:r>
          </w:p>
        </w:tc>
        <w:tc>
          <w:tcPr>
            <w:tcW w:w="1138" w:type="pct"/>
            <w:tcBorders>
              <w:top w:val="nil"/>
              <w:left w:val="nil"/>
              <w:bottom w:val="nil"/>
              <w:right w:val="nil"/>
            </w:tcBorders>
            <w:shd w:val="clear" w:color="auto" w:fill="FFFFFF"/>
            <w:noWrap/>
            <w:vAlign w:val="center"/>
          </w:tcPr>
          <w:p w14:paraId="6573A31C">
            <w:pPr>
              <w:jc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约25%</w:t>
            </w:r>
          </w:p>
        </w:tc>
        <w:tc>
          <w:tcPr>
            <w:tcW w:w="993" w:type="pct"/>
            <w:tcBorders>
              <w:top w:val="nil"/>
              <w:left w:val="nil"/>
              <w:bottom w:val="nil"/>
              <w:right w:val="nil"/>
            </w:tcBorders>
            <w:shd w:val="clear" w:color="auto" w:fill="FFFFFF"/>
            <w:noWrap/>
            <w:vAlign w:val="center"/>
          </w:tcPr>
          <w:p w14:paraId="1B405BB0">
            <w:pPr>
              <w:jc w:val="center"/>
              <w:rPr>
                <w:rFonts w:hint="default" w:ascii="宋体" w:hAnsi="宋体" w:eastAsia="宋体" w:cs="宋体"/>
                <w:b w:val="0"/>
                <w:i w:val="0"/>
                <w:iCs w:val="0"/>
                <w:color w:val="000000"/>
                <w:sz w:val="21"/>
                <w:szCs w:val="21"/>
                <w:u w:val="none"/>
                <w:lang w:val="en-US" w:eastAsia="zh-CN"/>
              </w:rPr>
            </w:pPr>
          </w:p>
        </w:tc>
      </w:tr>
      <w:tr w14:paraId="43E137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995" w:type="pct"/>
            <w:tcBorders>
              <w:top w:val="nil"/>
              <w:left w:val="nil"/>
              <w:bottom w:val="nil"/>
              <w:right w:val="nil"/>
            </w:tcBorders>
            <w:shd w:val="clear" w:color="auto" w:fill="FFFFFF"/>
            <w:noWrap/>
            <w:vAlign w:val="center"/>
          </w:tcPr>
          <w:p w14:paraId="2EFEB8B1">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产品策略重点</w:t>
            </w:r>
          </w:p>
        </w:tc>
        <w:tc>
          <w:tcPr>
            <w:tcW w:w="909" w:type="pct"/>
            <w:tcBorders>
              <w:top w:val="nil"/>
              <w:left w:val="nil"/>
              <w:bottom w:val="nil"/>
              <w:right w:val="nil"/>
            </w:tcBorders>
            <w:shd w:val="clear" w:color="auto" w:fill="FFFFFF"/>
            <w:noWrap/>
            <w:vAlign w:val="center"/>
          </w:tcPr>
          <w:p w14:paraId="2AB69807">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继续提升产品价格</w:t>
            </w:r>
          </w:p>
        </w:tc>
        <w:tc>
          <w:tcPr>
            <w:tcW w:w="961" w:type="pct"/>
            <w:tcBorders>
              <w:top w:val="nil"/>
              <w:left w:val="nil"/>
              <w:bottom w:val="nil"/>
              <w:right w:val="nil"/>
            </w:tcBorders>
            <w:shd w:val="clear" w:color="auto" w:fill="FFFFFF"/>
            <w:noWrap/>
            <w:vAlign w:val="center"/>
          </w:tcPr>
          <w:p w14:paraId="49DBD78C">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推动彩妆、香水类进入市场</w:t>
            </w:r>
          </w:p>
        </w:tc>
        <w:tc>
          <w:tcPr>
            <w:tcW w:w="1138" w:type="pct"/>
            <w:tcBorders>
              <w:top w:val="nil"/>
              <w:left w:val="nil"/>
              <w:bottom w:val="nil"/>
              <w:right w:val="nil"/>
            </w:tcBorders>
            <w:shd w:val="clear" w:color="auto" w:fill="FFFFFF"/>
            <w:noWrap/>
            <w:vAlign w:val="center"/>
          </w:tcPr>
          <w:p w14:paraId="7FB58313">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加大IP产品开发力度</w:t>
            </w:r>
          </w:p>
        </w:tc>
        <w:tc>
          <w:tcPr>
            <w:tcW w:w="993" w:type="pct"/>
            <w:tcBorders>
              <w:top w:val="nil"/>
              <w:left w:val="nil"/>
              <w:bottom w:val="nil"/>
              <w:right w:val="nil"/>
            </w:tcBorders>
            <w:shd w:val="clear" w:color="auto" w:fill="FFFFFF"/>
            <w:noWrap/>
            <w:vAlign w:val="center"/>
          </w:tcPr>
          <w:p w14:paraId="1B47C1F5">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稳固表现突出的品类的地位，如香水香薰类</w:t>
            </w:r>
          </w:p>
        </w:tc>
      </w:tr>
    </w:tbl>
    <w:p w14:paraId="0D63896E">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数据来源：名创优品财报</w:t>
      </w:r>
    </w:p>
    <w:p w14:paraId="012F20E1">
      <w:pPr>
        <w:pStyle w:val="16"/>
        <w:bidi w:val="0"/>
        <w:rPr>
          <w:rFonts w:hint="eastAsia"/>
          <w:lang w:val="en-US" w:eastAsia="zh-CN"/>
        </w:rPr>
      </w:pPr>
      <w:bookmarkStart w:id="15" w:name="_Toc24972"/>
      <w:r>
        <w:rPr>
          <w:rFonts w:hint="eastAsia"/>
          <w:lang w:val="en-US" w:eastAsia="zh-CN"/>
        </w:rPr>
        <w:t>3.2.3全链条协同保障供应链效率</w:t>
      </w:r>
      <w:bookmarkEnd w:id="15"/>
    </w:p>
    <w:p w14:paraId="2D94EE0E">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名创优品竞争力的核心在于其精益的柔性供应链体系。据名创优品2023财报，其各渠道平均每月推出约930个SKU，为消费者提供约9500个核心SKU。要保持如此常看常新的消费体验，供应链优势是关键。在各类产品中，名创优品都选择头部供应商合作</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为保障全球品质一致性，名创优品引入SGS第三方检测及供应商动态淘汰机制。同时，针对地缘政策风险，公司在海外核心市场引入本地供应链作为战略补充。辅以2025年推行的“反形式主义”管理改革，企业大幅精简了决策链路，确保组织反应速度足以支撑其全球扩张势能。</w:t>
      </w:r>
    </w:p>
    <w:p w14:paraId="2FDBD221">
      <w:pPr>
        <w:pStyle w:val="15"/>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lang w:val="en-US" w:eastAsia="zh-CN"/>
        </w:rPr>
      </w:pPr>
      <w:bookmarkStart w:id="16" w:name="_Toc18282"/>
      <w:r>
        <w:rPr>
          <w:rFonts w:hint="default"/>
          <w:lang w:val="en-US" w:eastAsia="zh-CN"/>
        </w:rPr>
        <w:t>3.</w:t>
      </w:r>
      <w:r>
        <w:rPr>
          <w:rFonts w:hint="eastAsia"/>
          <w:lang w:val="en-US" w:eastAsia="zh-CN"/>
        </w:rPr>
        <w:t xml:space="preserve">3 </w:t>
      </w:r>
      <w:r>
        <w:rPr>
          <w:rFonts w:hint="default"/>
          <w:lang w:val="en-US" w:eastAsia="zh-CN"/>
        </w:rPr>
        <w:t>IP战略</w:t>
      </w:r>
      <w:bookmarkEnd w:id="16"/>
    </w:p>
    <w:p w14:paraId="0C90B416">
      <w:pPr>
        <w:pStyle w:val="16"/>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lang w:val="en-US" w:eastAsia="zh-CN"/>
        </w:rPr>
      </w:pPr>
      <w:bookmarkStart w:id="17" w:name="_Toc12765"/>
      <w:r>
        <w:rPr>
          <w:rFonts w:hint="default"/>
          <w:lang w:val="en-US" w:eastAsia="zh-CN"/>
        </w:rPr>
        <w:t>3.</w:t>
      </w:r>
      <w:r>
        <w:rPr>
          <w:rFonts w:hint="eastAsia"/>
          <w:lang w:val="en-US" w:eastAsia="zh-CN"/>
        </w:rPr>
        <w:t>3</w:t>
      </w:r>
      <w:r>
        <w:rPr>
          <w:rFonts w:hint="default"/>
          <w:lang w:val="en-US" w:eastAsia="zh-CN"/>
        </w:rPr>
        <w:t>.1</w:t>
      </w:r>
      <w:r>
        <w:rPr>
          <w:rFonts w:hint="eastAsia"/>
          <w:lang w:val="en-US" w:eastAsia="zh-CN"/>
        </w:rPr>
        <w:t>知名</w:t>
      </w:r>
      <w:r>
        <w:t>IP</w:t>
      </w:r>
      <w:r>
        <w:rPr>
          <w:rFonts w:hint="eastAsia"/>
          <w:lang w:val="en-US" w:eastAsia="zh-CN"/>
        </w:rPr>
        <w:t>推广</w:t>
      </w:r>
      <w:bookmarkEnd w:id="17"/>
    </w:p>
    <w:p w14:paraId="0904F78C">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打造 IP标签也是名创优品品牌竞争力的一个重要体现。名创优品与漫威、粉红豹、HelloKitty等30多个IP等达成了合作协议，共同推出了一系列优</w:t>
      </w:r>
    </w:p>
    <w:p w14:paraId="5367E8AB">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lang w:val="en-US" w:eastAsia="zh-CN"/>
        </w:rPr>
      </w:pPr>
      <w:r>
        <w:rPr>
          <w:rFonts w:hint="default" w:ascii="宋体" w:hAnsi="宋体" w:eastAsia="宋体" w:cs="宋体"/>
          <w:sz w:val="24"/>
          <w:szCs w:val="24"/>
          <w:lang w:val="en-US" w:eastAsia="zh-CN"/>
        </w:rPr>
        <w:t>质低价的“联名产品”(品牌间的跨界合作)，打破了之前IP产品价格高昂的困境，让普通消费者毫无压力地购买自己所喜爱的周边产品。名创优品通过</w:t>
      </w:r>
      <w:r>
        <w:rPr>
          <w:rFonts w:hint="eastAsia" w:ascii="宋体" w:hAnsi="宋体" w:eastAsia="宋体" w:cs="宋体"/>
          <w:sz w:val="24"/>
          <w:szCs w:val="24"/>
          <w:lang w:val="en-US" w:eastAsia="zh-CN"/>
        </w:rPr>
        <w:t>强化</w:t>
      </w:r>
      <w:r>
        <w:rPr>
          <w:rFonts w:hint="default" w:ascii="宋体" w:hAnsi="宋体" w:eastAsia="宋体" w:cs="宋体"/>
          <w:sz w:val="24"/>
          <w:szCs w:val="24"/>
          <w:lang w:val="en-US" w:eastAsia="zh-CN"/>
        </w:rPr>
        <w:t>IP战略，实现了从“渠道驱动”向“品牌溢价”的转型。名创优品致力于实现超级 IP 的全球普惠，让消费者以极具性价比的价格获得爆款 IP 的联名产品</w:t>
      </w:r>
      <w:r>
        <w:rPr>
          <w:rFonts w:hint="eastAsia" w:ascii="宋体" w:hAnsi="宋体" w:eastAsia="宋体" w:cs="宋体"/>
          <w:sz w:val="24"/>
          <w:szCs w:val="24"/>
          <w:lang w:val="en-US" w:eastAsia="zh-CN"/>
        </w:rPr>
        <w:t>。</w:t>
      </w:r>
    </w:p>
    <w:p w14:paraId="583322A8">
      <w:pPr>
        <w:pStyle w:val="16"/>
        <w:bidi w:val="0"/>
        <w:rPr>
          <w:rFonts w:hint="default"/>
          <w:lang w:val="en-US" w:eastAsia="zh-CN"/>
        </w:rPr>
      </w:pPr>
      <w:bookmarkStart w:id="18" w:name="_Toc21394"/>
      <w:r>
        <w:rPr>
          <w:rFonts w:hint="default"/>
          <w:lang w:val="en-US" w:eastAsia="zh-CN"/>
        </w:rPr>
        <w:t>3.</w:t>
      </w:r>
      <w:r>
        <w:rPr>
          <w:rFonts w:hint="eastAsia"/>
          <w:lang w:val="en-US" w:eastAsia="zh-CN"/>
        </w:rPr>
        <w:t>3</w:t>
      </w:r>
      <w:r>
        <w:rPr>
          <w:rFonts w:hint="default"/>
          <w:lang w:val="en-US" w:eastAsia="zh-CN"/>
        </w:rPr>
        <w:t>.</w:t>
      </w:r>
      <w:r>
        <w:rPr>
          <w:rFonts w:hint="eastAsia"/>
          <w:lang w:val="en-US" w:eastAsia="zh-CN"/>
        </w:rPr>
        <w:t>2</w:t>
      </w:r>
      <w:r>
        <w:rPr>
          <w:rFonts w:hint="default"/>
          <w:lang w:val="en-US" w:eastAsia="zh-CN"/>
        </w:rPr>
        <w:t>原创IP孵化</w:t>
      </w:r>
      <w:bookmarkEnd w:id="18"/>
    </w:p>
    <w:p w14:paraId="235D1806">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仅仅依赖于联动外界IP不能使企业得到长远发展，还会弱化</w:t>
      </w:r>
      <w:r>
        <w:rPr>
          <w:rFonts w:hint="default" w:ascii="宋体" w:hAnsi="宋体" w:eastAsia="宋体" w:cs="宋体"/>
          <w:sz w:val="24"/>
          <w:szCs w:val="24"/>
          <w:lang w:val="en-US" w:eastAsia="zh-CN"/>
        </w:rPr>
        <w:t>品牌控制力</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名创优品在借力成熟授权IP的同时，同步发力“PENPEN”等原创IP孵化。通过社交媒体的内容运营与形象塑造，品牌在海外市场逐步沉淀自有粉丝群。</w:t>
      </w:r>
      <w:r>
        <w:rPr>
          <w:rFonts w:hint="eastAsia" w:ascii="宋体" w:hAnsi="宋体" w:eastAsia="宋体" w:cs="宋体"/>
          <w:sz w:val="24"/>
          <w:szCs w:val="24"/>
          <w:lang w:val="en-US" w:eastAsia="zh-CN"/>
        </w:rPr>
        <w:t>名创布局自主IP</w:t>
      </w:r>
      <w:r>
        <w:rPr>
          <w:rFonts w:hint="default" w:ascii="宋体" w:hAnsi="宋体" w:eastAsia="宋体" w:cs="宋体"/>
          <w:sz w:val="24"/>
          <w:szCs w:val="24"/>
          <w:lang w:val="en-US" w:eastAsia="zh-CN"/>
        </w:rPr>
        <w:t>有效缓解了对外部授权的依赖</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为企业构建了具备长期生命力的无形资产。</w:t>
      </w:r>
    </w:p>
    <w:p w14:paraId="7982BB16">
      <w:pPr>
        <w:pStyle w:val="16"/>
        <w:bidi w:val="0"/>
        <w:rPr>
          <w:rFonts w:hint="default"/>
          <w:lang w:val="en-US" w:eastAsia="zh-CN"/>
        </w:rPr>
      </w:pPr>
      <w:bookmarkStart w:id="19" w:name="_Toc27579"/>
      <w:r>
        <w:rPr>
          <w:rFonts w:hint="default"/>
          <w:lang w:val="en-US" w:eastAsia="zh-CN"/>
        </w:rPr>
        <w:t>3.</w:t>
      </w:r>
      <w:r>
        <w:rPr>
          <w:rFonts w:hint="eastAsia"/>
          <w:lang w:val="en-US" w:eastAsia="zh-CN"/>
        </w:rPr>
        <w:t>3</w:t>
      </w:r>
      <w:r>
        <w:rPr>
          <w:rFonts w:hint="default"/>
          <w:lang w:val="en-US" w:eastAsia="zh-CN"/>
        </w:rPr>
        <w:t>.3</w:t>
      </w:r>
      <w:r>
        <w:rPr>
          <w:rFonts w:hint="eastAsia"/>
          <w:lang w:val="en-US" w:eastAsia="zh-CN"/>
        </w:rPr>
        <w:t xml:space="preserve"> IP场景延伸</w:t>
      </w:r>
      <w:bookmarkEnd w:id="19"/>
    </w:p>
    <w:p w14:paraId="0274A4B8">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hint="default"/>
          <w:lang w:val="en-US" w:eastAsia="zh-CN"/>
        </w:rPr>
      </w:pPr>
      <w:r>
        <w:rPr>
          <w:rFonts w:hint="eastAsia" w:ascii="宋体" w:hAnsi="宋体" w:eastAsia="宋体" w:cs="宋体"/>
          <w:sz w:val="24"/>
          <w:szCs w:val="24"/>
          <w:lang w:val="en-US" w:eastAsia="zh-CN"/>
        </w:rPr>
        <w:t>名创优品还在场景构建付出了巨大努力。在IP策略探索中企业形成了</w:t>
      </w:r>
      <w:r>
        <w:rPr>
          <w:rFonts w:hint="default" w:ascii="宋体" w:hAnsi="宋体" w:eastAsia="宋体" w:cs="宋体"/>
          <w:sz w:val="24"/>
          <w:szCs w:val="24"/>
          <w:lang w:val="en-US" w:eastAsia="zh-CN"/>
        </w:rPr>
        <w:t>“旗舰店（MINISOLAND）</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主题店</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快闪店”的矩阵式店态</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将IP形象植入沉浸式消费场景</w:t>
      </w:r>
      <w:r>
        <w:rPr>
          <w:rFonts w:hint="eastAsia" w:ascii="宋体" w:hAnsi="宋体" w:eastAsia="宋体" w:cs="宋体"/>
          <w:sz w:val="24"/>
          <w:szCs w:val="24"/>
          <w:lang w:val="en-US" w:eastAsia="zh-CN"/>
        </w:rPr>
        <w:t>，使</w:t>
      </w:r>
      <w:r>
        <w:rPr>
          <w:rFonts w:hint="default" w:ascii="宋体" w:hAnsi="宋体" w:eastAsia="宋体" w:cs="宋体"/>
          <w:sz w:val="24"/>
          <w:szCs w:val="24"/>
          <w:lang w:val="en-US" w:eastAsia="zh-CN"/>
        </w:rPr>
        <w:t>消费者从单一的商品购买转向对“兴趣生活方式”的情感认同，</w:t>
      </w:r>
      <w:r>
        <w:rPr>
          <w:rFonts w:hint="eastAsia" w:ascii="宋体" w:hAnsi="宋体" w:eastAsia="宋体" w:cs="宋体"/>
          <w:sz w:val="24"/>
          <w:szCs w:val="24"/>
          <w:lang w:val="en-US" w:eastAsia="zh-CN"/>
        </w:rPr>
        <w:t>增加用户兴趣和粘性，</w:t>
      </w:r>
      <w:r>
        <w:rPr>
          <w:rFonts w:hint="default" w:ascii="宋体" w:hAnsi="宋体" w:eastAsia="宋体" w:cs="宋体"/>
          <w:sz w:val="24"/>
          <w:szCs w:val="24"/>
          <w:lang w:val="en-US" w:eastAsia="zh-CN"/>
        </w:rPr>
        <w:t>进一步巩固了</w:t>
      </w:r>
      <w:r>
        <w:rPr>
          <w:rFonts w:hint="eastAsia" w:ascii="宋体" w:hAnsi="宋体" w:eastAsia="宋体" w:cs="宋体"/>
          <w:sz w:val="24"/>
          <w:szCs w:val="24"/>
          <w:lang w:val="en-US" w:eastAsia="zh-CN"/>
        </w:rPr>
        <w:t>企业</w:t>
      </w:r>
      <w:r>
        <w:rPr>
          <w:rFonts w:hint="default" w:ascii="宋体" w:hAnsi="宋体" w:eastAsia="宋体" w:cs="宋体"/>
          <w:sz w:val="24"/>
          <w:szCs w:val="24"/>
          <w:lang w:val="en-US" w:eastAsia="zh-CN"/>
        </w:rPr>
        <w:t>在兴趣消费领域的竞争优势。</w:t>
      </w:r>
    </w:p>
    <w:p w14:paraId="772BF88A">
      <w:pPr>
        <w:bidi w:val="0"/>
        <w:jc w:val="center"/>
        <w:rPr>
          <w:rFonts w:hint="default"/>
          <w:lang w:val="en-US" w:eastAsia="zh-CN"/>
        </w:rPr>
      </w:pPr>
      <w:r>
        <w:rPr>
          <w:rFonts w:hint="default"/>
          <w:lang w:val="en-US" w:eastAsia="zh-CN"/>
        </w:rPr>
        <w:drawing>
          <wp:inline distT="0" distB="0" distL="114300" distR="114300">
            <wp:extent cx="5272405" cy="2963545"/>
            <wp:effectExtent l="0" t="0" r="635" b="8255"/>
            <wp:docPr id="1" name="图片 1" descr="184665470752840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84665470752840284"/>
                    <pic:cNvPicPr>
                      <a:picLocks noChangeAspect="1"/>
                    </pic:cNvPicPr>
                  </pic:nvPicPr>
                  <pic:blipFill>
                    <a:blip r:embed="rId11"/>
                    <a:stretch>
                      <a:fillRect/>
                    </a:stretch>
                  </pic:blipFill>
                  <pic:spPr>
                    <a:xfrm>
                      <a:off x="0" y="0"/>
                      <a:ext cx="5272405" cy="2963545"/>
                    </a:xfrm>
                    <a:prstGeom prst="rect">
                      <a:avLst/>
                    </a:prstGeom>
                  </pic:spPr>
                </pic:pic>
              </a:graphicData>
            </a:graphic>
          </wp:inline>
        </w:drawing>
      </w:r>
    </w:p>
    <w:p w14:paraId="64495B9F">
      <w:pPr>
        <w:bidi w:val="0"/>
        <w:jc w:val="center"/>
        <w:rPr>
          <w:rFonts w:hint="eastAsia" w:ascii="宋体" w:hAnsi="宋体" w:eastAsia="宋体" w:cs="宋体"/>
          <w:lang w:val="en-US" w:eastAsia="zh-CN"/>
        </w:rPr>
      </w:pPr>
      <w:r>
        <w:rPr>
          <w:rFonts w:hint="eastAsia" w:ascii="宋体" w:hAnsi="宋体" w:eastAsia="宋体" w:cs="宋体"/>
          <w:lang w:val="en-US" w:eastAsia="zh-CN"/>
        </w:rPr>
        <w:t>图1 名创优品创新生态矩阵</w:t>
      </w:r>
    </w:p>
    <w:p w14:paraId="508D1CDC">
      <w:pPr>
        <w:bidi w:val="0"/>
        <w:jc w:val="both"/>
        <w:rPr>
          <w:rFonts w:hint="eastAsia" w:ascii="宋体" w:hAnsi="宋体" w:eastAsia="宋体" w:cs="宋体"/>
          <w:lang w:val="en-US" w:eastAsia="zh-CN"/>
        </w:rPr>
      </w:pPr>
      <w:r>
        <w:rPr>
          <w:rFonts w:hint="eastAsia" w:ascii="宋体" w:hAnsi="宋体" w:eastAsia="宋体" w:cs="宋体"/>
          <w:lang w:val="en-US" w:eastAsia="zh-CN"/>
        </w:rPr>
        <w:t>数据来源：专家访谈</w:t>
      </w:r>
    </w:p>
    <w:p w14:paraId="3C0B6892">
      <w:pPr>
        <w:bidi w:val="0"/>
        <w:jc w:val="center"/>
        <w:rPr>
          <w:rFonts w:hint="default"/>
          <w:lang w:val="en-US" w:eastAsia="zh-CN"/>
        </w:rPr>
      </w:pPr>
    </w:p>
    <w:p w14:paraId="5B112E17">
      <w:pPr>
        <w:pStyle w:val="14"/>
        <w:bidi w:val="0"/>
        <w:rPr>
          <w:rFonts w:hint="default"/>
          <w:lang w:val="en-US" w:eastAsia="zh-CN"/>
        </w:rPr>
      </w:pPr>
      <w:bookmarkStart w:id="20" w:name="_Toc2584"/>
      <w:r>
        <w:rPr>
          <w:rFonts w:hint="default"/>
          <w:lang w:val="en-US" w:eastAsia="zh-CN"/>
        </w:rPr>
        <w:t>第四章</w:t>
      </w:r>
      <w:r>
        <w:rPr>
          <w:rFonts w:hint="eastAsia"/>
          <w:lang w:val="en-US" w:eastAsia="zh-CN"/>
        </w:rPr>
        <w:t xml:space="preserve"> </w:t>
      </w:r>
      <w:r>
        <w:rPr>
          <w:rFonts w:hint="default"/>
          <w:lang w:val="en-US" w:eastAsia="zh-CN"/>
        </w:rPr>
        <w:t>名创优品全球化经营的SWOT分析</w:t>
      </w:r>
      <w:bookmarkEnd w:id="20"/>
    </w:p>
    <w:p w14:paraId="10C6691E">
      <w:pPr>
        <w:pStyle w:val="15"/>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lang w:val="en-US" w:eastAsia="zh-CN"/>
        </w:rPr>
      </w:pPr>
      <w:bookmarkStart w:id="21" w:name="_Toc7784"/>
      <w:r>
        <w:rPr>
          <w:rFonts w:hint="default"/>
          <w:lang w:val="en-US" w:eastAsia="zh-CN"/>
        </w:rPr>
        <w:t>4.1</w:t>
      </w:r>
      <w:r>
        <w:rPr>
          <w:rFonts w:hint="eastAsia"/>
          <w:lang w:val="en-US" w:eastAsia="zh-CN"/>
        </w:rPr>
        <w:t>内部</w:t>
      </w:r>
      <w:r>
        <w:rPr>
          <w:rFonts w:hint="default"/>
          <w:lang w:val="en-US" w:eastAsia="zh-CN"/>
        </w:rPr>
        <w:t>优势</w:t>
      </w:r>
      <w:r>
        <w:rPr>
          <w:rFonts w:hint="eastAsia"/>
          <w:lang w:val="en-US" w:eastAsia="zh-CN"/>
        </w:rPr>
        <w:t>(S)</w:t>
      </w:r>
      <w:bookmarkEnd w:id="21"/>
    </w:p>
    <w:p w14:paraId="4FCC31F8">
      <w:pPr>
        <w:pStyle w:val="16"/>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lang w:val="en-US" w:eastAsia="zh-CN"/>
        </w:rPr>
      </w:pPr>
      <w:bookmarkStart w:id="22" w:name="_Toc26483"/>
      <w:r>
        <w:rPr>
          <w:rFonts w:hint="eastAsia"/>
          <w:lang w:val="en-US" w:eastAsia="zh-CN"/>
        </w:rPr>
        <w:t>4.1.1财务增长与规模效应</w:t>
      </w:r>
      <w:bookmarkEnd w:id="22"/>
    </w:p>
    <w:p w14:paraId="5DDFEB95">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名创优品在全球生活方式品牌零售领域</w:t>
      </w:r>
      <w:r>
        <w:rPr>
          <w:rFonts w:hint="eastAsia" w:ascii="宋体" w:hAnsi="宋体" w:eastAsia="宋体" w:cs="宋体"/>
          <w:sz w:val="24"/>
          <w:szCs w:val="24"/>
          <w:lang w:val="en-US" w:eastAsia="zh-CN"/>
        </w:rPr>
        <w:t>累积了大量财富，在全球内</w:t>
      </w:r>
      <w:r>
        <w:rPr>
          <w:rFonts w:hint="default" w:ascii="宋体" w:hAnsi="宋体" w:eastAsia="宋体" w:cs="宋体"/>
          <w:sz w:val="24"/>
          <w:szCs w:val="24"/>
          <w:lang w:val="en-US" w:eastAsia="zh-CN"/>
        </w:rPr>
        <w:t>已占据领先地位。财务数据显示，截至2025年，公司营收近37亿美元，毛利达10.5亿美元，同比增速均达34%</w:t>
      </w:r>
      <w:r>
        <w:rPr>
          <w:rFonts w:hint="eastAsia" w:ascii="宋体" w:hAnsi="宋体" w:eastAsia="宋体" w:cs="宋体"/>
          <w:sz w:val="24"/>
          <w:szCs w:val="24"/>
          <w:lang w:val="en-US" w:eastAsia="zh-CN"/>
        </w:rPr>
        <w:t>，这</w:t>
      </w:r>
      <w:r>
        <w:rPr>
          <w:rFonts w:hint="default" w:ascii="宋体" w:hAnsi="宋体" w:eastAsia="宋体" w:cs="宋体"/>
          <w:sz w:val="24"/>
          <w:szCs w:val="24"/>
          <w:lang w:val="en-US" w:eastAsia="zh-CN"/>
        </w:rPr>
        <w:t>得益于国内市场的深度渗透与海外版图的加速扩张，为其全球化进程提供了坚实的资金支撑。</w:t>
      </w:r>
    </w:p>
    <w:p w14:paraId="266DDE1A">
      <w:pPr>
        <w:pStyle w:val="16"/>
        <w:bidi w:val="0"/>
        <w:rPr>
          <w:rFonts w:hint="default"/>
          <w:lang w:val="en-US" w:eastAsia="zh-CN"/>
        </w:rPr>
      </w:pPr>
      <w:bookmarkStart w:id="23" w:name="_Toc15827"/>
      <w:r>
        <w:rPr>
          <w:rFonts w:hint="default"/>
          <w:lang w:val="en-US" w:eastAsia="zh-CN"/>
        </w:rPr>
        <w:t>4.1.</w:t>
      </w:r>
      <w:r>
        <w:rPr>
          <w:rFonts w:hint="eastAsia"/>
          <w:lang w:val="en-US" w:eastAsia="zh-CN"/>
        </w:rPr>
        <w:t>2供应链驱动的全球竞争优势</w:t>
      </w:r>
      <w:bookmarkEnd w:id="23"/>
    </w:p>
    <w:p w14:paraId="1058AC37">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名创优品在创建海外仓储基地，在销售量较大的海外市场如印度和印度尼西亚都建立了自己的仓储基地，能较好的辐射东南亚和南亚地区。未来名创会在中美日韩四国建立设计中心，持续打造畅销全球的中国创新产品。海外仓储基地的设立较好的解决了全球消费者产品偏好性问题，推进了名创优品本土化的发展。有了高效的供应链，门店的扩展速度自然也会提升，由此形成良性循环。</w:t>
      </w:r>
    </w:p>
    <w:p w14:paraId="4403071D">
      <w:pPr>
        <w:pStyle w:val="16"/>
        <w:bidi w:val="0"/>
        <w:rPr>
          <w:rFonts w:hint="default"/>
          <w:lang w:val="en-US" w:eastAsia="zh-CN"/>
        </w:rPr>
      </w:pPr>
      <w:bookmarkStart w:id="24" w:name="_Toc7134"/>
      <w:r>
        <w:rPr>
          <w:rFonts w:hint="eastAsia"/>
          <w:lang w:val="en-US" w:eastAsia="zh-CN"/>
        </w:rPr>
        <w:t>4.1.3</w:t>
      </w:r>
      <w:r>
        <w:rPr>
          <w:rFonts w:hint="default"/>
          <w:lang w:val="en-US" w:eastAsia="zh-CN"/>
        </w:rPr>
        <w:t>持续的产品创新能力</w:t>
      </w:r>
      <w:bookmarkEnd w:id="24"/>
    </w:p>
    <w:p w14:paraId="464105CE">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名创优品有一个由49位设计师和25个设计合作伙伴组成的设计师网络，他们设立“创意池”，里面有1万个idea，每7天会从中抽出100个新的SKU，被称为“711”的研发理念让其在低价的前提下兼顾产品的“颜值”和品质，逐步树立起系列感、简约感和时尚感。2021年2月，名创优品又推出“X战略”，孵化更多子品牌</w:t>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REF _Ref24356 \r \h </w:instrText>
      </w:r>
      <w:r>
        <w:rPr>
          <w:rFonts w:hint="eastAsia" w:ascii="宋体" w:hAnsi="宋体" w:eastAsia="宋体" w:cs="宋体"/>
          <w:sz w:val="24"/>
          <w:szCs w:val="24"/>
          <w:vertAlign w:val="superscript"/>
          <w:lang w:val="en-US" w:eastAsia="zh-CN"/>
        </w:rPr>
        <w:fldChar w:fldCharType="separate"/>
      </w:r>
      <w:r>
        <w:rPr>
          <w:rFonts w:hint="eastAsia" w:ascii="宋体" w:hAnsi="宋体" w:eastAsia="宋体" w:cs="宋体"/>
          <w:sz w:val="24"/>
          <w:szCs w:val="24"/>
          <w:vertAlign w:val="superscript"/>
          <w:lang w:val="en-US" w:eastAsia="zh-CN"/>
        </w:rPr>
        <w:t>[6]</w:t>
      </w:r>
      <w:r>
        <w:rPr>
          <w:rFonts w:hint="eastAsia" w:ascii="宋体" w:hAnsi="宋体" w:eastAsia="宋体" w:cs="宋体"/>
          <w:sz w:val="24"/>
          <w:szCs w:val="24"/>
          <w:vertAlign w:val="superscript"/>
          <w:lang w:val="en-US" w:eastAsia="zh-CN"/>
        </w:rPr>
        <w:fldChar w:fldCharType="end"/>
      </w:r>
      <w:r>
        <w:rPr>
          <w:rFonts w:hint="eastAsia" w:ascii="宋体" w:hAnsi="宋体" w:eastAsia="宋体" w:cs="宋体"/>
          <w:sz w:val="24"/>
          <w:szCs w:val="24"/>
          <w:lang w:val="en-US" w:eastAsia="zh-CN"/>
        </w:rPr>
        <w:t>。2025年品牌推出“MINISOLAND”等主题化门店业态，将传统零售场景转化为兼具社交互动与沉浸体验的空间，显著增强了海外市场的消费者黏性。</w:t>
      </w:r>
    </w:p>
    <w:p w14:paraId="7E351DD5">
      <w:pPr>
        <w:pStyle w:val="16"/>
        <w:bidi w:val="0"/>
        <w:rPr>
          <w:rFonts w:hint="default"/>
          <w:lang w:val="en-US" w:eastAsia="zh-CN"/>
        </w:rPr>
      </w:pPr>
      <w:bookmarkStart w:id="25" w:name="_Toc15660"/>
      <w:r>
        <w:rPr>
          <w:rFonts w:hint="default"/>
          <w:lang w:val="en-US" w:eastAsia="zh-CN"/>
        </w:rPr>
        <w:t>4.1.</w:t>
      </w:r>
      <w:r>
        <w:rPr>
          <w:rFonts w:hint="eastAsia"/>
          <w:lang w:val="en-US" w:eastAsia="zh-CN"/>
        </w:rPr>
        <w:t xml:space="preserve">4 </w:t>
      </w:r>
      <w:r>
        <w:rPr>
          <w:rFonts w:hint="default"/>
          <w:lang w:val="en-US" w:eastAsia="zh-CN"/>
        </w:rPr>
        <w:t>IP驱动的品牌差异化能力</w:t>
      </w:r>
      <w:bookmarkEnd w:id="25"/>
    </w:p>
    <w:p w14:paraId="34B66385">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名创优品采取“国际授权与原创培育”的双轨IP战略，构建出具有辨识度的品牌差异化路径。该策略通过赋予商品情感附加值，有效提升了消费转化效率。2024年其北美会员数量增长250%，新增会员超过120万，</w:t>
      </w:r>
      <w:r>
        <w:rPr>
          <w:rFonts w:hint="eastAsia" w:ascii="宋体" w:hAnsi="宋体" w:eastAsia="宋体" w:cs="宋体"/>
          <w:sz w:val="24"/>
          <w:szCs w:val="24"/>
          <w:lang w:val="en-US" w:eastAsia="zh-CN"/>
        </w:rPr>
        <w:t>证明了</w:t>
      </w:r>
      <w:r>
        <w:rPr>
          <w:rFonts w:hint="default" w:ascii="宋体" w:hAnsi="宋体" w:eastAsia="宋体" w:cs="宋体"/>
          <w:sz w:val="24"/>
          <w:szCs w:val="24"/>
          <w:lang w:val="en-US" w:eastAsia="zh-CN"/>
        </w:rPr>
        <w:t>IP战略在跨文化市场中的溢价能力</w:t>
      </w:r>
      <w:r>
        <w:rPr>
          <w:rFonts w:hint="default" w:ascii="宋体" w:hAnsi="宋体" w:eastAsia="宋体" w:cs="宋体"/>
          <w:sz w:val="24"/>
          <w:szCs w:val="24"/>
          <w:vertAlign w:val="superscript"/>
          <w:lang w:val="en-US" w:eastAsia="zh-CN"/>
        </w:rPr>
        <w:fldChar w:fldCharType="begin"/>
      </w:r>
      <w:r>
        <w:rPr>
          <w:rFonts w:hint="default" w:ascii="宋体" w:hAnsi="宋体" w:eastAsia="宋体" w:cs="宋体"/>
          <w:sz w:val="24"/>
          <w:szCs w:val="24"/>
          <w:vertAlign w:val="superscript"/>
          <w:lang w:val="en-US" w:eastAsia="zh-CN"/>
        </w:rPr>
        <w:instrText xml:space="preserve"> REF _Ref24356 \r \h </w:instrText>
      </w:r>
      <w:r>
        <w:rPr>
          <w:rFonts w:hint="default" w:ascii="宋体" w:hAnsi="宋体" w:eastAsia="宋体" w:cs="宋体"/>
          <w:sz w:val="24"/>
          <w:szCs w:val="24"/>
          <w:vertAlign w:val="superscript"/>
          <w:lang w:val="en-US" w:eastAsia="zh-CN"/>
        </w:rPr>
        <w:fldChar w:fldCharType="separate"/>
      </w:r>
      <w:r>
        <w:rPr>
          <w:rFonts w:hint="default" w:ascii="宋体" w:hAnsi="宋体" w:eastAsia="宋体" w:cs="宋体"/>
          <w:sz w:val="24"/>
          <w:szCs w:val="24"/>
          <w:vertAlign w:val="superscript"/>
          <w:lang w:val="en-US" w:eastAsia="zh-CN"/>
        </w:rPr>
        <w:t>[7]</w:t>
      </w:r>
      <w:r>
        <w:rPr>
          <w:rFonts w:hint="default" w:ascii="宋体" w:hAnsi="宋体" w:eastAsia="宋体" w:cs="宋体"/>
          <w:sz w:val="24"/>
          <w:szCs w:val="24"/>
          <w:vertAlign w:val="superscript"/>
          <w:lang w:val="en-US" w:eastAsia="zh-CN"/>
        </w:rPr>
        <w:fldChar w:fldCharType="end"/>
      </w:r>
      <w:r>
        <w:rPr>
          <w:rFonts w:hint="default" w:ascii="宋体" w:hAnsi="宋体" w:eastAsia="宋体" w:cs="宋体"/>
          <w:sz w:val="24"/>
          <w:szCs w:val="24"/>
          <w:lang w:val="en-US" w:eastAsia="zh-CN"/>
        </w:rPr>
        <w:t>。品牌进一步通过多层级店态将IP元素融入实体零售空间，持续强化全球化IP零售平台的品牌认知。</w:t>
      </w:r>
    </w:p>
    <w:p w14:paraId="66ED02B0">
      <w:pPr>
        <w:pStyle w:val="15"/>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lang w:val="en-US" w:eastAsia="zh-CN"/>
        </w:rPr>
      </w:pPr>
      <w:bookmarkStart w:id="26" w:name="_Toc18981"/>
      <w:r>
        <w:rPr>
          <w:rFonts w:hint="default"/>
          <w:lang w:val="en-US" w:eastAsia="zh-CN"/>
        </w:rPr>
        <w:t>4.2</w:t>
      </w:r>
      <w:r>
        <w:rPr>
          <w:rFonts w:hint="eastAsia"/>
          <w:lang w:val="en-US" w:eastAsia="zh-CN"/>
        </w:rPr>
        <w:t>内部</w:t>
      </w:r>
      <w:r>
        <w:rPr>
          <w:rFonts w:hint="default"/>
          <w:lang w:val="en-US" w:eastAsia="zh-CN"/>
        </w:rPr>
        <w:t>劣势</w:t>
      </w:r>
      <w:r>
        <w:rPr>
          <w:rFonts w:hint="eastAsia"/>
          <w:lang w:val="en-US" w:eastAsia="zh-CN"/>
        </w:rPr>
        <w:t>(W)</w:t>
      </w:r>
      <w:bookmarkEnd w:id="26"/>
    </w:p>
    <w:p w14:paraId="11E663E6">
      <w:pPr>
        <w:pStyle w:val="16"/>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lang w:val="en-US" w:eastAsia="zh-CN"/>
        </w:rPr>
      </w:pPr>
      <w:bookmarkStart w:id="27" w:name="_Toc9984"/>
      <w:r>
        <w:rPr>
          <w:rFonts w:hint="default"/>
          <w:lang w:val="en-US" w:eastAsia="zh-CN"/>
        </w:rPr>
        <w:t>4.2.1</w:t>
      </w:r>
      <w:r>
        <w:t>线上渠道渗透不足</w:t>
      </w:r>
      <w:bookmarkEnd w:id="27"/>
    </w:p>
    <w:p w14:paraId="0C03CF6D">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名创优品线上营收占比仅约10%，远低于无印良品等同类竞品，即便已布局天猫、京东等传统电商平台及抖音直播、微信小程序等社交电商场景，还推出“线上下单+门店自提”模式，但线上渗透率仍未得到有效提升，难以承接当下线上消费增长的主流趋势。这种过度依赖线下的模式，不仅让品牌在面对疫情、区域消费波动等突发情况时抗风险能力薄弱，还暴露了其线上运营的核心短板——缺乏差异化线上体验</w:t>
      </w:r>
      <w:r>
        <w:rPr>
          <w:rFonts w:hint="default" w:ascii="宋体" w:hAnsi="宋体" w:eastAsia="宋体" w:cs="宋体"/>
          <w:sz w:val="24"/>
          <w:szCs w:val="24"/>
          <w:vertAlign w:val="superscript"/>
          <w:lang w:val="en-US" w:eastAsia="zh-CN"/>
        </w:rPr>
        <w:fldChar w:fldCharType="begin"/>
      </w:r>
      <w:r>
        <w:rPr>
          <w:rFonts w:hint="default" w:ascii="宋体" w:hAnsi="宋体" w:eastAsia="宋体" w:cs="宋体"/>
          <w:sz w:val="24"/>
          <w:szCs w:val="24"/>
          <w:vertAlign w:val="superscript"/>
          <w:lang w:val="en-US" w:eastAsia="zh-CN"/>
        </w:rPr>
        <w:instrText xml:space="preserve"> REF _Ref26103 \r \h </w:instrText>
      </w:r>
      <w:r>
        <w:rPr>
          <w:rFonts w:hint="default" w:ascii="宋体" w:hAnsi="宋体" w:eastAsia="宋体" w:cs="宋体"/>
          <w:sz w:val="24"/>
          <w:szCs w:val="24"/>
          <w:vertAlign w:val="superscript"/>
          <w:lang w:val="en-US" w:eastAsia="zh-CN"/>
        </w:rPr>
        <w:fldChar w:fldCharType="separate"/>
      </w:r>
      <w:r>
        <w:rPr>
          <w:rFonts w:hint="default" w:ascii="宋体" w:hAnsi="宋体" w:eastAsia="宋体" w:cs="宋体"/>
          <w:sz w:val="24"/>
          <w:szCs w:val="24"/>
          <w:vertAlign w:val="superscript"/>
          <w:lang w:val="en-US" w:eastAsia="zh-CN"/>
        </w:rPr>
        <w:t>[8]</w:t>
      </w:r>
      <w:r>
        <w:rPr>
          <w:rFonts w:hint="default" w:ascii="宋体" w:hAnsi="宋体" w:eastAsia="宋体" w:cs="宋体"/>
          <w:sz w:val="24"/>
          <w:szCs w:val="24"/>
          <w:vertAlign w:val="superscript"/>
          <w:lang w:val="en-US" w:eastAsia="zh-CN"/>
        </w:rPr>
        <w:fldChar w:fldCharType="end"/>
      </w:r>
      <w:r>
        <w:rPr>
          <w:rFonts w:hint="default" w:ascii="宋体" w:hAnsi="宋体" w:eastAsia="宋体" w:cs="宋体"/>
          <w:sz w:val="24"/>
          <w:szCs w:val="24"/>
          <w:lang w:val="en-US" w:eastAsia="zh-CN"/>
        </w:rPr>
        <w:t>。长期聚焦线下渠道形成的路径依赖，使其未能针对线上用户的消费习惯打造专属优势，线上渠道多沦为线下门店的“补充货架”，既无线上独家产品、个性化推荐等核心吸引力，也缺乏互动性营销内容与场景化体验设计。这直接导致品牌对下沉市场及Z世代等核心客群的线上触达不足，错失了线上流量红利，进一步限制了市场覆盖的广度与深度。</w:t>
      </w:r>
    </w:p>
    <w:p w14:paraId="2872163C">
      <w:pPr>
        <w:pStyle w:val="16"/>
        <w:bidi w:val="0"/>
        <w:rPr>
          <w:rFonts w:hint="default"/>
          <w:lang w:val="en-US" w:eastAsia="zh-CN"/>
        </w:rPr>
      </w:pPr>
      <w:bookmarkStart w:id="28" w:name="_Toc16842"/>
      <w:r>
        <w:rPr>
          <w:rFonts w:hint="default"/>
          <w:lang w:val="en-US" w:eastAsia="zh-CN"/>
        </w:rPr>
        <w:t>4.2.2品牌定位模糊</w:t>
      </w:r>
      <w:bookmarkEnd w:id="28"/>
    </w:p>
    <w:p w14:paraId="1ECCB94F">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早期“伪日系”营销策略虽促进海外扩张，却在其品牌真实性上留下隐患</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由于海外渠道多以代理形式合作，对于品牌营销建设参与感少。代理商多以利益为导向，对于品牌价值强化，品牌文化建设，顾客与品牌之间的价值观尚未建立较强的连接。名创优品对海外市场品牌建设参与不足这种认知惯性限制了IP联动的溢价能力，并对其拓展中高端市场形成持续制约。</w:t>
      </w:r>
    </w:p>
    <w:p w14:paraId="71640C46">
      <w:pPr>
        <w:pStyle w:val="16"/>
        <w:bidi w:val="0"/>
        <w:rPr>
          <w:rFonts w:hint="default"/>
          <w:lang w:val="en-US" w:eastAsia="zh-CN"/>
        </w:rPr>
      </w:pPr>
      <w:bookmarkStart w:id="29" w:name="_Toc26447"/>
      <w:r>
        <w:rPr>
          <w:rFonts w:hint="default"/>
          <w:lang w:val="en-US" w:eastAsia="zh-CN"/>
        </w:rPr>
        <w:t>4.2.3管理与成本压力凸显</w:t>
      </w:r>
      <w:bookmarkEnd w:id="29"/>
    </w:p>
    <w:p w14:paraId="74656614">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名创优品全球化高速扩张加剧了组织压力。日均新增3.2家门店的节奏使全球门店总数突破7400家，标准化质量管控面临执行挑战，加盟监管疏漏可能导致品牌形象受损。同时，其布局全球顶级商圈的“高地策略”虽提升品牌势能，却伴随高昂租金与运维成本。海外网点持续加密将进一步推高刚性支出，制约长期盈利的弹性空间。</w:t>
      </w:r>
    </w:p>
    <w:p w14:paraId="4516FDD2">
      <w:pPr>
        <w:pStyle w:val="15"/>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lang w:val="en-US" w:eastAsia="zh-CN"/>
        </w:rPr>
      </w:pPr>
      <w:bookmarkStart w:id="30" w:name="_Toc14149"/>
      <w:r>
        <w:rPr>
          <w:rFonts w:hint="default"/>
          <w:lang w:val="en-US" w:eastAsia="zh-CN"/>
        </w:rPr>
        <w:t>4.</w:t>
      </w:r>
      <w:r>
        <w:rPr>
          <w:rFonts w:hint="eastAsia"/>
          <w:lang w:val="en-US" w:eastAsia="zh-CN"/>
        </w:rPr>
        <w:t>3外部机遇(O)</w:t>
      </w:r>
      <w:bookmarkEnd w:id="30"/>
    </w:p>
    <w:p w14:paraId="4986E1B3">
      <w:pPr>
        <w:pStyle w:val="16"/>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lang w:val="en-US" w:eastAsia="zh-CN"/>
        </w:rPr>
      </w:pPr>
      <w:bookmarkStart w:id="31" w:name="_Toc24381"/>
      <w:r>
        <w:rPr>
          <w:rFonts w:hint="default"/>
          <w:lang w:val="en-US" w:eastAsia="zh-CN"/>
        </w:rPr>
        <w:t>4.3.</w:t>
      </w:r>
      <w:r>
        <w:rPr>
          <w:rFonts w:hint="eastAsia"/>
          <w:lang w:val="en-US" w:eastAsia="zh-CN"/>
        </w:rPr>
        <w:t>1</w:t>
      </w:r>
      <w:r>
        <w:rPr>
          <w:rFonts w:hint="default"/>
          <w:lang w:val="en-US" w:eastAsia="zh-CN"/>
        </w:rPr>
        <w:t>新兴市场零售环境持续改善</w:t>
      </w:r>
      <w:bookmarkEnd w:id="31"/>
    </w:p>
    <w:p w14:paraId="11F79C3D">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东南亚、拉美及中东地区现代商业基础设施日益成熟，购物中心的集约化发展降低了品牌进入门槛</w:t>
      </w:r>
      <w:r>
        <w:rPr>
          <w:rFonts w:hint="eastAsia" w:ascii="宋体" w:hAnsi="宋体" w:eastAsia="宋体" w:cs="宋体"/>
          <w:sz w:val="24"/>
          <w:szCs w:val="24"/>
          <w:lang w:val="en-US" w:eastAsia="zh-CN"/>
        </w:rPr>
        <w:t>，为名创优品开拓新市场提供了场所</w:t>
      </w: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名创优品可</w:t>
      </w:r>
      <w:r>
        <w:rPr>
          <w:rFonts w:hint="default" w:ascii="宋体" w:hAnsi="宋体" w:eastAsia="宋体" w:cs="宋体"/>
          <w:sz w:val="24"/>
          <w:szCs w:val="24"/>
          <w:lang w:val="en-US" w:eastAsia="zh-CN"/>
        </w:rPr>
        <w:t>规范化零售载体</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为名创优品的实体扩张提供了确定性基础，使其高频复制模式得以有效实施。</w:t>
      </w:r>
    </w:p>
    <w:p w14:paraId="21BD8BC9">
      <w:pPr>
        <w:pStyle w:val="16"/>
        <w:bidi w:val="0"/>
        <w:rPr>
          <w:rFonts w:hint="default"/>
          <w:lang w:val="en-US" w:eastAsia="zh-CN"/>
        </w:rPr>
      </w:pPr>
      <w:bookmarkStart w:id="32" w:name="_Toc21371"/>
      <w:r>
        <w:rPr>
          <w:rFonts w:hint="default"/>
          <w:lang w:val="en-US" w:eastAsia="zh-CN"/>
        </w:rPr>
        <w:t>4.3.</w:t>
      </w:r>
      <w:r>
        <w:rPr>
          <w:rFonts w:hint="eastAsia"/>
          <w:lang w:val="en-US" w:eastAsia="zh-CN"/>
        </w:rPr>
        <w:t>2</w:t>
      </w:r>
      <w:r>
        <w:rPr>
          <w:rFonts w:hint="default"/>
          <w:lang w:val="en-US" w:eastAsia="zh-CN"/>
        </w:rPr>
        <w:t>情绪消费与IP商品需求增长</w:t>
      </w:r>
      <w:bookmarkEnd w:id="32"/>
    </w:p>
    <w:p w14:paraId="5CD110F5">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全球消费重心正从功能向情感迁移，Z世代对盲盒、香氛等承载IP情绪的商品需求强烈</w:t>
      </w:r>
      <w:r>
        <w:rPr>
          <w:rFonts w:hint="default" w:ascii="宋体" w:hAnsi="宋体" w:eastAsia="宋体" w:cs="宋体"/>
          <w:sz w:val="24"/>
          <w:szCs w:val="24"/>
          <w:vertAlign w:val="superscript"/>
          <w:lang w:val="en-US" w:eastAsia="zh-CN"/>
        </w:rPr>
        <w:fldChar w:fldCharType="begin"/>
      </w:r>
      <w:r>
        <w:rPr>
          <w:rFonts w:hint="default" w:ascii="宋体" w:hAnsi="宋体" w:eastAsia="宋体" w:cs="宋体"/>
          <w:sz w:val="24"/>
          <w:szCs w:val="24"/>
          <w:vertAlign w:val="superscript"/>
          <w:lang w:val="en-US" w:eastAsia="zh-CN"/>
        </w:rPr>
        <w:instrText xml:space="preserve"> REF _Ref24356 \r \h </w:instrText>
      </w:r>
      <w:r>
        <w:rPr>
          <w:rFonts w:hint="default" w:ascii="宋体" w:hAnsi="宋体" w:eastAsia="宋体" w:cs="宋体"/>
          <w:sz w:val="24"/>
          <w:szCs w:val="24"/>
          <w:vertAlign w:val="superscript"/>
          <w:lang w:val="en-US" w:eastAsia="zh-CN"/>
        </w:rPr>
        <w:fldChar w:fldCharType="separate"/>
      </w:r>
      <w:r>
        <w:rPr>
          <w:rFonts w:hint="default" w:ascii="宋体" w:hAnsi="宋体" w:eastAsia="宋体" w:cs="宋体"/>
          <w:sz w:val="24"/>
          <w:szCs w:val="24"/>
          <w:vertAlign w:val="superscript"/>
          <w:lang w:val="en-US" w:eastAsia="zh-CN"/>
        </w:rPr>
        <w:t>[9]</w:t>
      </w:r>
      <w:r>
        <w:rPr>
          <w:rFonts w:hint="default" w:ascii="宋体" w:hAnsi="宋体" w:eastAsia="宋体" w:cs="宋体"/>
          <w:sz w:val="24"/>
          <w:szCs w:val="24"/>
          <w:vertAlign w:val="superscript"/>
          <w:lang w:val="en-US" w:eastAsia="zh-CN"/>
        </w:rPr>
        <w:fldChar w:fldCharType="end"/>
      </w: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这一转变正好契合名创的发展战略，</w:t>
      </w:r>
      <w:r>
        <w:rPr>
          <w:rFonts w:hint="default" w:ascii="宋体" w:hAnsi="宋体" w:eastAsia="宋体" w:cs="宋体"/>
          <w:sz w:val="24"/>
          <w:szCs w:val="24"/>
          <w:lang w:val="en-US" w:eastAsia="zh-CN"/>
        </w:rPr>
        <w:t>通过构建寻宝式购物场景，品牌能够将线下流量有效转化为用户粘性，把握情绪消费的结构性机遇。</w:t>
      </w:r>
    </w:p>
    <w:p w14:paraId="4A118588">
      <w:pPr>
        <w:pStyle w:val="16"/>
        <w:bidi w:val="0"/>
        <w:rPr>
          <w:rFonts w:hint="eastAsia"/>
          <w:lang w:val="en-US" w:eastAsia="zh-CN"/>
        </w:rPr>
      </w:pPr>
      <w:bookmarkStart w:id="33" w:name="_Toc22339"/>
      <w:r>
        <w:rPr>
          <w:rFonts w:hint="eastAsia"/>
          <w:lang w:val="en-US" w:eastAsia="zh-CN"/>
        </w:rPr>
        <w:t>4.3.3数字化和人工智能技术赋能零售业</w:t>
      </w:r>
      <w:bookmarkEnd w:id="33"/>
    </w:p>
    <w:p w14:paraId="52E6B469">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字化工具正加速零售业响应效率，依托大数据洞察全球消费偏好，名创优品可进一步优化库存管理与产品研发。当今世界谁掌握了AI谁就拥有了战略控制权，名创优品可利用AI技术预测市场趋势，从而降低跨国经营中的决策盲区，保持敏捷竞争能力</w:t>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REF _Ref26466 \r \h </w:instrText>
      </w:r>
      <w:r>
        <w:rPr>
          <w:rFonts w:hint="eastAsia" w:ascii="宋体" w:hAnsi="宋体" w:eastAsia="宋体" w:cs="宋体"/>
          <w:sz w:val="24"/>
          <w:szCs w:val="24"/>
          <w:vertAlign w:val="superscript"/>
          <w:lang w:val="en-US" w:eastAsia="zh-CN"/>
        </w:rPr>
        <w:fldChar w:fldCharType="separate"/>
      </w:r>
      <w:r>
        <w:rPr>
          <w:rFonts w:hint="eastAsia" w:ascii="宋体" w:hAnsi="宋体" w:eastAsia="宋体" w:cs="宋体"/>
          <w:sz w:val="24"/>
          <w:szCs w:val="24"/>
          <w:vertAlign w:val="superscript"/>
          <w:lang w:val="en-US" w:eastAsia="zh-CN"/>
        </w:rPr>
        <w:t>[10]</w:t>
      </w:r>
      <w:r>
        <w:rPr>
          <w:rFonts w:hint="eastAsia" w:ascii="宋体" w:hAnsi="宋体" w:eastAsia="宋体" w:cs="宋体"/>
          <w:sz w:val="24"/>
          <w:szCs w:val="24"/>
          <w:vertAlign w:val="superscript"/>
          <w:lang w:val="en-US" w:eastAsia="zh-CN"/>
        </w:rPr>
        <w:fldChar w:fldCharType="end"/>
      </w:r>
      <w:r>
        <w:rPr>
          <w:rFonts w:hint="eastAsia" w:ascii="宋体" w:hAnsi="宋体" w:eastAsia="宋体" w:cs="宋体"/>
          <w:sz w:val="24"/>
          <w:szCs w:val="24"/>
          <w:lang w:val="en-US" w:eastAsia="zh-CN"/>
        </w:rPr>
        <w:t>。通过系统信息化的管理来规范企业的各项流程操作，在这套系统下，企业可以打造智能化的物流仓储。智能化的物流仓储较于传统的人工仓储效率更高，精准度更强，时效性也更好。</w:t>
      </w:r>
    </w:p>
    <w:p w14:paraId="59529D57">
      <w:pPr>
        <w:pStyle w:val="16"/>
        <w:bidi w:val="0"/>
        <w:rPr>
          <w:rFonts w:hint="default"/>
          <w:lang w:val="en-US" w:eastAsia="zh-CN"/>
        </w:rPr>
      </w:pPr>
      <w:bookmarkStart w:id="34" w:name="_Toc31636"/>
      <w:r>
        <w:rPr>
          <w:rFonts w:hint="default"/>
          <w:lang w:val="en-US" w:eastAsia="zh-CN"/>
        </w:rPr>
        <w:t>4.3.</w:t>
      </w:r>
      <w:r>
        <w:rPr>
          <w:rFonts w:hint="eastAsia"/>
          <w:lang w:val="en-US" w:eastAsia="zh-CN"/>
        </w:rPr>
        <w:t>4</w:t>
      </w:r>
      <w:r>
        <w:rPr>
          <w:rFonts w:hint="default"/>
          <w:lang w:val="en-US" w:eastAsia="zh-CN"/>
        </w:rPr>
        <w:t>可持续发展意识全球提升</w:t>
      </w:r>
      <w:bookmarkEnd w:id="34"/>
    </w:p>
    <w:p w14:paraId="22B3E112">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全球消费者对环保议题关注度持续提高，可持续产品需求增长显著。名创优品可借此调整产品策略，通过开发环保材料、优化供应链碳足迹及强化可持续宣传，提升品牌社会责任形象，吸引价值观导向的消费群体。</w:t>
      </w:r>
    </w:p>
    <w:p w14:paraId="75483CC5">
      <w:pPr>
        <w:pStyle w:val="15"/>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lang w:val="en-US" w:eastAsia="zh-CN"/>
        </w:rPr>
      </w:pPr>
      <w:bookmarkStart w:id="35" w:name="_Toc19479"/>
      <w:r>
        <w:rPr>
          <w:rFonts w:hint="default"/>
          <w:lang w:val="en-US" w:eastAsia="zh-CN"/>
        </w:rPr>
        <w:t>4.4</w:t>
      </w:r>
      <w:r>
        <w:rPr>
          <w:rFonts w:hint="eastAsia"/>
          <w:lang w:val="en-US" w:eastAsia="zh-CN"/>
        </w:rPr>
        <w:t>外部挑战(T)</w:t>
      </w:r>
      <w:bookmarkEnd w:id="35"/>
    </w:p>
    <w:p w14:paraId="674BFB05">
      <w:pPr>
        <w:pStyle w:val="16"/>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lang w:val="en-US" w:eastAsia="zh-CN"/>
        </w:rPr>
      </w:pPr>
      <w:bookmarkStart w:id="36" w:name="_Toc31961"/>
      <w:r>
        <w:rPr>
          <w:rFonts w:hint="default"/>
          <w:lang w:val="en-US" w:eastAsia="zh-CN"/>
        </w:rPr>
        <w:t>4.4.1</w:t>
      </w:r>
      <w:r>
        <w:t>市场竞争加剧</w:t>
      </w:r>
      <w:r>
        <w:rPr>
          <w:rFonts w:hint="eastAsia"/>
          <w:lang w:val="en-US" w:eastAsia="zh-CN"/>
        </w:rPr>
        <w:t>与</w:t>
      </w:r>
      <w:r>
        <w:t>同质化压力</w:t>
      </w:r>
      <w:bookmarkEnd w:id="36"/>
    </w:p>
    <w:p w14:paraId="6D319C0D">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经济下行使全球消费者进入保守消费阶段，消费者追求有性价比的产品，因此</w:t>
      </w:r>
      <w:r>
        <w:rPr>
          <w:rFonts w:hint="default" w:ascii="宋体" w:hAnsi="宋体" w:eastAsia="宋体" w:cs="宋体"/>
          <w:sz w:val="24"/>
          <w:szCs w:val="24"/>
          <w:lang w:val="en-US" w:eastAsia="zh-CN"/>
        </w:rPr>
        <w:t>性价比零售与IP联名已成为行业普遍策略</w:t>
      </w:r>
      <w:r>
        <w:rPr>
          <w:rFonts w:hint="eastAsia" w:ascii="宋体" w:hAnsi="宋体" w:eastAsia="宋体" w:cs="宋体"/>
          <w:sz w:val="24"/>
          <w:szCs w:val="24"/>
          <w:lang w:val="en-US" w:eastAsia="zh-CN"/>
        </w:rPr>
        <w:t>，名创的价格优势被削弱。原本许多面向高端市场的同类产业也逐渐拓宽自己的产品渠道，逐渐向中端市场靠拢，与名创形成了竞争。</w:t>
      </w:r>
      <w:r>
        <w:rPr>
          <w:rFonts w:hint="default" w:ascii="宋体" w:hAnsi="宋体" w:eastAsia="宋体" w:cs="宋体"/>
          <w:sz w:val="24"/>
          <w:szCs w:val="24"/>
          <w:lang w:val="en-US" w:eastAsia="zh-CN"/>
        </w:rPr>
        <w:t>竞品模仿加速导致产品同质化严重</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无印良品、NOME等品牌纷纷下探价格带，直接冲击名创优品核心市场，品牌面临单纯依靠性价比难以维持竞争优势的存量竞争环境。</w:t>
      </w:r>
    </w:p>
    <w:p w14:paraId="63CF9A66">
      <w:pPr>
        <w:pStyle w:val="16"/>
        <w:bidi w:val="0"/>
        <w:rPr>
          <w:rFonts w:hint="eastAsia"/>
          <w:lang w:val="en-US" w:eastAsia="zh-CN"/>
        </w:rPr>
      </w:pPr>
      <w:bookmarkStart w:id="37" w:name="_Toc13219"/>
      <w:r>
        <w:rPr>
          <w:rFonts w:hint="eastAsia"/>
          <w:lang w:val="en-US" w:eastAsia="zh-CN"/>
        </w:rPr>
        <w:t>4.4.2国际市场偏见限制品牌溢价</w:t>
      </w:r>
      <w:bookmarkEnd w:id="37"/>
    </w:p>
    <w:p w14:paraId="0F342342">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在产品质量上，</w:t>
      </w:r>
      <w:r>
        <w:rPr>
          <w:rFonts w:hint="default" w:ascii="宋体" w:hAnsi="宋体" w:eastAsia="宋体" w:cs="宋体"/>
          <w:sz w:val="24"/>
          <w:szCs w:val="24"/>
          <w:lang w:val="en-US" w:eastAsia="zh-CN"/>
        </w:rPr>
        <w:t>公司与国内大品牌的制造商合作，对产品不合格的合作商定期进行优化淘汰，以确保公司产品达到国际化标准</w:t>
      </w:r>
      <w:r>
        <w:rPr>
          <w:rFonts w:hint="eastAsia" w:ascii="宋体" w:hAnsi="宋体" w:eastAsia="宋体" w:cs="宋体"/>
          <w:sz w:val="24"/>
          <w:szCs w:val="24"/>
          <w:lang w:val="en-US" w:eastAsia="zh-CN"/>
        </w:rPr>
        <w:t>。但是国际市场长期存在对中国品牌的“低端制造”认知偏见，将中国产品与“廉价”直接关联。原产地负面印象对品牌溢价空间造成了制约，使名创优品在与国际高端零售商竞争时处于品牌势能劣势。</w:t>
      </w:r>
    </w:p>
    <w:p w14:paraId="52C64887">
      <w:pPr>
        <w:pStyle w:val="16"/>
        <w:bidi w:val="0"/>
        <w:rPr>
          <w:rFonts w:hint="default"/>
          <w:lang w:val="en-US" w:eastAsia="zh-CN"/>
        </w:rPr>
      </w:pPr>
      <w:bookmarkStart w:id="38" w:name="_Toc25674"/>
      <w:r>
        <w:rPr>
          <w:rFonts w:hint="default"/>
          <w:lang w:val="en-US" w:eastAsia="zh-CN"/>
        </w:rPr>
        <w:t>4.4.3外部环境不确定</w:t>
      </w:r>
      <w:r>
        <w:rPr>
          <w:rFonts w:hint="eastAsia"/>
          <w:lang w:val="en-US" w:eastAsia="zh-CN"/>
        </w:rPr>
        <w:t>加剧</w:t>
      </w:r>
      <w:r>
        <w:rPr>
          <w:rFonts w:hint="default"/>
          <w:lang w:val="en-US" w:eastAsia="zh-CN"/>
        </w:rPr>
        <w:t>经营风险</w:t>
      </w:r>
      <w:bookmarkEnd w:id="38"/>
    </w:p>
    <w:p w14:paraId="1B18B03E">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单一商品无法满足现在的消费者，消费者追求多样化，快时尚成为消费的一大特征，</w:t>
      </w:r>
      <w:r>
        <w:rPr>
          <w:rFonts w:hint="default" w:ascii="宋体" w:hAnsi="宋体" w:eastAsia="宋体" w:cs="宋体"/>
          <w:sz w:val="24"/>
          <w:szCs w:val="24"/>
          <w:lang w:val="en-US" w:eastAsia="zh-CN"/>
        </w:rPr>
        <w:t>消费</w:t>
      </w:r>
      <w:r>
        <w:rPr>
          <w:rFonts w:hint="eastAsia" w:ascii="宋体" w:hAnsi="宋体" w:eastAsia="宋体" w:cs="宋体"/>
          <w:sz w:val="24"/>
          <w:szCs w:val="24"/>
          <w:lang w:val="en-US" w:eastAsia="zh-CN"/>
        </w:rPr>
        <w:t>者</w:t>
      </w:r>
      <w:r>
        <w:rPr>
          <w:rFonts w:hint="default" w:ascii="宋体" w:hAnsi="宋体" w:eastAsia="宋体" w:cs="宋体"/>
          <w:sz w:val="24"/>
          <w:szCs w:val="24"/>
          <w:lang w:val="en-US" w:eastAsia="zh-CN"/>
        </w:rPr>
        <w:t>偏好持续波动，</w:t>
      </w:r>
      <w:r>
        <w:rPr>
          <w:rFonts w:hint="eastAsia" w:ascii="宋体" w:hAnsi="宋体" w:eastAsia="宋体" w:cs="宋体"/>
          <w:sz w:val="24"/>
          <w:szCs w:val="24"/>
          <w:lang w:val="en-US" w:eastAsia="zh-CN"/>
        </w:rPr>
        <w:t>有数据表明</w:t>
      </w:r>
      <w:r>
        <w:rPr>
          <w:rFonts w:hint="default" w:ascii="宋体" w:hAnsi="宋体" w:eastAsia="宋体" w:cs="宋体"/>
          <w:sz w:val="24"/>
          <w:szCs w:val="24"/>
          <w:lang w:val="en-US" w:eastAsia="zh-CN"/>
        </w:rPr>
        <w:t>Z世代占比超过60%的客群其审美与兴趣趋势易变，产品创新若与IP节奏错位将引发高库存</w:t>
      </w:r>
      <w:r>
        <w:rPr>
          <w:rFonts w:hint="eastAsia" w:ascii="宋体" w:hAnsi="宋体" w:eastAsia="宋体" w:cs="宋体"/>
          <w:sz w:val="24"/>
          <w:szCs w:val="24"/>
          <w:lang w:val="en-US" w:eastAsia="zh-CN"/>
        </w:rPr>
        <w:t>风险，从而对</w:t>
      </w:r>
      <w:r>
        <w:rPr>
          <w:rFonts w:hint="default" w:ascii="宋体" w:hAnsi="宋体" w:eastAsia="宋体" w:cs="宋体"/>
          <w:sz w:val="24"/>
          <w:szCs w:val="24"/>
          <w:lang w:val="en-US" w:eastAsia="zh-CN"/>
        </w:rPr>
        <w:t>营收</w:t>
      </w:r>
      <w:r>
        <w:rPr>
          <w:rFonts w:hint="eastAsia" w:ascii="宋体" w:hAnsi="宋体" w:eastAsia="宋体" w:cs="宋体"/>
          <w:sz w:val="24"/>
          <w:szCs w:val="24"/>
          <w:lang w:val="en-US" w:eastAsia="zh-CN"/>
        </w:rPr>
        <w:t>造成不利的</w:t>
      </w:r>
      <w:r>
        <w:rPr>
          <w:rFonts w:hint="default" w:ascii="宋体" w:hAnsi="宋体" w:eastAsia="宋体" w:cs="宋体"/>
          <w:sz w:val="24"/>
          <w:szCs w:val="24"/>
          <w:lang w:val="en-US" w:eastAsia="zh-CN"/>
        </w:rPr>
        <w:t>波动。同时地缘冲突导致的贸易壁垒与物流中断持续冲击供应链稳定性，国际政经局势的不确定性也为海外资产与业务连续性带来潜在风险。</w:t>
      </w:r>
    </w:p>
    <w:p w14:paraId="50716FDC">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宋体" w:hAnsi="宋体" w:eastAsia="宋体" w:cs="宋体"/>
          <w:sz w:val="24"/>
          <w:szCs w:val="24"/>
          <w:lang w:val="en-US" w:eastAsia="zh-CN"/>
        </w:rPr>
      </w:pPr>
    </w:p>
    <w:p w14:paraId="6CB4B4F8">
      <w:pPr>
        <w:pStyle w:val="14"/>
        <w:bidi w:val="0"/>
        <w:rPr>
          <w:rFonts w:hint="default"/>
          <w:lang w:val="en-US" w:eastAsia="zh-CN"/>
        </w:rPr>
      </w:pPr>
      <w:bookmarkStart w:id="39" w:name="_Toc692"/>
      <w:r>
        <w:rPr>
          <w:rFonts w:hint="default"/>
          <w:lang w:val="en-US" w:eastAsia="zh-CN"/>
        </w:rPr>
        <w:t>第五章</w:t>
      </w:r>
      <w:r>
        <w:rPr>
          <w:rFonts w:hint="eastAsia"/>
          <w:lang w:val="en-US" w:eastAsia="zh-CN"/>
        </w:rPr>
        <w:t xml:space="preserve"> </w:t>
      </w:r>
      <w:r>
        <w:rPr>
          <w:rFonts w:hint="default"/>
          <w:lang w:val="en-US" w:eastAsia="zh-CN"/>
        </w:rPr>
        <w:t>名创优品未来全球发展战略</w:t>
      </w:r>
      <w:bookmarkEnd w:id="39"/>
    </w:p>
    <w:p w14:paraId="4F79BF3F">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在前文对名创优品全球化经营模式与竞争环境进行系统分析的基础上，可以看出企业已在供应链效率、IP驱动的品牌表达以及海外扩张节奏控制等方面形成较为稳固的竞争基础。但与此同时，</w:t>
      </w:r>
      <w:r>
        <w:rPr>
          <w:rFonts w:hint="eastAsia" w:ascii="宋体" w:hAnsi="宋体" w:eastAsia="宋体" w:cs="宋体"/>
          <w:sz w:val="24"/>
          <w:szCs w:val="24"/>
          <w:lang w:val="en-US" w:eastAsia="zh-CN"/>
        </w:rPr>
        <w:t>竞争加剧</w:t>
      </w: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品牌溢价受限</w:t>
      </w:r>
      <w:r>
        <w:rPr>
          <w:rFonts w:hint="default" w:ascii="宋体" w:hAnsi="宋体" w:eastAsia="宋体" w:cs="宋体"/>
          <w:sz w:val="24"/>
          <w:szCs w:val="24"/>
          <w:lang w:val="en-US" w:eastAsia="zh-CN"/>
        </w:rPr>
        <w:t>以及外部环境不确定性，也对其未来全球化发展提出了更高要求。基于上述分析，本章从整体战略取向出发，提出名创优品未来全球发展的重点方向。</w:t>
      </w:r>
    </w:p>
    <w:p w14:paraId="6E45CAEA">
      <w:pPr>
        <w:pStyle w:val="15"/>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lang w:val="en-US" w:eastAsia="zh-CN"/>
        </w:rPr>
      </w:pPr>
      <w:bookmarkStart w:id="40" w:name="_Toc18435"/>
      <w:r>
        <w:rPr>
          <w:rFonts w:hint="default"/>
          <w:lang w:val="en-US" w:eastAsia="zh-CN"/>
        </w:rPr>
        <w:t>5.1差异化竞争</w:t>
      </w:r>
      <w:bookmarkEnd w:id="40"/>
    </w:p>
    <w:p w14:paraId="6102F289">
      <w:pPr>
        <w:pStyle w:val="16"/>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lang w:val="en-US" w:eastAsia="zh-CN"/>
        </w:rPr>
      </w:pPr>
      <w:bookmarkStart w:id="41" w:name="_Toc16733"/>
      <w:r>
        <w:rPr>
          <w:rFonts w:hint="eastAsia"/>
          <w:lang w:val="en-US" w:eastAsia="zh-CN"/>
        </w:rPr>
        <w:t>5.1.1</w:t>
      </w:r>
      <w:r>
        <w:rPr>
          <w:rFonts w:hint="default"/>
          <w:lang w:val="en-US" w:eastAsia="zh-CN"/>
        </w:rPr>
        <w:t>深化自有IP开发​</w:t>
      </w:r>
      <w:bookmarkEnd w:id="41"/>
    </w:p>
    <w:p w14:paraId="1569A32C">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hint="eastAsia"/>
          <w:lang w:val="en-US" w:eastAsia="zh-CN"/>
        </w:rPr>
      </w:pPr>
      <w:r>
        <w:rPr>
          <w:rFonts w:hint="eastAsia" w:ascii="宋体" w:hAnsi="宋体" w:eastAsia="宋体" w:cs="宋体"/>
          <w:sz w:val="24"/>
          <w:szCs w:val="24"/>
          <w:lang w:val="en-US" w:eastAsia="zh-CN"/>
        </w:rPr>
        <w:t>高度依赖第三方IP并非长久之计，近几年名创的自我开发IP意识逐渐变强，实施了双轨并行的策略，既大力发展与外部IP的合作，还重点打造自有IP。目前，名创优品自主孵化了两个系列IP：mini family和DUN universe，代表形象分别为企鹅PENPEN和墩DUN鸡。这两个品牌为名创创造了不错的营收，想要跟上全球火热IP的脚步还有很长的路要走。名创</w:t>
      </w:r>
      <w:r>
        <w:rPr>
          <w:rFonts w:hint="default" w:ascii="宋体" w:hAnsi="宋体" w:eastAsia="宋体" w:cs="宋体"/>
          <w:sz w:val="24"/>
          <w:szCs w:val="24"/>
          <w:lang w:val="en-US" w:eastAsia="zh-CN"/>
        </w:rPr>
        <w:t>应将原创IP从单一视觉元素升级为具备世界观与情感叙事的完整文化生态，以此降低对外部授权的依赖，将IP转化为具有长期生命力的无形资产并提升用户粘性。</w:t>
      </w:r>
    </w:p>
    <w:p w14:paraId="61604FF4">
      <w:pPr>
        <w:pStyle w:val="16"/>
        <w:bidi w:val="0"/>
        <w:rPr>
          <w:rFonts w:hint="default"/>
          <w:lang w:val="en-US" w:eastAsia="zh-CN"/>
        </w:rPr>
      </w:pPr>
      <w:bookmarkStart w:id="42" w:name="_Toc14509"/>
      <w:r>
        <w:rPr>
          <w:rFonts w:hint="eastAsia"/>
          <w:lang w:val="en-US" w:eastAsia="zh-CN"/>
        </w:rPr>
        <w:t>5.1.2</w:t>
      </w:r>
      <w:r>
        <w:rPr>
          <w:rFonts w:hint="default"/>
          <w:lang w:val="en-US" w:eastAsia="zh-CN"/>
        </w:rPr>
        <w:t>优化产品组合与设计</w:t>
      </w:r>
      <w:bookmarkEnd w:id="42"/>
    </w:p>
    <w:p w14:paraId="29D65112">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满足本土化需求是名创优品一贯奉行的追求，情绪消费是全球消费的一大特征，名创优品在实施本土化拓宽海外路径时候要利用好本土消费者的情绪。利用消费大数据精准把握各区域市场情绪偏好，将现有规模化制造优势转型为小批量、多款式的柔性生产能力，从而推动产品向定制化方向演进，进一步强化本土化战略。</w:t>
      </w:r>
    </w:p>
    <w:p w14:paraId="5C9BC5C0">
      <w:pPr>
        <w:pStyle w:val="16"/>
        <w:bidi w:val="0"/>
        <w:rPr>
          <w:rFonts w:hint="default"/>
          <w:lang w:val="en-US" w:eastAsia="zh-CN"/>
        </w:rPr>
      </w:pPr>
      <w:bookmarkStart w:id="43" w:name="_Toc11029"/>
      <w:r>
        <w:rPr>
          <w:rFonts w:hint="eastAsia"/>
          <w:lang w:val="en-US" w:eastAsia="zh-CN"/>
        </w:rPr>
        <w:t>5.1.3</w:t>
      </w:r>
      <w:r>
        <w:rPr>
          <w:rFonts w:hint="default"/>
          <w:lang w:val="en-US" w:eastAsia="zh-CN"/>
        </w:rPr>
        <w:t>加强数字化营销与品牌体验​​</w:t>
      </w:r>
      <w:bookmarkEnd w:id="43"/>
    </w:p>
    <w:p w14:paraId="2C7B50B9">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名创优品可整合全球社交媒体构建兼具统一性与区域差异的数字化营销体系，以此精准触达消费者情绪偏好与内容传播路径。在当地市场注册品牌官方社交媒体账号并采用本土化语言风格进行互动，例如适配加拿大简洁风格与泰国搞怪风格的差异化内容策略，以此提升品牌知名度与用户粘性。品牌可在核心商圈持续优化门店空间设计与主题陈列，将实体零售场景升级为融合消费体验与内容传播的沉浸式空间，从而强化品牌感知并提升整体消费体验。</w:t>
      </w:r>
    </w:p>
    <w:p w14:paraId="3C6D90D3">
      <w:pPr>
        <w:pStyle w:val="15"/>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lang w:val="en-US" w:eastAsia="zh-CN"/>
        </w:rPr>
      </w:pPr>
    </w:p>
    <w:p w14:paraId="1350C9B6">
      <w:pPr>
        <w:pStyle w:val="15"/>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lang w:val="en-US" w:eastAsia="zh-CN"/>
        </w:rPr>
      </w:pPr>
      <w:bookmarkStart w:id="44" w:name="_Toc905"/>
      <w:r>
        <w:rPr>
          <w:rFonts w:hint="default"/>
          <w:lang w:val="en-US" w:eastAsia="zh-CN"/>
        </w:rPr>
        <w:t>5.2强化文化认同与可持续价值的品牌国际化路径</w:t>
      </w:r>
      <w:bookmarkEnd w:id="44"/>
    </w:p>
    <w:p w14:paraId="7E82A43C">
      <w:pPr>
        <w:pStyle w:val="16"/>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lang w:val="en-US" w:eastAsia="zh-CN"/>
        </w:rPr>
      </w:pPr>
      <w:bookmarkStart w:id="45" w:name="_Toc278"/>
      <w:r>
        <w:rPr>
          <w:rFonts w:hint="eastAsia"/>
          <w:lang w:val="en-US" w:eastAsia="zh-CN"/>
        </w:rPr>
        <w:t>5.2.1中华文化赋能品牌身份</w:t>
      </w:r>
      <w:bookmarkEnd w:id="45"/>
    </w:p>
    <w:p w14:paraId="799640F2">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名创优品应在国际化营销中强化其中国品牌身份，通过融合中国设计语言与全球潮流输出兼具文化深度与现代审美的产品，以此打破海外市场对“中国制造”的固有认知，树立自主设计的国际化品牌形象。</w:t>
      </w:r>
    </w:p>
    <w:p w14:paraId="2C09C261">
      <w:pPr>
        <w:pStyle w:val="16"/>
        <w:bidi w:val="0"/>
        <w:rPr>
          <w:rFonts w:hint="eastAsia"/>
          <w:lang w:val="en-US" w:eastAsia="zh-CN"/>
        </w:rPr>
      </w:pPr>
      <w:bookmarkStart w:id="46" w:name="_Toc29153"/>
      <w:r>
        <w:rPr>
          <w:rFonts w:hint="eastAsia"/>
          <w:lang w:val="en-US" w:eastAsia="zh-CN"/>
        </w:rPr>
        <w:t>5.2.2本土化运营提升市场情感连接</w:t>
      </w:r>
      <w:bookmarkEnd w:id="46"/>
    </w:p>
    <w:p w14:paraId="019E07B1">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名创优品可以建立全球红人库，与各国的KOL和KOC们合作，借助他们的镜头和语言，把名创优品的理念和产品信息传递给更广泛的受众。从短期看，这种营销方式不仅节省成本，传播效率也更高，因为消费者在观看KOL和KOC的分享时，更容易被种草和产生购买欲望。从长期看，与各类KOL和KOC的合作更容易精准地把品牌影响力扩散到潜在目标客户群体中，这样的营销方式不仅时效性强，还能把KOL和KOC的影响力转化为品牌的追随者。</w:t>
      </w:r>
    </w:p>
    <w:p w14:paraId="300966AE">
      <w:pPr>
        <w:pStyle w:val="16"/>
        <w:bidi w:val="0"/>
        <w:rPr>
          <w:rFonts w:hint="eastAsia"/>
          <w:lang w:val="en-US" w:eastAsia="zh-CN"/>
        </w:rPr>
      </w:pPr>
      <w:bookmarkStart w:id="47" w:name="_Toc10392"/>
      <w:r>
        <w:rPr>
          <w:rFonts w:hint="eastAsia"/>
          <w:lang w:val="en-US" w:eastAsia="zh-CN"/>
        </w:rPr>
        <w:t>5.2.3 ESG价值传播拓展品牌国际认可度</w:t>
      </w:r>
      <w:bookmarkEnd w:id="47"/>
    </w:p>
    <w:p w14:paraId="0FE37536">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全球消费者和投资者对企业社会责任关注度日渐提升，ESG已逐渐成为衡量品牌长期价值的重要维度。名创优品应抓住这一机遇，将可持续发展理念通过“MINISO Green”等项目融入品牌叙事，借助环保材料与低碳供应链塑造负责任的全球化企业形象，以此吸引高价值观认同的年轻客群，从而提升其国际市场准入竞争力。</w:t>
      </w:r>
    </w:p>
    <w:p w14:paraId="0085172F">
      <w:pPr>
        <w:pStyle w:val="15"/>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lang w:val="en-US" w:eastAsia="zh-CN"/>
        </w:rPr>
      </w:pPr>
      <w:bookmarkStart w:id="48" w:name="_Toc22748"/>
      <w:r>
        <w:rPr>
          <w:rFonts w:hint="default"/>
          <w:lang w:val="en-US" w:eastAsia="zh-CN"/>
        </w:rPr>
        <w:t>5.3应对市场波动与地缘风险的协同策略</w:t>
      </w:r>
      <w:bookmarkEnd w:id="48"/>
    </w:p>
    <w:p w14:paraId="69208515">
      <w:pPr>
        <w:pStyle w:val="16"/>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lang w:val="en-US" w:eastAsia="zh-CN"/>
        </w:rPr>
      </w:pPr>
      <w:bookmarkStart w:id="49" w:name="_Toc15306"/>
      <w:r>
        <w:rPr>
          <w:rFonts w:hint="eastAsia"/>
          <w:lang w:val="en-US" w:eastAsia="zh-CN"/>
        </w:rPr>
        <w:t>5.3.1提升产品创新能力</w:t>
      </w:r>
      <w:bookmarkEnd w:id="49"/>
    </w:p>
    <w:p w14:paraId="6E1F41A7">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为了保持产品设计的时尚感，名创优品在全球雇用了 200 多个职业买手，专门负责捕捉全球各大品牌最前沿的时尚元素，再由公司设计团队将这些前沿元素经过修改，运用到产品的设计制造中，给消费者时尚前沿的购物体验</w:t>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REF _Ref26946 \r \h </w:instrText>
      </w:r>
      <w:r>
        <w:rPr>
          <w:rFonts w:hint="eastAsia" w:ascii="宋体" w:hAnsi="宋体" w:eastAsia="宋体" w:cs="宋体"/>
          <w:sz w:val="24"/>
          <w:szCs w:val="24"/>
          <w:vertAlign w:val="superscript"/>
          <w:lang w:val="en-US" w:eastAsia="zh-CN"/>
        </w:rPr>
        <w:fldChar w:fldCharType="separate"/>
      </w:r>
      <w:r>
        <w:rPr>
          <w:rFonts w:hint="eastAsia" w:ascii="宋体" w:hAnsi="宋体" w:eastAsia="宋体" w:cs="宋体"/>
          <w:sz w:val="24"/>
          <w:szCs w:val="24"/>
          <w:vertAlign w:val="superscript"/>
          <w:lang w:val="en-US" w:eastAsia="zh-CN"/>
        </w:rPr>
        <w:t>[11]</w:t>
      </w:r>
      <w:r>
        <w:rPr>
          <w:rFonts w:hint="eastAsia" w:ascii="宋体" w:hAnsi="宋体" w:eastAsia="宋体" w:cs="宋体"/>
          <w:sz w:val="24"/>
          <w:szCs w:val="24"/>
          <w:vertAlign w:val="superscript"/>
          <w:lang w:val="en-US" w:eastAsia="zh-CN"/>
        </w:rPr>
        <w:fldChar w:fldCharType="end"/>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针对Z世代审美快速变迁的特征，品牌需建立基于社交趋势监测的快速产品迭代机制，并通过授权与原创IP的多元布局分散单一IP热度下滑风险，从而构建动态市场响应优势。</w:t>
      </w:r>
    </w:p>
    <w:p w14:paraId="7C3564BD">
      <w:pPr>
        <w:pStyle w:val="16"/>
        <w:bidi w:val="0"/>
        <w:rPr>
          <w:rFonts w:hint="eastAsia"/>
          <w:lang w:val="en-US" w:eastAsia="zh-CN"/>
        </w:rPr>
      </w:pPr>
      <w:bookmarkStart w:id="50" w:name="_Toc9474"/>
      <w:r>
        <w:rPr>
          <w:rFonts w:hint="eastAsia"/>
          <w:lang w:val="en-US" w:eastAsia="zh-CN"/>
        </w:rPr>
        <w:t>5.3.2推动供应链区域多元化布局</w:t>
      </w:r>
      <w:bookmarkEnd w:id="50"/>
    </w:p>
    <w:p w14:paraId="65086131">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名创优品可在现有集中化供应体系基础上推动供应链区域多元化布局，通过在不同地区建立备选生产与物流节点来降低单一区域风险对整体运营的影响，同时加强对关键原材料、物流通道及核心市场的风险评估与预案管理，从而在突发冲击下维持运营连续性并减少对海外市场布局的负面影响。</w:t>
      </w:r>
    </w:p>
    <w:p w14:paraId="17E79989">
      <w:pPr>
        <w:pStyle w:val="14"/>
        <w:keepNext w:val="0"/>
        <w:keepLines w:val="0"/>
        <w:pageBreakBefore w:val="0"/>
        <w:kinsoku/>
        <w:wordWrap/>
        <w:overflowPunct/>
        <w:topLinePunct w:val="0"/>
        <w:autoSpaceDE/>
        <w:autoSpaceDN/>
        <w:bidi w:val="0"/>
        <w:adjustRightInd/>
        <w:snapToGrid/>
        <w:spacing w:beforeAutospacing="0" w:afterAutospacing="0" w:line="440" w:lineRule="exact"/>
        <w:textAlignment w:val="auto"/>
        <w:rPr>
          <w:rFonts w:hint="eastAsia"/>
          <w:lang w:val="en-US" w:eastAsia="zh-CN"/>
        </w:rPr>
        <w:sectPr>
          <w:footerReference r:id="rId6" w:type="default"/>
          <w:pgSz w:w="11906" w:h="16838"/>
          <w:pgMar w:top="1440" w:right="1800" w:bottom="1440" w:left="1800" w:header="851" w:footer="992" w:gutter="0"/>
          <w:pgNumType w:fmt="decimal" w:start="1"/>
          <w:cols w:space="425" w:num="1"/>
          <w:docGrid w:type="lines" w:linePitch="312" w:charSpace="0"/>
        </w:sectPr>
      </w:pPr>
    </w:p>
    <w:p w14:paraId="497DC6EE">
      <w:pPr>
        <w:pStyle w:val="14"/>
        <w:keepNext w:val="0"/>
        <w:keepLines w:val="0"/>
        <w:pageBreakBefore w:val="0"/>
        <w:kinsoku/>
        <w:wordWrap/>
        <w:overflowPunct/>
        <w:topLinePunct w:val="0"/>
        <w:autoSpaceDE/>
        <w:autoSpaceDN/>
        <w:bidi w:val="0"/>
        <w:adjustRightInd/>
        <w:snapToGrid/>
        <w:spacing w:beforeAutospacing="0" w:afterAutospacing="0" w:line="440" w:lineRule="exact"/>
        <w:textAlignment w:val="auto"/>
        <w:rPr>
          <w:rFonts w:hint="eastAsia"/>
          <w:lang w:val="en-US" w:eastAsia="zh-CN"/>
        </w:rPr>
      </w:pPr>
      <w:bookmarkStart w:id="51" w:name="_Toc11201"/>
      <w:r>
        <w:rPr>
          <w:rFonts w:hint="eastAsia"/>
          <w:lang w:val="en-US" w:eastAsia="zh-CN"/>
        </w:rPr>
        <w:t>结语</w:t>
      </w:r>
      <w:bookmarkEnd w:id="51"/>
    </w:p>
    <w:p w14:paraId="5137A993">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ind w:firstLine="480" w:firstLineChars="200"/>
        <w:textAlignment w:val="auto"/>
        <w:rPr>
          <w:rFonts w:hint="default"/>
          <w:lang w:val="en-US" w:eastAsia="zh-CN"/>
        </w:rPr>
      </w:pPr>
      <w:r>
        <w:rPr>
          <w:rFonts w:hint="default"/>
          <w:lang w:val="en-US" w:eastAsia="zh-CN"/>
        </w:rPr>
        <w:t>以“超级 IP、超级品类、超级门店”为载体，用“超级品牌”构建起“社会化内容生态”，名创优品改变了消费者对品牌的认识</w:t>
      </w:r>
      <w:r>
        <w:rPr>
          <w:rFonts w:hint="eastAsia"/>
          <w:lang w:val="en-US" w:eastAsia="zh-CN"/>
        </w:rPr>
        <w:t>。</w:t>
      </w:r>
      <w:r>
        <w:rPr>
          <w:rFonts w:hint="default"/>
          <w:lang w:val="en-US" w:eastAsia="zh-CN"/>
        </w:rPr>
        <w:t>名创优品的全球化进程代表了中国新消费品牌从产品输出向品牌输出的战略转型。该企业通过整合中国柔性供应链与全球顶级IP资源构建了兴趣消费驱动的差异化壁垒，其毛利率从2021年的25.8%稳步提升至2024年的44.1%。</w:t>
      </w:r>
      <w:r>
        <w:rPr>
          <w:rFonts w:hint="eastAsia"/>
          <w:lang w:val="en-US" w:eastAsia="zh-CN"/>
        </w:rPr>
        <w:t>研究认为名创优品的</w:t>
      </w:r>
      <w:r>
        <w:rPr>
          <w:rFonts w:hint="default"/>
          <w:lang w:val="en-US" w:eastAsia="zh-CN"/>
        </w:rPr>
        <w:t>核心竞争力本质</w:t>
      </w:r>
      <w:r>
        <w:rPr>
          <w:rFonts w:hint="eastAsia"/>
          <w:lang w:val="en-US" w:eastAsia="zh-CN"/>
        </w:rPr>
        <w:t>是</w:t>
      </w:r>
      <w:r>
        <w:rPr>
          <w:rFonts w:hint="default"/>
          <w:lang w:val="en-US" w:eastAsia="zh-CN"/>
        </w:rPr>
        <w:t>依托全球化扩张与本土化运营的高度协同，特别是凭借“五盘货”精细化管理及高比例的本土管理团队有效解决了跨文化经营适配问题。</w:t>
      </w:r>
    </w:p>
    <w:p w14:paraId="021F102B">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ind w:firstLine="480" w:firstLineChars="200"/>
        <w:textAlignment w:val="auto"/>
        <w:rPr>
          <w:rFonts w:hint="eastAsia"/>
          <w:lang w:val="en-US" w:eastAsia="zh-CN"/>
        </w:rPr>
        <w:sectPr>
          <w:pgSz w:w="11906" w:h="16838"/>
          <w:pgMar w:top="1440" w:right="1800" w:bottom="1440" w:left="1800" w:header="851" w:footer="992" w:gutter="0"/>
          <w:pgNumType w:fmt="decimal"/>
          <w:cols w:space="425" w:num="1"/>
          <w:docGrid w:type="lines" w:linePitch="312" w:charSpace="0"/>
        </w:sectPr>
      </w:pPr>
      <w:r>
        <w:rPr>
          <w:rFonts w:hint="default"/>
          <w:lang w:val="en-US" w:eastAsia="zh-CN"/>
        </w:rPr>
        <w:t>面对市场竞争加剧</w:t>
      </w:r>
      <w:r>
        <w:rPr>
          <w:rFonts w:hint="eastAsia"/>
          <w:lang w:val="en-US" w:eastAsia="zh-CN"/>
        </w:rPr>
        <w:t>、市场偏见及</w:t>
      </w:r>
      <w:r>
        <w:rPr>
          <w:rFonts w:hint="default"/>
          <w:lang w:val="en-US" w:eastAsia="zh-CN"/>
        </w:rPr>
        <w:t>地缘政治不确定性等挑战，名创优品需通过</w:t>
      </w:r>
      <w:r>
        <w:rPr>
          <w:rFonts w:hint="eastAsia"/>
          <w:lang w:val="en-US" w:eastAsia="zh-CN"/>
        </w:rPr>
        <w:t>差异化</w:t>
      </w:r>
      <w:r>
        <w:rPr>
          <w:rFonts w:hint="default"/>
          <w:lang w:val="en-US" w:eastAsia="zh-CN"/>
        </w:rPr>
        <w:t>、强化文化认同及推动供应链区域多元化来提升风险抵御能力并突破品牌溢价限制。</w:t>
      </w:r>
      <w:r>
        <w:rPr>
          <w:rFonts w:hint="eastAsia"/>
          <w:lang w:val="en-US" w:eastAsia="zh-CN"/>
        </w:rPr>
        <w:t>名创优品的</w:t>
      </w:r>
      <w:r>
        <w:rPr>
          <w:rFonts w:hint="default"/>
          <w:lang w:val="en-US" w:eastAsia="zh-CN"/>
        </w:rPr>
        <w:t>发展实践为中国零售企业</w:t>
      </w:r>
      <w:r>
        <w:rPr>
          <w:rFonts w:hint="eastAsia"/>
          <w:lang w:val="en-US" w:eastAsia="zh-CN"/>
        </w:rPr>
        <w:t>平衡</w:t>
      </w:r>
      <w:r>
        <w:rPr>
          <w:rFonts w:hint="default"/>
          <w:lang w:val="en-US" w:eastAsia="zh-CN"/>
        </w:rPr>
        <w:t>规模扩张与经营韧性提供了参照，未来应持续推动从渠道驱动向价值驱动的战略深化。</w:t>
      </w:r>
    </w:p>
    <w:p w14:paraId="70160631">
      <w:pPr>
        <w:pStyle w:val="14"/>
        <w:keepNext w:val="0"/>
        <w:keepLines w:val="0"/>
        <w:pageBreakBefore w:val="0"/>
        <w:widowControl w:val="0"/>
        <w:kinsoku/>
        <w:overflowPunct/>
        <w:topLinePunct w:val="0"/>
        <w:autoSpaceDE/>
        <w:autoSpaceDN/>
        <w:bidi w:val="0"/>
        <w:adjustRightInd/>
        <w:snapToGrid/>
        <w:spacing w:line="360" w:lineRule="exact"/>
        <w:textAlignment w:val="auto"/>
        <w:rPr>
          <w:rFonts w:hint="default"/>
          <w:lang w:val="en-US" w:eastAsia="zh-CN"/>
        </w:rPr>
      </w:pPr>
      <w:bookmarkStart w:id="52" w:name="_Toc9986"/>
      <w:r>
        <w:rPr>
          <w:rFonts w:hint="eastAsia"/>
          <w:lang w:val="en-US" w:eastAsia="zh-CN"/>
        </w:rPr>
        <w:t>参考文献</w:t>
      </w:r>
      <w:bookmarkEnd w:id="52"/>
    </w:p>
    <w:p w14:paraId="02DDC02D">
      <w:pPr>
        <w:keepNext w:val="0"/>
        <w:keepLines w:val="0"/>
        <w:pageBreakBefore w:val="0"/>
        <w:widowControl w:val="0"/>
        <w:numPr>
          <w:ilvl w:val="0"/>
          <w:numId w:val="2"/>
        </w:numPr>
        <w:kinsoku/>
        <w:wordWrap w:val="0"/>
        <w:overflowPunct/>
        <w:topLinePunct w:val="0"/>
        <w:autoSpaceDE/>
        <w:autoSpaceDN/>
        <w:bidi w:val="0"/>
        <w:adjustRightInd/>
        <w:snapToGrid/>
        <w:spacing w:line="360" w:lineRule="exact"/>
        <w:jc w:val="both"/>
        <w:textAlignment w:val="auto"/>
        <w:rPr>
          <w:rFonts w:hint="default" w:ascii="Times New Roman" w:hAnsi="Times New Roman" w:eastAsia="宋体" w:cs="宋体"/>
          <w:sz w:val="21"/>
          <w:szCs w:val="24"/>
          <w:lang w:val="en-US" w:eastAsia="zh-CN"/>
        </w:rPr>
      </w:pPr>
      <w:bookmarkStart w:id="53" w:name="_Ref21723"/>
      <w:r>
        <w:rPr>
          <w:rFonts w:hint="default" w:ascii="Times New Roman" w:hAnsi="Times New Roman" w:eastAsia="宋体" w:cs="宋体"/>
          <w:sz w:val="21"/>
          <w:szCs w:val="24"/>
          <w:lang w:val="en-US" w:eastAsia="zh-CN"/>
        </w:rPr>
        <w:t>隆汇.中国品牌出海，名创优品打破“不可能三角”[EB/OL].</w:t>
      </w:r>
      <w:r>
        <w:rPr>
          <w:rFonts w:hint="eastAsia" w:ascii="Times New Roman" w:hAnsi="Times New Roman" w:eastAsia="宋体" w:cs="宋体"/>
          <w:sz w:val="21"/>
          <w:szCs w:val="24"/>
          <w:lang w:val="en-US" w:eastAsia="zh-CN"/>
        </w:rPr>
        <w:t>[</w:t>
      </w:r>
      <w:r>
        <w:rPr>
          <w:rFonts w:hint="default" w:ascii="Times New Roman" w:hAnsi="Times New Roman" w:eastAsia="宋体" w:cs="宋体"/>
          <w:sz w:val="21"/>
          <w:szCs w:val="24"/>
          <w:lang w:val="en-US" w:eastAsia="zh-CN"/>
        </w:rPr>
        <w:t>2023-05-25</w:t>
      </w:r>
      <w:r>
        <w:rPr>
          <w:rFonts w:hint="eastAsia" w:ascii="Times New Roman" w:hAnsi="Times New Roman" w:eastAsia="宋体" w:cs="宋体"/>
          <w:sz w:val="21"/>
          <w:szCs w:val="24"/>
          <w:lang w:val="en-US" w:eastAsia="zh-CN"/>
        </w:rPr>
        <w:t>]</w:t>
      </w:r>
      <w:r>
        <w:rPr>
          <w:rFonts w:hint="default" w:ascii="Times New Roman" w:hAnsi="Times New Roman" w:eastAsia="宋体" w:cs="宋体"/>
          <w:sz w:val="21"/>
          <w:szCs w:val="24"/>
          <w:lang w:val="en-US" w:eastAsia="zh-CN"/>
        </w:rPr>
        <w:t>.https://baijiahao.baidu.com/s?id=1766857137161895667&amp;wfr=spider&amp;for=pc.</w:t>
      </w:r>
      <w:bookmarkEnd w:id="53"/>
    </w:p>
    <w:p w14:paraId="5638822A">
      <w:pPr>
        <w:keepNext w:val="0"/>
        <w:keepLines w:val="0"/>
        <w:pageBreakBefore w:val="0"/>
        <w:widowControl w:val="0"/>
        <w:numPr>
          <w:ilvl w:val="0"/>
          <w:numId w:val="2"/>
        </w:numPr>
        <w:kinsoku/>
        <w:wordWrap w:val="0"/>
        <w:overflowPunct/>
        <w:topLinePunct w:val="0"/>
        <w:autoSpaceDE/>
        <w:autoSpaceDN/>
        <w:bidi w:val="0"/>
        <w:adjustRightInd/>
        <w:snapToGrid/>
        <w:spacing w:line="360" w:lineRule="exact"/>
        <w:jc w:val="both"/>
        <w:textAlignment w:val="auto"/>
        <w:rPr>
          <w:rFonts w:hint="default" w:ascii="Times New Roman" w:hAnsi="Times New Roman" w:eastAsia="宋体" w:cs="宋体"/>
          <w:sz w:val="21"/>
          <w:szCs w:val="24"/>
          <w:lang w:val="en-US" w:eastAsia="zh-CN"/>
        </w:rPr>
      </w:pPr>
      <w:bookmarkStart w:id="54" w:name="_Ref23644"/>
      <w:r>
        <w:rPr>
          <w:rFonts w:hint="default" w:ascii="Times New Roman" w:hAnsi="Times New Roman" w:eastAsia="宋体" w:cs="宋体"/>
          <w:sz w:val="21"/>
          <w:szCs w:val="24"/>
          <w:lang w:val="en-US" w:eastAsia="zh-CN"/>
        </w:rPr>
        <w:t xml:space="preserve">Sari Nurasyiah M, Savitri C, Pramudita Faddila S. The Influence </w:t>
      </w:r>
      <w:bookmarkEnd w:id="54"/>
    </w:p>
    <w:p w14:paraId="1970C1E2">
      <w:pPr>
        <w:keepNext w:val="0"/>
        <w:keepLines w:val="0"/>
        <w:pageBreakBefore w:val="0"/>
        <w:widowControl w:val="0"/>
        <w:numPr>
          <w:ilvl w:val="0"/>
          <w:numId w:val="0"/>
        </w:numPr>
        <w:kinsoku/>
        <w:wordWrap w:val="0"/>
        <w:overflowPunct/>
        <w:topLinePunct w:val="0"/>
        <w:autoSpaceDE/>
        <w:autoSpaceDN/>
        <w:bidi w:val="0"/>
        <w:adjustRightInd/>
        <w:snapToGrid/>
        <w:spacing w:line="360" w:lineRule="exact"/>
        <w:jc w:val="both"/>
        <w:textAlignment w:val="auto"/>
        <w:rPr>
          <w:rFonts w:hint="default" w:ascii="Times New Roman" w:hAnsi="Times New Roman" w:eastAsia="宋体" w:cs="宋体"/>
          <w:sz w:val="21"/>
          <w:szCs w:val="24"/>
          <w:lang w:val="en-US" w:eastAsia="zh-CN"/>
        </w:rPr>
      </w:pPr>
      <w:r>
        <w:rPr>
          <w:rFonts w:hint="default" w:ascii="Times New Roman" w:hAnsi="Times New Roman" w:eastAsia="宋体" w:cs="宋体"/>
          <w:sz w:val="21"/>
          <w:szCs w:val="24"/>
          <w:lang w:val="en-US" w:eastAsia="zh-CN"/>
        </w:rPr>
        <w:t xml:space="preserve">of Product Diversity and Product Quality on Purchasing Decisions at </w:t>
      </w:r>
    </w:p>
    <w:p w14:paraId="44547F04">
      <w:pPr>
        <w:keepNext w:val="0"/>
        <w:keepLines w:val="0"/>
        <w:pageBreakBefore w:val="0"/>
        <w:widowControl w:val="0"/>
        <w:numPr>
          <w:ilvl w:val="0"/>
          <w:numId w:val="0"/>
        </w:numPr>
        <w:kinsoku/>
        <w:wordWrap w:val="0"/>
        <w:overflowPunct/>
        <w:topLinePunct w:val="0"/>
        <w:autoSpaceDE/>
        <w:autoSpaceDN/>
        <w:bidi w:val="0"/>
        <w:adjustRightInd/>
        <w:snapToGrid/>
        <w:spacing w:line="360" w:lineRule="exact"/>
        <w:jc w:val="both"/>
        <w:textAlignment w:val="auto"/>
        <w:rPr>
          <w:rFonts w:hint="default" w:ascii="Times New Roman" w:hAnsi="Times New Roman" w:eastAsia="宋体" w:cs="宋体"/>
          <w:sz w:val="21"/>
          <w:szCs w:val="24"/>
          <w:lang w:val="en-US" w:eastAsia="zh-CN"/>
        </w:rPr>
      </w:pPr>
      <w:r>
        <w:rPr>
          <w:rFonts w:hint="default" w:ascii="Times New Roman" w:hAnsi="Times New Roman" w:eastAsia="宋体" w:cs="宋体"/>
          <w:sz w:val="21"/>
          <w:szCs w:val="24"/>
          <w:lang w:val="en-US" w:eastAsia="zh-CN"/>
        </w:rPr>
        <w:t xml:space="preserve">Miniso Resinda Park Mall Karawang [J]. Primanomics : Jurnal Ekonomi &amp;amp; Bisnis, </w:t>
      </w:r>
    </w:p>
    <w:p w14:paraId="4F607C72">
      <w:pPr>
        <w:keepNext w:val="0"/>
        <w:keepLines w:val="0"/>
        <w:pageBreakBefore w:val="0"/>
        <w:widowControl w:val="0"/>
        <w:numPr>
          <w:ilvl w:val="0"/>
          <w:numId w:val="0"/>
        </w:numPr>
        <w:kinsoku/>
        <w:wordWrap w:val="0"/>
        <w:overflowPunct/>
        <w:topLinePunct w:val="0"/>
        <w:autoSpaceDE/>
        <w:autoSpaceDN/>
        <w:bidi w:val="0"/>
        <w:adjustRightInd/>
        <w:snapToGrid/>
        <w:spacing w:line="360" w:lineRule="exact"/>
        <w:jc w:val="both"/>
        <w:textAlignment w:val="auto"/>
        <w:rPr>
          <w:rFonts w:hint="default" w:ascii="Times New Roman" w:hAnsi="Times New Roman" w:eastAsia="宋体" w:cs="宋体"/>
          <w:sz w:val="21"/>
          <w:szCs w:val="24"/>
          <w:lang w:val="en-US" w:eastAsia="zh-CN"/>
        </w:rPr>
      </w:pPr>
      <w:r>
        <w:rPr>
          <w:rFonts w:hint="default" w:ascii="Times New Roman" w:hAnsi="Times New Roman" w:eastAsia="宋体" w:cs="宋体"/>
          <w:sz w:val="21"/>
          <w:szCs w:val="24"/>
          <w:lang w:val="en-US" w:eastAsia="zh-CN"/>
        </w:rPr>
        <w:t>2024, 22(3): 11–23.</w:t>
      </w:r>
    </w:p>
    <w:p w14:paraId="0638DAC3">
      <w:pPr>
        <w:keepNext w:val="0"/>
        <w:keepLines w:val="0"/>
        <w:pageBreakBefore w:val="0"/>
        <w:widowControl w:val="0"/>
        <w:numPr>
          <w:ilvl w:val="0"/>
          <w:numId w:val="2"/>
        </w:numPr>
        <w:kinsoku/>
        <w:wordWrap w:val="0"/>
        <w:overflowPunct/>
        <w:topLinePunct w:val="0"/>
        <w:autoSpaceDE/>
        <w:autoSpaceDN/>
        <w:bidi w:val="0"/>
        <w:adjustRightInd/>
        <w:snapToGrid/>
        <w:spacing w:line="360" w:lineRule="exact"/>
        <w:jc w:val="both"/>
        <w:textAlignment w:val="auto"/>
        <w:rPr>
          <w:rFonts w:hint="default" w:ascii="Times New Roman" w:hAnsi="Times New Roman" w:eastAsia="宋体" w:cs="宋体"/>
          <w:sz w:val="21"/>
          <w:szCs w:val="24"/>
          <w:lang w:val="en-US" w:eastAsia="zh-CN"/>
        </w:rPr>
      </w:pPr>
      <w:bookmarkStart w:id="55" w:name="_Ref23811"/>
      <w:r>
        <w:rPr>
          <w:rFonts w:hint="default" w:ascii="Times New Roman" w:hAnsi="Times New Roman" w:eastAsia="宋体" w:cs="宋体"/>
          <w:sz w:val="21"/>
          <w:szCs w:val="24"/>
          <w:lang w:val="en-US" w:eastAsia="zh-CN"/>
        </w:rPr>
        <w:t>林之柏.名创优品联名《黑神话：悟空》：文化出海的新解法？[J].企业观察家,2025,(01):40-43.</w:t>
      </w:r>
      <w:bookmarkEnd w:id="55"/>
    </w:p>
    <w:p w14:paraId="1FF55B89">
      <w:pPr>
        <w:keepNext w:val="0"/>
        <w:keepLines w:val="0"/>
        <w:pageBreakBefore w:val="0"/>
        <w:widowControl w:val="0"/>
        <w:numPr>
          <w:ilvl w:val="0"/>
          <w:numId w:val="2"/>
        </w:numPr>
        <w:kinsoku/>
        <w:wordWrap w:val="0"/>
        <w:overflowPunct/>
        <w:topLinePunct w:val="0"/>
        <w:autoSpaceDE/>
        <w:autoSpaceDN/>
        <w:bidi w:val="0"/>
        <w:adjustRightInd/>
        <w:snapToGrid/>
        <w:spacing w:line="360" w:lineRule="exact"/>
        <w:jc w:val="both"/>
        <w:textAlignment w:val="auto"/>
        <w:rPr>
          <w:rFonts w:hint="default" w:ascii="Times New Roman" w:hAnsi="Times New Roman" w:eastAsia="宋体" w:cs="宋体"/>
          <w:sz w:val="21"/>
          <w:szCs w:val="24"/>
          <w:lang w:val="en-US" w:eastAsia="zh-CN"/>
        </w:rPr>
      </w:pPr>
      <w:bookmarkStart w:id="56" w:name="_Ref24004"/>
      <w:r>
        <w:rPr>
          <w:rFonts w:hint="default" w:ascii="Times New Roman" w:hAnsi="Times New Roman" w:eastAsia="宋体" w:cs="宋体"/>
          <w:sz w:val="21"/>
          <w:szCs w:val="24"/>
          <w:lang w:val="en-US" w:eastAsia="zh-CN"/>
        </w:rPr>
        <w:t>李木木.名创优品是怎么做出海本地化的.[EB/OL].[2024-09-14</w:t>
      </w:r>
      <w:r>
        <w:rPr>
          <w:rFonts w:hint="eastAsia" w:ascii="Times New Roman" w:hAnsi="Times New Roman" w:eastAsia="宋体" w:cs="宋体"/>
          <w:sz w:val="21"/>
          <w:szCs w:val="24"/>
          <w:lang w:val="en-US" w:eastAsia="zh-CN"/>
        </w:rPr>
        <w:t>]</w:t>
      </w:r>
      <w:r>
        <w:rPr>
          <w:rFonts w:hint="default" w:ascii="Times New Roman" w:hAnsi="Times New Roman" w:eastAsia="宋体" w:cs="宋体"/>
          <w:sz w:val="21"/>
          <w:szCs w:val="24"/>
          <w:lang w:val="en-US" w:eastAsia="zh-CN"/>
        </w:rPr>
        <w:t>.https://mp.weixin.qq.com/s/A4LZ6NJzSKy7CN7j13aDhw.</w:t>
      </w:r>
      <w:bookmarkEnd w:id="56"/>
    </w:p>
    <w:p w14:paraId="599CB837">
      <w:pPr>
        <w:keepNext w:val="0"/>
        <w:keepLines w:val="0"/>
        <w:pageBreakBefore w:val="0"/>
        <w:widowControl w:val="0"/>
        <w:numPr>
          <w:ilvl w:val="0"/>
          <w:numId w:val="2"/>
        </w:numPr>
        <w:kinsoku/>
        <w:wordWrap w:val="0"/>
        <w:overflowPunct/>
        <w:topLinePunct w:val="0"/>
        <w:autoSpaceDE/>
        <w:autoSpaceDN/>
        <w:bidi w:val="0"/>
        <w:adjustRightInd/>
        <w:snapToGrid/>
        <w:spacing w:line="360" w:lineRule="exact"/>
        <w:jc w:val="both"/>
        <w:textAlignment w:val="auto"/>
        <w:rPr>
          <w:rFonts w:hint="default" w:ascii="Times New Roman" w:hAnsi="Times New Roman" w:eastAsia="宋体" w:cs="宋体"/>
          <w:sz w:val="21"/>
          <w:szCs w:val="24"/>
          <w:lang w:val="en-US" w:eastAsia="zh-CN"/>
        </w:rPr>
      </w:pPr>
      <w:bookmarkStart w:id="57" w:name="_Ref25326"/>
      <w:r>
        <w:rPr>
          <w:rFonts w:hint="eastAsia" w:ascii="Times New Roman" w:hAnsi="Times New Roman" w:eastAsia="宋体"/>
          <w:sz w:val="21"/>
        </w:rPr>
        <w:t>高静依.专访名创优品刘晓彬——美国市场的增长“秘密”，藏在“超级品牌”的战略里[J].国际品牌观察,2024,(11):37-40.</w:t>
      </w:r>
      <w:bookmarkEnd w:id="57"/>
    </w:p>
    <w:p w14:paraId="2D877A18">
      <w:pPr>
        <w:keepNext w:val="0"/>
        <w:keepLines w:val="0"/>
        <w:pageBreakBefore w:val="0"/>
        <w:widowControl w:val="0"/>
        <w:numPr>
          <w:ilvl w:val="0"/>
          <w:numId w:val="2"/>
        </w:numPr>
        <w:kinsoku/>
        <w:wordWrap w:val="0"/>
        <w:overflowPunct/>
        <w:topLinePunct w:val="0"/>
        <w:autoSpaceDE/>
        <w:autoSpaceDN/>
        <w:bidi w:val="0"/>
        <w:adjustRightInd/>
        <w:snapToGrid/>
        <w:spacing w:line="360" w:lineRule="exact"/>
        <w:jc w:val="both"/>
        <w:textAlignment w:val="auto"/>
        <w:rPr>
          <w:rFonts w:hint="default" w:ascii="Times New Roman" w:hAnsi="Times New Roman" w:eastAsia="宋体" w:cs="宋体"/>
          <w:sz w:val="21"/>
          <w:szCs w:val="24"/>
          <w:lang w:val="en-US" w:eastAsia="zh-CN"/>
        </w:rPr>
      </w:pPr>
      <w:r>
        <w:rPr>
          <w:rFonts w:hint="default" w:ascii="Times New Roman" w:hAnsi="Times New Roman" w:eastAsia="宋体" w:cs="宋体"/>
          <w:sz w:val="21"/>
          <w:szCs w:val="24"/>
          <w:lang w:val="en-US" w:eastAsia="zh-CN"/>
        </w:rPr>
        <w:t>石海娥.名创优品：“十元店”华丽转身[J].光彩,2023,(02):26-27.</w:t>
      </w:r>
    </w:p>
    <w:p w14:paraId="39049AE6">
      <w:pPr>
        <w:keepNext w:val="0"/>
        <w:keepLines w:val="0"/>
        <w:pageBreakBefore w:val="0"/>
        <w:widowControl w:val="0"/>
        <w:numPr>
          <w:ilvl w:val="0"/>
          <w:numId w:val="2"/>
        </w:numPr>
        <w:kinsoku/>
        <w:wordWrap w:val="0"/>
        <w:overflowPunct/>
        <w:topLinePunct w:val="0"/>
        <w:autoSpaceDE/>
        <w:autoSpaceDN/>
        <w:bidi w:val="0"/>
        <w:adjustRightInd/>
        <w:snapToGrid/>
        <w:spacing w:line="360" w:lineRule="exact"/>
        <w:jc w:val="both"/>
        <w:textAlignment w:val="auto"/>
        <w:rPr>
          <w:rFonts w:hint="default" w:ascii="Times New Roman" w:hAnsi="Times New Roman" w:eastAsia="宋体" w:cs="宋体"/>
          <w:sz w:val="21"/>
          <w:szCs w:val="24"/>
          <w:lang w:val="en-US" w:eastAsia="zh-CN"/>
        </w:rPr>
      </w:pPr>
      <w:r>
        <w:rPr>
          <w:rFonts w:hint="default" w:ascii="Times New Roman" w:hAnsi="Times New Roman" w:eastAsia="宋体" w:cs="宋体"/>
          <w:sz w:val="21"/>
          <w:szCs w:val="24"/>
          <w:lang w:val="en-US" w:eastAsia="zh-CN"/>
        </w:rPr>
        <w:t>谢林祁.名创优品：如何讲好中国品牌出海故事？[EB/OL].[2024-06-06</w:t>
      </w:r>
      <w:r>
        <w:rPr>
          <w:rFonts w:hint="eastAsia" w:ascii="Times New Roman" w:hAnsi="Times New Roman" w:eastAsia="宋体" w:cs="宋体"/>
          <w:sz w:val="21"/>
          <w:szCs w:val="24"/>
          <w:lang w:val="en-US" w:eastAsia="zh-CN"/>
        </w:rPr>
        <w:t>]</w:t>
      </w:r>
      <w:r>
        <w:rPr>
          <w:rFonts w:hint="default" w:ascii="Times New Roman" w:hAnsi="Times New Roman" w:eastAsia="宋体" w:cs="宋体"/>
          <w:sz w:val="21"/>
          <w:szCs w:val="24"/>
          <w:lang w:val="en-US" w:eastAsia="zh-CN"/>
        </w:rPr>
        <w:t>.</w:t>
      </w:r>
      <w:r>
        <w:rPr>
          <w:rFonts w:hint="default" w:ascii="Times New Roman" w:hAnsi="Times New Roman" w:eastAsia="宋体" w:cs="宋体"/>
          <w:sz w:val="21"/>
          <w:szCs w:val="24"/>
          <w:lang w:val="en-US" w:eastAsia="zh-CN"/>
        </w:rPr>
        <w:fldChar w:fldCharType="begin"/>
      </w:r>
      <w:r>
        <w:rPr>
          <w:rFonts w:hint="default" w:ascii="Times New Roman" w:hAnsi="Times New Roman" w:eastAsia="宋体" w:cs="宋体"/>
          <w:sz w:val="21"/>
          <w:szCs w:val="24"/>
          <w:lang w:val="en-US" w:eastAsia="zh-CN"/>
        </w:rPr>
        <w:instrText xml:space="preserve"> HYPERLINK "https://mp.weixin.qq.com/s/xE7wXG7vAuAomXgFuGHxmg." </w:instrText>
      </w:r>
      <w:r>
        <w:rPr>
          <w:rFonts w:hint="default" w:ascii="Times New Roman" w:hAnsi="Times New Roman" w:eastAsia="宋体" w:cs="宋体"/>
          <w:sz w:val="21"/>
          <w:szCs w:val="24"/>
          <w:lang w:val="en-US" w:eastAsia="zh-CN"/>
        </w:rPr>
        <w:fldChar w:fldCharType="separate"/>
      </w:r>
      <w:r>
        <w:rPr>
          <w:rStyle w:val="11"/>
          <w:rFonts w:hint="default" w:ascii="Times New Roman" w:hAnsi="Times New Roman" w:eastAsia="宋体" w:cs="宋体"/>
          <w:sz w:val="21"/>
          <w:szCs w:val="24"/>
          <w:lang w:val="en-US" w:eastAsia="zh-CN"/>
        </w:rPr>
        <w:t>https://mp.weixin.qq.com/s/xE7wXG7vAuAomXgFuGHxmg.</w:t>
      </w:r>
      <w:r>
        <w:rPr>
          <w:rFonts w:hint="default" w:ascii="Times New Roman" w:hAnsi="Times New Roman" w:eastAsia="宋体" w:cs="宋体"/>
          <w:sz w:val="21"/>
          <w:szCs w:val="24"/>
          <w:lang w:val="en-US" w:eastAsia="zh-CN"/>
        </w:rPr>
        <w:fldChar w:fldCharType="end"/>
      </w:r>
    </w:p>
    <w:p w14:paraId="0B7AC258">
      <w:pPr>
        <w:keepNext w:val="0"/>
        <w:keepLines w:val="0"/>
        <w:pageBreakBefore w:val="0"/>
        <w:widowControl w:val="0"/>
        <w:numPr>
          <w:ilvl w:val="0"/>
          <w:numId w:val="2"/>
        </w:numPr>
        <w:kinsoku/>
        <w:wordWrap w:val="0"/>
        <w:overflowPunct/>
        <w:topLinePunct w:val="0"/>
        <w:autoSpaceDE/>
        <w:autoSpaceDN/>
        <w:bidi w:val="0"/>
        <w:adjustRightInd/>
        <w:snapToGrid/>
        <w:spacing w:line="360" w:lineRule="exact"/>
        <w:jc w:val="both"/>
        <w:textAlignment w:val="auto"/>
        <w:rPr>
          <w:rFonts w:hint="default" w:ascii="Times New Roman" w:hAnsi="Times New Roman" w:eastAsia="宋体" w:cs="宋体"/>
          <w:sz w:val="21"/>
          <w:szCs w:val="24"/>
          <w:lang w:val="en-US" w:eastAsia="zh-CN"/>
        </w:rPr>
      </w:pPr>
      <w:bookmarkStart w:id="58" w:name="_Ref26103"/>
      <w:r>
        <w:rPr>
          <w:rFonts w:hint="default" w:ascii="Times New Roman" w:hAnsi="Times New Roman" w:eastAsia="宋体" w:cs="宋体"/>
          <w:sz w:val="21"/>
          <w:szCs w:val="24"/>
          <w:lang w:val="en-US" w:eastAsia="zh-CN"/>
        </w:rPr>
        <w:t>胡柔妮，蒋守渭 . 电商冲击下实体零售的消费者需求和经营策略分析：以名创优品为例 [J]. 现代经济 信息，2019（22）：302-303.</w:t>
      </w:r>
      <w:bookmarkEnd w:id="58"/>
    </w:p>
    <w:p w14:paraId="55157A1D">
      <w:pPr>
        <w:keepNext w:val="0"/>
        <w:keepLines w:val="0"/>
        <w:pageBreakBefore w:val="0"/>
        <w:widowControl w:val="0"/>
        <w:numPr>
          <w:ilvl w:val="0"/>
          <w:numId w:val="2"/>
        </w:numPr>
        <w:kinsoku/>
        <w:wordWrap w:val="0"/>
        <w:overflowPunct/>
        <w:topLinePunct w:val="0"/>
        <w:autoSpaceDE/>
        <w:autoSpaceDN/>
        <w:bidi w:val="0"/>
        <w:adjustRightInd/>
        <w:snapToGrid/>
        <w:spacing w:line="360" w:lineRule="exact"/>
        <w:jc w:val="both"/>
        <w:textAlignment w:val="auto"/>
        <w:rPr>
          <w:rFonts w:hint="default" w:ascii="Times New Roman" w:hAnsi="Times New Roman" w:eastAsia="宋体" w:cs="宋体"/>
          <w:sz w:val="21"/>
          <w:szCs w:val="24"/>
          <w:lang w:val="en-US" w:eastAsia="zh-CN"/>
        </w:rPr>
      </w:pPr>
      <w:bookmarkStart w:id="59" w:name="_Ref24356"/>
      <w:r>
        <w:rPr>
          <w:rFonts w:hint="default" w:ascii="Times New Roman" w:hAnsi="Times New Roman" w:eastAsia="宋体" w:cs="宋体"/>
          <w:sz w:val="21"/>
          <w:szCs w:val="24"/>
          <w:lang w:val="en-US" w:eastAsia="zh-CN"/>
        </w:rPr>
        <w:t>张楚佳,李杨.名创优品：以IP联名打开年轻消费者心门[J].国际公关,2025,(19):81-83.</w:t>
      </w:r>
      <w:bookmarkEnd w:id="59"/>
    </w:p>
    <w:p w14:paraId="3D0F7E73">
      <w:pPr>
        <w:keepNext w:val="0"/>
        <w:keepLines w:val="0"/>
        <w:pageBreakBefore w:val="0"/>
        <w:widowControl w:val="0"/>
        <w:numPr>
          <w:ilvl w:val="0"/>
          <w:numId w:val="2"/>
        </w:numPr>
        <w:kinsoku/>
        <w:wordWrap w:val="0"/>
        <w:overflowPunct/>
        <w:topLinePunct w:val="0"/>
        <w:autoSpaceDE/>
        <w:autoSpaceDN/>
        <w:bidi w:val="0"/>
        <w:adjustRightInd/>
        <w:snapToGrid/>
        <w:spacing w:line="360" w:lineRule="exact"/>
        <w:jc w:val="both"/>
        <w:textAlignment w:val="auto"/>
        <w:rPr>
          <w:rFonts w:hint="default" w:ascii="Times New Roman" w:hAnsi="Times New Roman" w:eastAsia="宋体" w:cs="宋体"/>
          <w:sz w:val="21"/>
          <w:szCs w:val="24"/>
          <w:lang w:val="en-US" w:eastAsia="zh-CN"/>
        </w:rPr>
      </w:pPr>
      <w:bookmarkStart w:id="60" w:name="_Ref26466"/>
      <w:r>
        <w:rPr>
          <w:rFonts w:hint="default" w:ascii="Times New Roman" w:hAnsi="Times New Roman" w:eastAsia="宋体" w:cs="宋体"/>
          <w:sz w:val="21"/>
          <w:szCs w:val="24"/>
          <w:lang w:val="en-US" w:eastAsia="zh-CN"/>
        </w:rPr>
        <w:t>董璐燕，朱烨丹 . 数字化转型对零售企业经营绩效的影响：渠道集中度视角 [J]. 商业经济研究，2022 （4）：26-29.</w:t>
      </w:r>
      <w:bookmarkEnd w:id="60"/>
    </w:p>
    <w:p w14:paraId="5030682C">
      <w:pPr>
        <w:keepNext w:val="0"/>
        <w:keepLines w:val="0"/>
        <w:pageBreakBefore w:val="0"/>
        <w:widowControl w:val="0"/>
        <w:numPr>
          <w:ilvl w:val="0"/>
          <w:numId w:val="2"/>
        </w:numPr>
        <w:kinsoku/>
        <w:wordWrap w:val="0"/>
        <w:overflowPunct/>
        <w:topLinePunct w:val="0"/>
        <w:autoSpaceDE/>
        <w:autoSpaceDN/>
        <w:bidi w:val="0"/>
        <w:adjustRightInd/>
        <w:snapToGrid/>
        <w:spacing w:line="360" w:lineRule="exact"/>
        <w:jc w:val="both"/>
        <w:textAlignment w:val="auto"/>
        <w:rPr>
          <w:rFonts w:hint="default" w:ascii="Times New Roman" w:hAnsi="Times New Roman" w:eastAsia="宋体" w:cs="宋体"/>
          <w:sz w:val="21"/>
          <w:szCs w:val="24"/>
          <w:lang w:val="en-US" w:eastAsia="zh-CN"/>
        </w:rPr>
      </w:pPr>
      <w:bookmarkStart w:id="61" w:name="_Ref26946"/>
      <w:r>
        <w:rPr>
          <w:rFonts w:hint="default" w:ascii="Times New Roman" w:hAnsi="Times New Roman" w:eastAsia="宋体" w:cs="宋体"/>
          <w:sz w:val="21"/>
          <w:szCs w:val="24"/>
          <w:lang w:val="en-US" w:eastAsia="zh-CN"/>
        </w:rPr>
        <w:t>解学梅,刘晓杰.本土跨国公司创新生态网络位置关系对创新生态位适宜度影响机理研究[J].管理评论,2025,37(12):106-120.</w:t>
      </w:r>
      <w:bookmarkEnd w:id="61"/>
    </w:p>
    <w:p w14:paraId="36F134C3">
      <w:pPr>
        <w:keepNext w:val="0"/>
        <w:keepLines w:val="0"/>
        <w:pageBreakBefore w:val="0"/>
        <w:widowControl w:val="0"/>
        <w:numPr>
          <w:ilvl w:val="0"/>
          <w:numId w:val="2"/>
        </w:numPr>
        <w:kinsoku/>
        <w:wordWrap w:val="0"/>
        <w:overflowPunct/>
        <w:topLinePunct w:val="0"/>
        <w:autoSpaceDE/>
        <w:autoSpaceDN/>
        <w:bidi w:val="0"/>
        <w:adjustRightInd/>
        <w:snapToGrid/>
        <w:spacing w:line="360" w:lineRule="exact"/>
        <w:jc w:val="both"/>
        <w:textAlignment w:val="auto"/>
        <w:rPr>
          <w:rFonts w:hint="default" w:ascii="Times New Roman" w:hAnsi="Times New Roman" w:eastAsia="宋体" w:cs="宋体"/>
          <w:sz w:val="21"/>
          <w:szCs w:val="24"/>
          <w:lang w:val="en-US" w:eastAsia="zh-CN"/>
        </w:rPr>
      </w:pPr>
      <w:r>
        <w:rPr>
          <w:rFonts w:hint="default" w:ascii="Times New Roman" w:hAnsi="Times New Roman" w:eastAsia="宋体" w:cs="宋体"/>
          <w:sz w:val="21"/>
          <w:szCs w:val="24"/>
          <w:lang w:val="en-US" w:eastAsia="zh-CN"/>
        </w:rPr>
        <w:t xml:space="preserve">MINISO.MINISO Group Announces March Quarter 2024 Unaudited </w:t>
      </w:r>
    </w:p>
    <w:p w14:paraId="120D304C">
      <w:pPr>
        <w:keepNext w:val="0"/>
        <w:keepLines w:val="0"/>
        <w:pageBreakBefore w:val="0"/>
        <w:widowControl w:val="0"/>
        <w:numPr>
          <w:ilvl w:val="0"/>
          <w:numId w:val="2"/>
        </w:numPr>
        <w:kinsoku/>
        <w:wordWrap w:val="0"/>
        <w:overflowPunct/>
        <w:topLinePunct w:val="0"/>
        <w:autoSpaceDE/>
        <w:autoSpaceDN/>
        <w:bidi w:val="0"/>
        <w:adjustRightInd/>
        <w:snapToGrid/>
        <w:spacing w:line="360" w:lineRule="exact"/>
        <w:jc w:val="both"/>
        <w:textAlignment w:val="auto"/>
        <w:rPr>
          <w:rFonts w:hint="default" w:ascii="Times New Roman" w:hAnsi="Times New Roman" w:eastAsia="宋体" w:cs="宋体"/>
          <w:sz w:val="21"/>
          <w:szCs w:val="24"/>
          <w:lang w:val="en-US" w:eastAsia="zh-CN"/>
        </w:rPr>
      </w:pPr>
      <w:r>
        <w:rPr>
          <w:rFonts w:hint="default" w:ascii="Times New Roman" w:hAnsi="Times New Roman" w:eastAsia="宋体" w:cs="宋体"/>
          <w:sz w:val="21"/>
          <w:szCs w:val="24"/>
          <w:lang w:val="en-US" w:eastAsia="zh-CN"/>
        </w:rPr>
        <w:t>Vinky.名创优品出海记.[EB/OL].[2024-01-16</w:t>
      </w:r>
      <w:r>
        <w:rPr>
          <w:rFonts w:hint="eastAsia" w:ascii="Times New Roman" w:hAnsi="Times New Roman" w:eastAsia="宋体" w:cs="宋体"/>
          <w:sz w:val="21"/>
          <w:szCs w:val="24"/>
          <w:lang w:val="en-US" w:eastAsia="zh-CN"/>
        </w:rPr>
        <w:t>]</w:t>
      </w:r>
      <w:r>
        <w:rPr>
          <w:rFonts w:hint="default" w:ascii="Times New Roman" w:hAnsi="Times New Roman" w:eastAsia="宋体" w:cs="宋体"/>
          <w:sz w:val="21"/>
          <w:szCs w:val="24"/>
          <w:lang w:val="en-US" w:eastAsia="zh-CN"/>
        </w:rPr>
        <w:t>.https://business.sohu.</w:t>
      </w:r>
    </w:p>
    <w:p w14:paraId="6DE98204">
      <w:pPr>
        <w:keepNext w:val="0"/>
        <w:keepLines w:val="0"/>
        <w:pageBreakBefore w:val="0"/>
        <w:widowControl w:val="0"/>
        <w:numPr>
          <w:ilvl w:val="0"/>
          <w:numId w:val="0"/>
        </w:numPr>
        <w:kinsoku/>
        <w:wordWrap w:val="0"/>
        <w:overflowPunct/>
        <w:topLinePunct w:val="0"/>
        <w:autoSpaceDE/>
        <w:autoSpaceDN/>
        <w:bidi w:val="0"/>
        <w:adjustRightInd/>
        <w:snapToGrid/>
        <w:spacing w:line="360" w:lineRule="exact"/>
        <w:jc w:val="both"/>
        <w:textAlignment w:val="auto"/>
        <w:rPr>
          <w:rFonts w:hint="default" w:ascii="Times New Roman" w:hAnsi="Times New Roman" w:eastAsia="宋体" w:cs="宋体"/>
          <w:sz w:val="21"/>
          <w:szCs w:val="24"/>
          <w:lang w:val="en-US" w:eastAsia="zh-CN"/>
        </w:rPr>
      </w:pPr>
      <w:r>
        <w:rPr>
          <w:rFonts w:hint="default" w:ascii="Times New Roman" w:hAnsi="Times New Roman" w:eastAsia="宋体" w:cs="宋体"/>
          <w:sz w:val="21"/>
          <w:szCs w:val="24"/>
          <w:lang w:val="en-US" w:eastAsia="zh-CN"/>
        </w:rPr>
        <w:t>com/a/752139605_114819.</w:t>
      </w:r>
    </w:p>
    <w:p w14:paraId="1B1E83D2">
      <w:pPr>
        <w:keepNext w:val="0"/>
        <w:keepLines w:val="0"/>
        <w:pageBreakBefore w:val="0"/>
        <w:widowControl w:val="0"/>
        <w:numPr>
          <w:ilvl w:val="0"/>
          <w:numId w:val="2"/>
        </w:numPr>
        <w:kinsoku/>
        <w:wordWrap w:val="0"/>
        <w:overflowPunct/>
        <w:topLinePunct w:val="0"/>
        <w:autoSpaceDE/>
        <w:autoSpaceDN/>
        <w:bidi w:val="0"/>
        <w:adjustRightInd/>
        <w:snapToGrid/>
        <w:spacing w:line="360" w:lineRule="exact"/>
        <w:jc w:val="both"/>
        <w:textAlignment w:val="auto"/>
        <w:rPr>
          <w:rFonts w:hint="default" w:ascii="Times New Roman" w:hAnsi="Times New Roman" w:eastAsia="宋体" w:cs="宋体"/>
          <w:sz w:val="21"/>
          <w:szCs w:val="24"/>
          <w:lang w:val="en-US" w:eastAsia="zh-CN"/>
        </w:rPr>
      </w:pPr>
      <w:r>
        <w:rPr>
          <w:rFonts w:hint="default" w:ascii="Times New Roman" w:hAnsi="Times New Roman" w:eastAsia="宋体" w:cs="宋体"/>
          <w:sz w:val="21"/>
          <w:szCs w:val="24"/>
          <w:lang w:val="en-US" w:eastAsia="zh-CN"/>
        </w:rPr>
        <w:t>王雅迪,石丹.出海八年，名创优品冲向世界繁华商业街.[EB/OL].[2024-01-31</w:t>
      </w:r>
      <w:r>
        <w:rPr>
          <w:rFonts w:hint="eastAsia" w:ascii="Times New Roman" w:hAnsi="Times New Roman" w:eastAsia="宋体" w:cs="宋体"/>
          <w:sz w:val="21"/>
          <w:szCs w:val="24"/>
          <w:lang w:val="en-US" w:eastAsia="zh-CN"/>
        </w:rPr>
        <w:t>]</w:t>
      </w:r>
      <w:r>
        <w:rPr>
          <w:rFonts w:hint="default" w:ascii="Times New Roman" w:hAnsi="Times New Roman" w:eastAsia="宋体" w:cs="宋体"/>
          <w:sz w:val="21"/>
          <w:szCs w:val="24"/>
          <w:lang w:val="en-US" w:eastAsia="zh-CN"/>
        </w:rPr>
        <w:t>.https://mp.weixin.qq.com/s/6Mx2T-W23jQhb-Wj2Nqj1w.</w:t>
      </w:r>
    </w:p>
    <w:p w14:paraId="7F9B9A94">
      <w:pPr>
        <w:keepNext w:val="0"/>
        <w:keepLines w:val="0"/>
        <w:pageBreakBefore w:val="0"/>
        <w:widowControl w:val="0"/>
        <w:numPr>
          <w:ilvl w:val="0"/>
          <w:numId w:val="2"/>
        </w:numPr>
        <w:kinsoku/>
        <w:wordWrap w:val="0"/>
        <w:overflowPunct/>
        <w:topLinePunct w:val="0"/>
        <w:autoSpaceDE/>
        <w:autoSpaceDN/>
        <w:bidi w:val="0"/>
        <w:adjustRightInd/>
        <w:snapToGrid/>
        <w:spacing w:line="360" w:lineRule="exact"/>
        <w:jc w:val="both"/>
        <w:textAlignment w:val="auto"/>
        <w:rPr>
          <w:rFonts w:ascii="Times New Roman" w:hAnsi="Times New Roman" w:eastAsia="宋体"/>
          <w:sz w:val="21"/>
        </w:rPr>
      </w:pPr>
      <w:r>
        <w:rPr>
          <w:rFonts w:hint="eastAsia" w:ascii="Times New Roman" w:hAnsi="Times New Roman" w:eastAsia="宋体"/>
          <w:sz w:val="21"/>
        </w:rPr>
        <w:t xml:space="preserve">Huang Z. An Analysis of the Reasons for MINISO’s Marketing Success: A </w:t>
      </w:r>
    </w:p>
    <w:p w14:paraId="5BF9FD1D">
      <w:pPr>
        <w:keepNext w:val="0"/>
        <w:keepLines w:val="0"/>
        <w:pageBreakBefore w:val="0"/>
        <w:widowControl w:val="0"/>
        <w:numPr>
          <w:ilvl w:val="0"/>
          <w:numId w:val="0"/>
        </w:numPr>
        <w:kinsoku/>
        <w:wordWrap w:val="0"/>
        <w:overflowPunct/>
        <w:topLinePunct w:val="0"/>
        <w:autoSpaceDE/>
        <w:autoSpaceDN/>
        <w:bidi w:val="0"/>
        <w:adjustRightInd/>
        <w:snapToGrid/>
        <w:spacing w:line="360" w:lineRule="exact"/>
        <w:jc w:val="both"/>
        <w:textAlignment w:val="auto"/>
        <w:rPr>
          <w:rFonts w:hint="eastAsia" w:ascii="Times New Roman" w:hAnsi="Times New Roman" w:eastAsia="宋体"/>
          <w:sz w:val="21"/>
        </w:rPr>
      </w:pPr>
      <w:r>
        <w:rPr>
          <w:rFonts w:hint="eastAsia" w:ascii="Times New Roman" w:hAnsi="Times New Roman" w:eastAsia="宋体"/>
          <w:sz w:val="21"/>
        </w:rPr>
        <w:t>Comprehensive Application of SWOT and Its Submodels [J]. Advances in Economics, Management and Political Sciences, 2025, 178(1): 89–94.</w:t>
      </w:r>
    </w:p>
    <w:p w14:paraId="5E0D5EA7">
      <w:pPr>
        <w:keepNext w:val="0"/>
        <w:keepLines w:val="0"/>
        <w:pageBreakBefore w:val="0"/>
        <w:widowControl w:val="0"/>
        <w:numPr>
          <w:ilvl w:val="0"/>
          <w:numId w:val="2"/>
        </w:numPr>
        <w:kinsoku/>
        <w:wordWrap w:val="0"/>
        <w:overflowPunct/>
        <w:topLinePunct w:val="0"/>
        <w:autoSpaceDE/>
        <w:autoSpaceDN/>
        <w:bidi w:val="0"/>
        <w:adjustRightInd/>
        <w:snapToGrid/>
        <w:spacing w:line="360" w:lineRule="exact"/>
        <w:jc w:val="both"/>
        <w:textAlignment w:val="auto"/>
        <w:rPr>
          <w:rFonts w:hint="eastAsia" w:ascii="Times New Roman" w:hAnsi="Times New Roman" w:eastAsia="宋体" w:cs="宋体"/>
          <w:sz w:val="21"/>
          <w:szCs w:val="24"/>
          <w:lang w:val="en-US" w:eastAsia="zh-CN"/>
        </w:rPr>
      </w:pPr>
      <w:r>
        <w:rPr>
          <w:rFonts w:hint="default" w:ascii="Times New Roman" w:hAnsi="Times New Roman" w:eastAsia="宋体" w:cs="宋体"/>
          <w:sz w:val="21"/>
          <w:szCs w:val="24"/>
          <w:lang w:val="en-US" w:eastAsia="zh-CN"/>
        </w:rPr>
        <w:t>增长黑盒.名创优品的海外本土化，没你想得那么简单.[EB/OL].[2024-07-04</w:t>
      </w:r>
      <w:r>
        <w:rPr>
          <w:rFonts w:hint="eastAsia" w:ascii="Times New Roman" w:hAnsi="Times New Roman" w:eastAsia="宋体" w:cs="宋体"/>
          <w:sz w:val="21"/>
          <w:szCs w:val="24"/>
          <w:lang w:val="en-US" w:eastAsia="zh-CN"/>
        </w:rPr>
        <w:t>]</w:t>
      </w:r>
      <w:r>
        <w:rPr>
          <w:rFonts w:hint="default" w:ascii="Times New Roman" w:hAnsi="Times New Roman" w:eastAsia="宋体" w:cs="宋体"/>
          <w:sz w:val="21"/>
          <w:szCs w:val="24"/>
          <w:lang w:val="en-US" w:eastAsia="zh-CN"/>
        </w:rPr>
        <w:t>.https://www.yunyingpai.com/brand/1036998.html</w:t>
      </w:r>
    </w:p>
    <w:p w14:paraId="4C174940">
      <w:pPr>
        <w:keepNext w:val="0"/>
        <w:keepLines w:val="0"/>
        <w:pageBreakBefore w:val="0"/>
        <w:widowControl w:val="0"/>
        <w:numPr>
          <w:ilvl w:val="0"/>
          <w:numId w:val="2"/>
        </w:numPr>
        <w:kinsoku/>
        <w:wordWrap w:val="0"/>
        <w:overflowPunct/>
        <w:topLinePunct w:val="0"/>
        <w:autoSpaceDE/>
        <w:autoSpaceDN/>
        <w:bidi w:val="0"/>
        <w:adjustRightInd/>
        <w:snapToGrid/>
        <w:spacing w:line="360" w:lineRule="exact"/>
        <w:jc w:val="both"/>
        <w:textAlignment w:val="auto"/>
        <w:rPr>
          <w:rFonts w:hint="eastAsia" w:ascii="Times New Roman" w:hAnsi="Times New Roman" w:eastAsia="宋体" w:cs="宋体"/>
          <w:sz w:val="21"/>
          <w:szCs w:val="24"/>
          <w:lang w:val="en-US" w:eastAsia="zh-CN"/>
        </w:rPr>
      </w:pPr>
      <w:r>
        <w:rPr>
          <w:rFonts w:hint="default" w:ascii="Times New Roman" w:hAnsi="Times New Roman" w:eastAsia="宋体" w:cs="宋体"/>
          <w:sz w:val="21"/>
          <w:szCs w:val="24"/>
          <w:lang w:val="en-US" w:eastAsia="zh-CN"/>
        </w:rPr>
        <w:t>黎传熙． 基于服务标准化下“新零售”服务质量的提升研 究———以“名创优品”为例［J］． 惠州学院学报，2019，39( 1) : 105-111．</w:t>
      </w:r>
    </w:p>
    <w:p w14:paraId="5C1E39E4">
      <w:pPr>
        <w:keepNext w:val="0"/>
        <w:keepLines w:val="0"/>
        <w:pageBreakBefore w:val="0"/>
        <w:widowControl w:val="0"/>
        <w:numPr>
          <w:ilvl w:val="0"/>
          <w:numId w:val="2"/>
        </w:numPr>
        <w:kinsoku/>
        <w:wordWrap w:val="0"/>
        <w:overflowPunct/>
        <w:topLinePunct w:val="0"/>
        <w:autoSpaceDE/>
        <w:autoSpaceDN/>
        <w:bidi w:val="0"/>
        <w:adjustRightInd/>
        <w:snapToGrid/>
        <w:spacing w:line="360" w:lineRule="exact"/>
        <w:jc w:val="both"/>
        <w:textAlignment w:val="auto"/>
        <w:rPr>
          <w:rFonts w:ascii="Times New Roman" w:hAnsi="Times New Roman" w:eastAsia="宋体"/>
          <w:sz w:val="21"/>
        </w:rPr>
      </w:pPr>
      <w:r>
        <w:rPr>
          <w:rFonts w:hint="eastAsia" w:ascii="Times New Roman" w:hAnsi="Times New Roman" w:eastAsia="宋体" w:cs="宋体"/>
          <w:sz w:val="21"/>
          <w:szCs w:val="24"/>
          <w:lang w:val="en-US" w:eastAsia="zh-CN"/>
        </w:rPr>
        <w:t xml:space="preserve">Jin C. Making the Japanese-Brand from China: [J]. Japan Marketing Journal, 2019, 39(1): </w:t>
      </w:r>
      <w:r>
        <w:rPr>
          <w:rFonts w:hint="eastAsia" w:ascii="Times New Roman" w:hAnsi="Times New Roman" w:eastAsia="宋体"/>
          <w:sz w:val="21"/>
        </w:rPr>
        <w:t>106–118.</w:t>
      </w:r>
    </w:p>
    <w:p w14:paraId="76556283">
      <w:pPr>
        <w:keepNext w:val="0"/>
        <w:keepLines w:val="0"/>
        <w:pageBreakBefore w:val="0"/>
        <w:widowControl w:val="0"/>
        <w:numPr>
          <w:ilvl w:val="0"/>
          <w:numId w:val="2"/>
        </w:numPr>
        <w:kinsoku/>
        <w:wordWrap w:val="0"/>
        <w:overflowPunct/>
        <w:topLinePunct w:val="0"/>
        <w:autoSpaceDE/>
        <w:autoSpaceDN/>
        <w:bidi w:val="0"/>
        <w:adjustRightInd/>
        <w:snapToGrid/>
        <w:spacing w:line="360" w:lineRule="exact"/>
        <w:jc w:val="both"/>
        <w:textAlignment w:val="auto"/>
        <w:rPr>
          <w:rFonts w:hint="default" w:ascii="Times New Roman" w:hAnsi="Times New Roman" w:eastAsia="宋体" w:cs="宋体"/>
          <w:sz w:val="21"/>
          <w:szCs w:val="24"/>
          <w:lang w:val="en-US" w:eastAsia="zh-CN"/>
        </w:rPr>
      </w:pPr>
      <w:r>
        <w:rPr>
          <w:rFonts w:hint="default" w:ascii="Times New Roman" w:hAnsi="Times New Roman" w:eastAsia="宋体" w:cs="宋体"/>
          <w:sz w:val="21"/>
          <w:szCs w:val="24"/>
          <w:lang w:val="en-US" w:eastAsia="zh-CN"/>
        </w:rPr>
        <w:t>姚慧 , 高凯 . 新零售模式下企业战略路径分析 [J].中国物 价 ,2021(08):98-100.</w:t>
      </w:r>
    </w:p>
    <w:p w14:paraId="142BB9E4">
      <w:pPr>
        <w:rPr>
          <w:rFonts w:hint="default" w:ascii="Times New Roman" w:hAnsi="Times New Roman" w:eastAsia="宋体" w:cs="宋体"/>
          <w:sz w:val="21"/>
          <w:szCs w:val="24"/>
          <w:lang w:val="en-US" w:eastAsia="zh-CN"/>
        </w:rPr>
      </w:pPr>
      <w:r>
        <w:rPr>
          <w:rFonts w:hint="default" w:ascii="Times New Roman" w:hAnsi="Times New Roman" w:eastAsia="宋体" w:cs="宋体"/>
          <w:sz w:val="21"/>
          <w:szCs w:val="24"/>
          <w:lang w:val="en-US" w:eastAsia="zh-CN"/>
        </w:rPr>
        <w:br w:type="page"/>
      </w:r>
    </w:p>
    <w:p w14:paraId="727AD413">
      <w:pPr>
        <w:keepNext w:val="0"/>
        <w:keepLines w:val="0"/>
        <w:pageBreakBefore w:val="0"/>
        <w:widowControl w:val="0"/>
        <w:numPr>
          <w:ilvl w:val="0"/>
          <w:numId w:val="2"/>
        </w:numPr>
        <w:kinsoku/>
        <w:wordWrap w:val="0"/>
        <w:overflowPunct/>
        <w:topLinePunct w:val="0"/>
        <w:autoSpaceDE/>
        <w:autoSpaceDN/>
        <w:bidi w:val="0"/>
        <w:adjustRightInd/>
        <w:snapToGrid/>
        <w:spacing w:line="360" w:lineRule="exact"/>
        <w:jc w:val="both"/>
        <w:textAlignment w:val="auto"/>
        <w:rPr>
          <w:rFonts w:hint="default" w:ascii="Times New Roman" w:hAnsi="Times New Roman" w:eastAsia="宋体" w:cs="宋体"/>
          <w:sz w:val="21"/>
          <w:szCs w:val="24"/>
          <w:lang w:val="en-US" w:eastAsia="zh-CN"/>
        </w:rPr>
        <w:sectPr>
          <w:pgSz w:w="11906" w:h="16838"/>
          <w:pgMar w:top="1440" w:right="1800" w:bottom="1440" w:left="1800" w:header="851" w:footer="992" w:gutter="0"/>
          <w:pgNumType w:fmt="decimal"/>
          <w:cols w:space="425" w:num="1"/>
          <w:docGrid w:type="lines" w:linePitch="312" w:charSpace="0"/>
        </w:sectPr>
      </w:pPr>
    </w:p>
    <w:tbl>
      <w:tblPr>
        <w:tblStyle w:val="8"/>
        <w:tblpPr w:leftFromText="180" w:rightFromText="180" w:vertAnchor="page" w:horzAnchor="page" w:tblpX="1661" w:tblpY="2566"/>
        <w:tblOverlap w:val="never"/>
        <w:tblW w:w="9628"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263"/>
        <w:gridCol w:w="5508"/>
        <w:gridCol w:w="1417"/>
        <w:gridCol w:w="1440"/>
      </w:tblGrid>
      <w:tr w14:paraId="53B7DE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38" w:hRule="atLeast"/>
        </w:trPr>
        <w:tc>
          <w:tcPr>
            <w:tcW w:w="1263" w:type="dxa"/>
            <w:tcBorders>
              <w:bottom w:val="single" w:color="auto" w:sz="12" w:space="0"/>
            </w:tcBorders>
            <w:noWrap w:val="0"/>
            <w:vAlign w:val="center"/>
          </w:tcPr>
          <w:p w14:paraId="63A581F2">
            <w:pPr>
              <w:spacing w:line="460" w:lineRule="exact"/>
              <w:jc w:val="center"/>
              <w:rPr>
                <w:rFonts w:hint="eastAsia"/>
                <w:b/>
                <w:sz w:val="24"/>
                <w:szCs w:val="24"/>
              </w:rPr>
            </w:pPr>
            <w:r>
              <w:rPr>
                <w:rFonts w:hint="eastAsia"/>
                <w:b/>
                <w:sz w:val="24"/>
                <w:szCs w:val="24"/>
              </w:rPr>
              <w:t>评价</w:t>
            </w:r>
          </w:p>
          <w:p w14:paraId="0179898A">
            <w:pPr>
              <w:spacing w:line="460" w:lineRule="exact"/>
              <w:jc w:val="center"/>
              <w:rPr>
                <w:rFonts w:hint="eastAsia"/>
                <w:b/>
                <w:sz w:val="24"/>
                <w:szCs w:val="24"/>
              </w:rPr>
            </w:pPr>
            <w:r>
              <w:rPr>
                <w:rFonts w:hint="eastAsia"/>
                <w:b/>
                <w:sz w:val="24"/>
                <w:szCs w:val="24"/>
              </w:rPr>
              <w:t>指标</w:t>
            </w:r>
          </w:p>
        </w:tc>
        <w:tc>
          <w:tcPr>
            <w:tcW w:w="5508" w:type="dxa"/>
            <w:tcBorders>
              <w:bottom w:val="single" w:color="auto" w:sz="12" w:space="0"/>
            </w:tcBorders>
            <w:noWrap w:val="0"/>
            <w:vAlign w:val="center"/>
          </w:tcPr>
          <w:p w14:paraId="55BA1E9F">
            <w:pPr>
              <w:spacing w:line="500" w:lineRule="exact"/>
              <w:jc w:val="center"/>
              <w:rPr>
                <w:rFonts w:hint="eastAsia"/>
                <w:b/>
                <w:sz w:val="24"/>
                <w:szCs w:val="24"/>
              </w:rPr>
            </w:pPr>
            <w:r>
              <w:rPr>
                <w:rFonts w:hint="eastAsia"/>
                <w:b/>
                <w:sz w:val="24"/>
                <w:szCs w:val="24"/>
              </w:rPr>
              <w:t>评价标准</w:t>
            </w:r>
          </w:p>
        </w:tc>
        <w:tc>
          <w:tcPr>
            <w:tcW w:w="1417" w:type="dxa"/>
            <w:tcBorders>
              <w:bottom w:val="single" w:color="auto" w:sz="12" w:space="0"/>
            </w:tcBorders>
            <w:noWrap w:val="0"/>
            <w:vAlign w:val="center"/>
          </w:tcPr>
          <w:p w14:paraId="5B78615D">
            <w:pPr>
              <w:spacing w:line="500" w:lineRule="exact"/>
              <w:jc w:val="center"/>
              <w:rPr>
                <w:rFonts w:hint="eastAsia"/>
                <w:b/>
                <w:sz w:val="24"/>
                <w:szCs w:val="24"/>
              </w:rPr>
            </w:pPr>
            <w:r>
              <w:rPr>
                <w:rFonts w:hint="eastAsia"/>
                <w:b/>
                <w:sz w:val="24"/>
                <w:szCs w:val="24"/>
              </w:rPr>
              <w:t>分数值</w:t>
            </w:r>
          </w:p>
        </w:tc>
        <w:tc>
          <w:tcPr>
            <w:tcW w:w="1440" w:type="dxa"/>
            <w:tcBorders>
              <w:bottom w:val="single" w:color="auto" w:sz="12" w:space="0"/>
            </w:tcBorders>
            <w:noWrap w:val="0"/>
            <w:vAlign w:val="center"/>
          </w:tcPr>
          <w:p w14:paraId="0AC83436">
            <w:pPr>
              <w:spacing w:line="500" w:lineRule="exact"/>
              <w:jc w:val="center"/>
              <w:rPr>
                <w:rFonts w:hint="eastAsia"/>
                <w:b/>
                <w:sz w:val="24"/>
                <w:szCs w:val="24"/>
              </w:rPr>
            </w:pPr>
            <w:r>
              <w:rPr>
                <w:rFonts w:hint="eastAsia"/>
                <w:b/>
                <w:sz w:val="24"/>
                <w:szCs w:val="24"/>
                <w:lang w:val="en-US" w:eastAsia="zh-CN"/>
              </w:rPr>
              <w:t>各项</w:t>
            </w:r>
            <w:r>
              <w:rPr>
                <w:rFonts w:hint="eastAsia"/>
                <w:b/>
                <w:sz w:val="24"/>
                <w:szCs w:val="24"/>
              </w:rPr>
              <w:t>分数</w:t>
            </w:r>
          </w:p>
          <w:p w14:paraId="124676F9">
            <w:pPr>
              <w:spacing w:line="500" w:lineRule="exact"/>
              <w:jc w:val="center"/>
              <w:rPr>
                <w:rFonts w:hint="eastAsia"/>
                <w:b/>
                <w:sz w:val="24"/>
                <w:szCs w:val="24"/>
              </w:rPr>
            </w:pPr>
            <w:r>
              <w:rPr>
                <w:rFonts w:hint="eastAsia"/>
                <w:b/>
                <w:sz w:val="24"/>
                <w:szCs w:val="24"/>
              </w:rPr>
              <w:t>（百分制）</w:t>
            </w:r>
          </w:p>
        </w:tc>
      </w:tr>
      <w:tr w14:paraId="0413FA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3" w:type="dxa"/>
            <w:vMerge w:val="restart"/>
            <w:tcBorders>
              <w:top w:val="single" w:color="auto" w:sz="12" w:space="0"/>
            </w:tcBorders>
            <w:noWrap w:val="0"/>
            <w:vAlign w:val="center"/>
          </w:tcPr>
          <w:p w14:paraId="3E7C5CAE">
            <w:pPr>
              <w:spacing w:line="460" w:lineRule="exact"/>
              <w:jc w:val="center"/>
              <w:rPr>
                <w:rFonts w:hint="eastAsia"/>
                <w:b/>
                <w:sz w:val="24"/>
                <w:szCs w:val="24"/>
              </w:rPr>
            </w:pPr>
            <w:r>
              <w:rPr>
                <w:rFonts w:hint="eastAsia"/>
                <w:b/>
                <w:sz w:val="24"/>
                <w:szCs w:val="24"/>
              </w:rPr>
              <w:t>基础理</w:t>
            </w:r>
          </w:p>
          <w:p w14:paraId="6582D861">
            <w:pPr>
              <w:spacing w:line="460" w:lineRule="exact"/>
              <w:jc w:val="center"/>
              <w:rPr>
                <w:rFonts w:hint="eastAsia"/>
                <w:b/>
                <w:sz w:val="24"/>
                <w:szCs w:val="24"/>
              </w:rPr>
            </w:pPr>
            <w:r>
              <w:rPr>
                <w:rFonts w:hint="eastAsia"/>
                <w:b/>
                <w:sz w:val="24"/>
                <w:szCs w:val="24"/>
              </w:rPr>
              <w:t>论和专</w:t>
            </w:r>
          </w:p>
          <w:p w14:paraId="2AAD720E">
            <w:pPr>
              <w:spacing w:line="460" w:lineRule="exact"/>
              <w:jc w:val="center"/>
              <w:rPr>
                <w:rFonts w:hint="eastAsia"/>
                <w:b/>
                <w:sz w:val="24"/>
                <w:szCs w:val="24"/>
              </w:rPr>
            </w:pPr>
            <w:r>
              <w:rPr>
                <w:rFonts w:hint="eastAsia"/>
                <w:b/>
                <w:sz w:val="24"/>
                <w:szCs w:val="24"/>
              </w:rPr>
              <w:t>门知识</w:t>
            </w:r>
          </w:p>
          <w:p w14:paraId="1D643220">
            <w:pPr>
              <w:spacing w:line="460" w:lineRule="exact"/>
              <w:jc w:val="center"/>
              <w:rPr>
                <w:rFonts w:hint="eastAsia" w:eastAsia="宋体"/>
                <w:b/>
                <w:sz w:val="24"/>
                <w:szCs w:val="24"/>
                <w:lang w:eastAsia="zh-CN"/>
              </w:rPr>
            </w:pPr>
            <w:r>
              <w:rPr>
                <w:rFonts w:hint="eastAsia"/>
                <w:b/>
                <w:sz w:val="24"/>
                <w:szCs w:val="24"/>
                <w:lang w:eastAsia="zh-CN"/>
              </w:rPr>
              <w:t>（</w:t>
            </w:r>
            <w:r>
              <w:rPr>
                <w:rFonts w:hint="eastAsia"/>
                <w:b/>
                <w:sz w:val="24"/>
                <w:szCs w:val="24"/>
                <w:lang w:val="en-US" w:eastAsia="zh-CN"/>
              </w:rPr>
              <w:t>40%</w:t>
            </w:r>
            <w:r>
              <w:rPr>
                <w:rFonts w:hint="eastAsia"/>
                <w:b/>
                <w:sz w:val="24"/>
                <w:szCs w:val="24"/>
                <w:lang w:eastAsia="zh-CN"/>
              </w:rPr>
              <w:t>）</w:t>
            </w:r>
          </w:p>
        </w:tc>
        <w:tc>
          <w:tcPr>
            <w:tcW w:w="5508" w:type="dxa"/>
            <w:tcBorders>
              <w:top w:val="single" w:color="auto" w:sz="12" w:space="0"/>
            </w:tcBorders>
            <w:noWrap w:val="0"/>
            <w:vAlign w:val="center"/>
          </w:tcPr>
          <w:p w14:paraId="77926DED">
            <w:pPr>
              <w:spacing w:line="500" w:lineRule="exact"/>
              <w:rPr>
                <w:rFonts w:hint="eastAsia"/>
                <w:b/>
                <w:sz w:val="24"/>
                <w:szCs w:val="24"/>
              </w:rPr>
            </w:pPr>
            <w:r>
              <w:rPr>
                <w:rFonts w:hint="eastAsia"/>
                <w:b/>
                <w:sz w:val="24"/>
                <w:szCs w:val="24"/>
              </w:rPr>
              <w:t>很好地掌握坚实的基础理论和系统的专门知识</w:t>
            </w:r>
          </w:p>
        </w:tc>
        <w:tc>
          <w:tcPr>
            <w:tcW w:w="1417" w:type="dxa"/>
            <w:tcBorders>
              <w:top w:val="single" w:color="auto" w:sz="12" w:space="0"/>
            </w:tcBorders>
            <w:noWrap w:val="0"/>
            <w:vAlign w:val="center"/>
          </w:tcPr>
          <w:p w14:paraId="593CA8DA">
            <w:pPr>
              <w:spacing w:line="500" w:lineRule="exact"/>
              <w:jc w:val="center"/>
              <w:rPr>
                <w:rFonts w:hint="eastAsia"/>
                <w:b/>
                <w:sz w:val="24"/>
                <w:szCs w:val="24"/>
              </w:rPr>
            </w:pPr>
            <w:r>
              <w:rPr>
                <w:rFonts w:hint="eastAsia"/>
                <w:b/>
                <w:sz w:val="24"/>
                <w:szCs w:val="24"/>
              </w:rPr>
              <w:t>90分以上</w:t>
            </w:r>
          </w:p>
        </w:tc>
        <w:tc>
          <w:tcPr>
            <w:tcW w:w="1440" w:type="dxa"/>
            <w:vMerge w:val="restart"/>
            <w:tcBorders>
              <w:top w:val="single" w:color="auto" w:sz="12" w:space="0"/>
            </w:tcBorders>
            <w:noWrap w:val="0"/>
            <w:vAlign w:val="center"/>
          </w:tcPr>
          <w:p w14:paraId="64BF601C">
            <w:pPr>
              <w:rPr>
                <w:rFonts w:hint="default" w:eastAsia="宋体"/>
                <w:b/>
                <w:sz w:val="24"/>
                <w:szCs w:val="24"/>
                <w:lang w:val="en-US" w:eastAsia="zh-CN"/>
              </w:rPr>
            </w:pPr>
            <w:r>
              <w:rPr>
                <w:rFonts w:hint="eastAsia"/>
                <w:b/>
                <w:bCs/>
                <w:sz w:val="24"/>
                <w:szCs w:val="24"/>
                <w:lang w:val="en-US" w:eastAsia="zh-CN"/>
              </w:rPr>
              <w:t>X</w:t>
            </w:r>
            <w:r>
              <w:rPr>
                <w:rFonts w:hint="eastAsia" w:eastAsiaTheme="minorEastAsia"/>
                <w:b/>
                <w:bCs/>
                <w:sz w:val="24"/>
                <w:szCs w:val="24"/>
                <w:vertAlign w:val="subscript"/>
                <w:lang w:val="en-US" w:eastAsia="zh-CN"/>
              </w:rPr>
              <w:t>1</w:t>
            </w:r>
            <w:r>
              <w:rPr>
                <w:rFonts w:hint="eastAsia"/>
                <w:b/>
                <w:sz w:val="24"/>
                <w:szCs w:val="24"/>
                <w:lang w:val="en-US" w:eastAsia="zh-CN"/>
              </w:rPr>
              <w:t>=</w:t>
            </w:r>
          </w:p>
        </w:tc>
      </w:tr>
      <w:tr w14:paraId="00FA2C4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3" w:type="dxa"/>
            <w:vMerge w:val="continue"/>
            <w:noWrap w:val="0"/>
            <w:vAlign w:val="center"/>
          </w:tcPr>
          <w:p w14:paraId="0A068393">
            <w:pPr>
              <w:spacing w:line="460" w:lineRule="exact"/>
              <w:jc w:val="center"/>
              <w:rPr>
                <w:rFonts w:hint="eastAsia"/>
                <w:b/>
                <w:sz w:val="24"/>
                <w:szCs w:val="24"/>
              </w:rPr>
            </w:pPr>
          </w:p>
        </w:tc>
        <w:tc>
          <w:tcPr>
            <w:tcW w:w="5508" w:type="dxa"/>
            <w:noWrap w:val="0"/>
            <w:vAlign w:val="center"/>
          </w:tcPr>
          <w:p w14:paraId="4C652F7D">
            <w:pPr>
              <w:spacing w:line="500" w:lineRule="exact"/>
              <w:rPr>
                <w:rFonts w:hint="eastAsia"/>
                <w:b/>
                <w:sz w:val="24"/>
                <w:szCs w:val="24"/>
              </w:rPr>
            </w:pPr>
            <w:r>
              <w:rPr>
                <w:rFonts w:hint="eastAsia"/>
                <w:b/>
                <w:sz w:val="24"/>
                <w:szCs w:val="24"/>
              </w:rPr>
              <w:t>较好地掌握坚实的基础理论和系统的专门知识</w:t>
            </w:r>
          </w:p>
        </w:tc>
        <w:tc>
          <w:tcPr>
            <w:tcW w:w="1417" w:type="dxa"/>
            <w:noWrap w:val="0"/>
            <w:vAlign w:val="center"/>
          </w:tcPr>
          <w:p w14:paraId="1C5CB673">
            <w:pPr>
              <w:spacing w:line="500" w:lineRule="exact"/>
              <w:jc w:val="center"/>
              <w:rPr>
                <w:rFonts w:hint="eastAsia"/>
                <w:b/>
                <w:sz w:val="24"/>
                <w:szCs w:val="24"/>
              </w:rPr>
            </w:pPr>
            <w:r>
              <w:rPr>
                <w:rFonts w:hint="eastAsia"/>
                <w:b/>
                <w:sz w:val="24"/>
                <w:szCs w:val="24"/>
              </w:rPr>
              <w:t>75分-89分</w:t>
            </w:r>
          </w:p>
        </w:tc>
        <w:tc>
          <w:tcPr>
            <w:tcW w:w="1440" w:type="dxa"/>
            <w:vMerge w:val="continue"/>
            <w:noWrap w:val="0"/>
            <w:vAlign w:val="center"/>
          </w:tcPr>
          <w:p w14:paraId="5AB3A57F">
            <w:pPr>
              <w:spacing w:line="500" w:lineRule="exact"/>
              <w:jc w:val="center"/>
              <w:rPr>
                <w:rFonts w:hint="eastAsia"/>
                <w:b/>
                <w:sz w:val="24"/>
                <w:szCs w:val="24"/>
              </w:rPr>
            </w:pPr>
          </w:p>
        </w:tc>
      </w:tr>
      <w:tr w14:paraId="6483F3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3" w:type="dxa"/>
            <w:vMerge w:val="continue"/>
            <w:noWrap w:val="0"/>
            <w:vAlign w:val="center"/>
          </w:tcPr>
          <w:p w14:paraId="083A0FCF">
            <w:pPr>
              <w:spacing w:line="460" w:lineRule="exact"/>
              <w:jc w:val="center"/>
              <w:rPr>
                <w:rFonts w:hint="eastAsia"/>
                <w:b/>
                <w:sz w:val="24"/>
                <w:szCs w:val="24"/>
              </w:rPr>
            </w:pPr>
          </w:p>
        </w:tc>
        <w:tc>
          <w:tcPr>
            <w:tcW w:w="5508" w:type="dxa"/>
            <w:noWrap w:val="0"/>
            <w:vAlign w:val="center"/>
          </w:tcPr>
          <w:p w14:paraId="529000E8">
            <w:pPr>
              <w:spacing w:line="500" w:lineRule="exact"/>
              <w:rPr>
                <w:rFonts w:hint="eastAsia"/>
                <w:b/>
                <w:sz w:val="24"/>
                <w:szCs w:val="24"/>
              </w:rPr>
            </w:pPr>
            <w:r>
              <w:rPr>
                <w:rFonts w:hint="eastAsia"/>
                <w:b/>
                <w:sz w:val="24"/>
                <w:szCs w:val="24"/>
              </w:rPr>
              <w:t>一般地掌握坚实的基础理论和系统的专门知识</w:t>
            </w:r>
          </w:p>
        </w:tc>
        <w:tc>
          <w:tcPr>
            <w:tcW w:w="1417" w:type="dxa"/>
            <w:noWrap w:val="0"/>
            <w:vAlign w:val="center"/>
          </w:tcPr>
          <w:p w14:paraId="5E3C6FC7">
            <w:pPr>
              <w:spacing w:line="500" w:lineRule="exact"/>
              <w:jc w:val="center"/>
              <w:rPr>
                <w:rFonts w:hint="eastAsia"/>
                <w:b/>
                <w:sz w:val="24"/>
                <w:szCs w:val="24"/>
              </w:rPr>
            </w:pPr>
            <w:r>
              <w:rPr>
                <w:rFonts w:hint="eastAsia"/>
                <w:b/>
                <w:sz w:val="24"/>
                <w:szCs w:val="24"/>
              </w:rPr>
              <w:t>60分-74分</w:t>
            </w:r>
          </w:p>
        </w:tc>
        <w:tc>
          <w:tcPr>
            <w:tcW w:w="1440" w:type="dxa"/>
            <w:vMerge w:val="continue"/>
            <w:noWrap w:val="0"/>
            <w:vAlign w:val="center"/>
          </w:tcPr>
          <w:p w14:paraId="7E8F6FBC">
            <w:pPr>
              <w:spacing w:line="500" w:lineRule="exact"/>
              <w:jc w:val="center"/>
              <w:rPr>
                <w:rFonts w:hint="eastAsia"/>
                <w:b/>
                <w:sz w:val="24"/>
                <w:szCs w:val="24"/>
              </w:rPr>
            </w:pPr>
          </w:p>
        </w:tc>
      </w:tr>
      <w:tr w14:paraId="2EEEFA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3" w:type="dxa"/>
            <w:vMerge w:val="continue"/>
            <w:tcBorders>
              <w:bottom w:val="single" w:color="auto" w:sz="12" w:space="0"/>
            </w:tcBorders>
            <w:noWrap w:val="0"/>
            <w:vAlign w:val="center"/>
          </w:tcPr>
          <w:p w14:paraId="203B749C">
            <w:pPr>
              <w:spacing w:line="460" w:lineRule="exact"/>
              <w:jc w:val="center"/>
              <w:rPr>
                <w:rFonts w:hint="eastAsia"/>
                <w:b/>
                <w:sz w:val="24"/>
                <w:szCs w:val="24"/>
              </w:rPr>
            </w:pPr>
          </w:p>
        </w:tc>
        <w:tc>
          <w:tcPr>
            <w:tcW w:w="5508" w:type="dxa"/>
            <w:tcBorders>
              <w:bottom w:val="single" w:color="auto" w:sz="12" w:space="0"/>
            </w:tcBorders>
            <w:noWrap w:val="0"/>
            <w:vAlign w:val="center"/>
          </w:tcPr>
          <w:p w14:paraId="202403AC">
            <w:pPr>
              <w:spacing w:line="500" w:lineRule="exact"/>
              <w:rPr>
                <w:rFonts w:hint="eastAsia"/>
                <w:b/>
                <w:sz w:val="24"/>
                <w:szCs w:val="24"/>
              </w:rPr>
            </w:pPr>
            <w:r>
              <w:rPr>
                <w:rFonts w:hint="eastAsia"/>
                <w:b/>
                <w:sz w:val="24"/>
                <w:szCs w:val="24"/>
              </w:rPr>
              <w:t>基础理论不够坚实、专门知识不够系统</w:t>
            </w:r>
          </w:p>
        </w:tc>
        <w:tc>
          <w:tcPr>
            <w:tcW w:w="1417" w:type="dxa"/>
            <w:tcBorders>
              <w:bottom w:val="single" w:color="auto" w:sz="12" w:space="0"/>
            </w:tcBorders>
            <w:noWrap w:val="0"/>
            <w:vAlign w:val="center"/>
          </w:tcPr>
          <w:p w14:paraId="5E36308A">
            <w:pPr>
              <w:spacing w:line="500" w:lineRule="exact"/>
              <w:jc w:val="center"/>
              <w:rPr>
                <w:rFonts w:hint="eastAsia"/>
                <w:b/>
                <w:sz w:val="24"/>
                <w:szCs w:val="24"/>
              </w:rPr>
            </w:pPr>
            <w:r>
              <w:rPr>
                <w:rFonts w:hint="eastAsia"/>
                <w:b/>
                <w:sz w:val="24"/>
                <w:szCs w:val="24"/>
              </w:rPr>
              <w:t>60分以下</w:t>
            </w:r>
          </w:p>
        </w:tc>
        <w:tc>
          <w:tcPr>
            <w:tcW w:w="1440" w:type="dxa"/>
            <w:vMerge w:val="continue"/>
            <w:tcBorders>
              <w:bottom w:val="single" w:color="auto" w:sz="12" w:space="0"/>
            </w:tcBorders>
            <w:noWrap w:val="0"/>
            <w:vAlign w:val="center"/>
          </w:tcPr>
          <w:p w14:paraId="004885B2">
            <w:pPr>
              <w:spacing w:line="500" w:lineRule="exact"/>
              <w:jc w:val="center"/>
              <w:rPr>
                <w:rFonts w:hint="eastAsia"/>
                <w:b/>
                <w:sz w:val="24"/>
                <w:szCs w:val="24"/>
              </w:rPr>
            </w:pPr>
          </w:p>
        </w:tc>
      </w:tr>
      <w:tr w14:paraId="37137B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3" w:type="dxa"/>
            <w:vMerge w:val="restart"/>
            <w:tcBorders>
              <w:top w:val="single" w:color="auto" w:sz="12" w:space="0"/>
            </w:tcBorders>
            <w:noWrap w:val="0"/>
            <w:vAlign w:val="center"/>
          </w:tcPr>
          <w:p w14:paraId="20334FDA">
            <w:pPr>
              <w:spacing w:line="460" w:lineRule="exact"/>
              <w:jc w:val="center"/>
              <w:rPr>
                <w:rFonts w:hint="eastAsia"/>
                <w:b/>
                <w:sz w:val="24"/>
                <w:szCs w:val="24"/>
              </w:rPr>
            </w:pPr>
            <w:r>
              <w:rPr>
                <w:rFonts w:hint="eastAsia"/>
                <w:b/>
                <w:sz w:val="24"/>
                <w:szCs w:val="24"/>
              </w:rPr>
              <w:t>科研能</w:t>
            </w:r>
          </w:p>
          <w:p w14:paraId="19BE0B0F">
            <w:pPr>
              <w:spacing w:line="460" w:lineRule="exact"/>
              <w:jc w:val="center"/>
              <w:rPr>
                <w:rFonts w:hint="eastAsia" w:eastAsia="宋体"/>
                <w:b/>
                <w:sz w:val="24"/>
                <w:szCs w:val="24"/>
                <w:lang w:eastAsia="zh-CN"/>
              </w:rPr>
            </w:pPr>
            <w:r>
              <w:rPr>
                <w:rFonts w:hint="eastAsia"/>
                <w:b/>
                <w:sz w:val="24"/>
                <w:szCs w:val="24"/>
              </w:rPr>
              <w:t>力与创  新性</w:t>
            </w:r>
            <w:r>
              <w:rPr>
                <w:rFonts w:hint="eastAsia"/>
                <w:b/>
                <w:sz w:val="24"/>
                <w:szCs w:val="24"/>
                <w:lang w:eastAsia="zh-CN"/>
              </w:rPr>
              <w:t>（</w:t>
            </w:r>
            <w:r>
              <w:rPr>
                <w:rFonts w:hint="eastAsia"/>
                <w:b/>
                <w:sz w:val="24"/>
                <w:szCs w:val="24"/>
                <w:lang w:val="en-US" w:eastAsia="zh-CN"/>
              </w:rPr>
              <w:t>40%</w:t>
            </w:r>
            <w:r>
              <w:rPr>
                <w:rFonts w:hint="eastAsia"/>
                <w:b/>
                <w:sz w:val="24"/>
                <w:szCs w:val="24"/>
                <w:lang w:eastAsia="zh-CN"/>
              </w:rPr>
              <w:t>）</w:t>
            </w:r>
          </w:p>
        </w:tc>
        <w:tc>
          <w:tcPr>
            <w:tcW w:w="5508" w:type="dxa"/>
            <w:tcBorders>
              <w:top w:val="single" w:color="auto" w:sz="12" w:space="0"/>
            </w:tcBorders>
            <w:noWrap w:val="0"/>
            <w:vAlign w:val="center"/>
          </w:tcPr>
          <w:p w14:paraId="7115213E">
            <w:pPr>
              <w:spacing w:line="500" w:lineRule="exact"/>
              <w:rPr>
                <w:rFonts w:hint="eastAsia"/>
                <w:b/>
                <w:sz w:val="24"/>
                <w:szCs w:val="24"/>
              </w:rPr>
            </w:pPr>
            <w:r>
              <w:rPr>
                <w:rFonts w:hint="eastAsia"/>
                <w:b/>
                <w:sz w:val="24"/>
                <w:szCs w:val="24"/>
              </w:rPr>
              <w:t>有很强的科研工作能力和创新性</w:t>
            </w:r>
          </w:p>
        </w:tc>
        <w:tc>
          <w:tcPr>
            <w:tcW w:w="1417" w:type="dxa"/>
            <w:tcBorders>
              <w:top w:val="single" w:color="auto" w:sz="12" w:space="0"/>
            </w:tcBorders>
            <w:noWrap w:val="0"/>
            <w:vAlign w:val="center"/>
          </w:tcPr>
          <w:p w14:paraId="6253F574">
            <w:pPr>
              <w:spacing w:line="500" w:lineRule="exact"/>
              <w:jc w:val="center"/>
              <w:rPr>
                <w:rFonts w:hint="eastAsia"/>
                <w:b/>
                <w:sz w:val="24"/>
                <w:szCs w:val="24"/>
              </w:rPr>
            </w:pPr>
            <w:r>
              <w:rPr>
                <w:rFonts w:hint="eastAsia"/>
                <w:b/>
                <w:sz w:val="24"/>
                <w:szCs w:val="24"/>
              </w:rPr>
              <w:t>90以上</w:t>
            </w:r>
          </w:p>
        </w:tc>
        <w:tc>
          <w:tcPr>
            <w:tcW w:w="1440" w:type="dxa"/>
            <w:vMerge w:val="restart"/>
            <w:tcBorders>
              <w:top w:val="single" w:color="auto" w:sz="12" w:space="0"/>
            </w:tcBorders>
            <w:noWrap w:val="0"/>
            <w:vAlign w:val="center"/>
          </w:tcPr>
          <w:p w14:paraId="2B4AC17C">
            <w:pPr>
              <w:spacing w:line="500" w:lineRule="exact"/>
              <w:rPr>
                <w:rFonts w:hint="default" w:eastAsia="宋体"/>
                <w:b/>
                <w:sz w:val="24"/>
                <w:szCs w:val="24"/>
                <w:lang w:val="en-US" w:eastAsia="zh-CN"/>
              </w:rPr>
            </w:pPr>
            <w:r>
              <w:rPr>
                <w:rFonts w:hint="eastAsia"/>
                <w:b/>
                <w:bCs/>
                <w:sz w:val="24"/>
                <w:szCs w:val="24"/>
                <w:lang w:val="en-US" w:eastAsia="zh-CN"/>
              </w:rPr>
              <w:t>X</w:t>
            </w:r>
            <w:r>
              <w:rPr>
                <w:rFonts w:hint="eastAsia" w:eastAsiaTheme="minorEastAsia"/>
                <w:b/>
                <w:bCs/>
                <w:sz w:val="24"/>
                <w:szCs w:val="24"/>
                <w:vertAlign w:val="subscript"/>
                <w:lang w:val="en-US" w:eastAsia="zh-CN"/>
              </w:rPr>
              <w:t>2</w:t>
            </w:r>
            <w:r>
              <w:rPr>
                <w:rFonts w:hint="eastAsia"/>
                <w:b/>
                <w:sz w:val="24"/>
                <w:szCs w:val="24"/>
                <w:lang w:val="en-US" w:eastAsia="zh-CN"/>
              </w:rPr>
              <w:t>=</w:t>
            </w:r>
          </w:p>
        </w:tc>
      </w:tr>
      <w:tr w14:paraId="34391C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3" w:type="dxa"/>
            <w:vMerge w:val="continue"/>
            <w:noWrap w:val="0"/>
            <w:vAlign w:val="center"/>
          </w:tcPr>
          <w:p w14:paraId="22BA43E2">
            <w:pPr>
              <w:spacing w:line="460" w:lineRule="exact"/>
              <w:jc w:val="center"/>
              <w:rPr>
                <w:rFonts w:hint="eastAsia"/>
                <w:b/>
                <w:sz w:val="24"/>
                <w:szCs w:val="24"/>
              </w:rPr>
            </w:pPr>
          </w:p>
        </w:tc>
        <w:tc>
          <w:tcPr>
            <w:tcW w:w="5508" w:type="dxa"/>
            <w:noWrap w:val="0"/>
            <w:vAlign w:val="center"/>
          </w:tcPr>
          <w:p w14:paraId="57FE40D3">
            <w:pPr>
              <w:spacing w:line="500" w:lineRule="exact"/>
              <w:rPr>
                <w:rFonts w:hint="eastAsia"/>
                <w:b/>
                <w:sz w:val="24"/>
                <w:szCs w:val="24"/>
              </w:rPr>
            </w:pPr>
            <w:r>
              <w:rPr>
                <w:rFonts w:hint="eastAsia"/>
                <w:b/>
                <w:sz w:val="24"/>
                <w:szCs w:val="24"/>
              </w:rPr>
              <w:t>有较强的科研工作能力和创新性</w:t>
            </w:r>
          </w:p>
        </w:tc>
        <w:tc>
          <w:tcPr>
            <w:tcW w:w="1417" w:type="dxa"/>
            <w:noWrap w:val="0"/>
            <w:vAlign w:val="center"/>
          </w:tcPr>
          <w:p w14:paraId="7DB40F3C">
            <w:pPr>
              <w:spacing w:line="500" w:lineRule="exact"/>
              <w:jc w:val="center"/>
              <w:rPr>
                <w:rFonts w:hint="eastAsia"/>
                <w:b/>
                <w:sz w:val="24"/>
                <w:szCs w:val="24"/>
              </w:rPr>
            </w:pPr>
            <w:r>
              <w:rPr>
                <w:rFonts w:hint="eastAsia"/>
                <w:b/>
                <w:sz w:val="24"/>
                <w:szCs w:val="24"/>
              </w:rPr>
              <w:t>75分-89分</w:t>
            </w:r>
          </w:p>
        </w:tc>
        <w:tc>
          <w:tcPr>
            <w:tcW w:w="1440" w:type="dxa"/>
            <w:vMerge w:val="continue"/>
            <w:noWrap w:val="0"/>
            <w:vAlign w:val="center"/>
          </w:tcPr>
          <w:p w14:paraId="61A900B5">
            <w:pPr>
              <w:spacing w:line="500" w:lineRule="exact"/>
              <w:jc w:val="center"/>
              <w:rPr>
                <w:rFonts w:hint="eastAsia"/>
                <w:b/>
                <w:sz w:val="24"/>
                <w:szCs w:val="24"/>
              </w:rPr>
            </w:pPr>
          </w:p>
        </w:tc>
      </w:tr>
      <w:tr w14:paraId="3C47D9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3" w:type="dxa"/>
            <w:vMerge w:val="continue"/>
            <w:noWrap w:val="0"/>
            <w:vAlign w:val="center"/>
          </w:tcPr>
          <w:p w14:paraId="4F90251A">
            <w:pPr>
              <w:spacing w:line="460" w:lineRule="exact"/>
              <w:jc w:val="center"/>
              <w:rPr>
                <w:rFonts w:hint="eastAsia"/>
                <w:b/>
                <w:sz w:val="24"/>
                <w:szCs w:val="24"/>
              </w:rPr>
            </w:pPr>
          </w:p>
        </w:tc>
        <w:tc>
          <w:tcPr>
            <w:tcW w:w="5508" w:type="dxa"/>
            <w:noWrap w:val="0"/>
            <w:vAlign w:val="center"/>
          </w:tcPr>
          <w:p w14:paraId="69C85CDE">
            <w:pPr>
              <w:spacing w:line="500" w:lineRule="exact"/>
              <w:rPr>
                <w:rFonts w:hint="eastAsia"/>
                <w:b/>
                <w:sz w:val="24"/>
                <w:szCs w:val="24"/>
              </w:rPr>
            </w:pPr>
            <w:r>
              <w:rPr>
                <w:rFonts w:hint="eastAsia"/>
                <w:b/>
                <w:sz w:val="24"/>
                <w:szCs w:val="24"/>
              </w:rPr>
              <w:t>有一定的科研工作能力和创新性</w:t>
            </w:r>
          </w:p>
        </w:tc>
        <w:tc>
          <w:tcPr>
            <w:tcW w:w="1417" w:type="dxa"/>
            <w:noWrap w:val="0"/>
            <w:vAlign w:val="center"/>
          </w:tcPr>
          <w:p w14:paraId="7757A728">
            <w:pPr>
              <w:spacing w:line="500" w:lineRule="exact"/>
              <w:jc w:val="center"/>
              <w:rPr>
                <w:rFonts w:hint="eastAsia"/>
                <w:b/>
                <w:sz w:val="24"/>
                <w:szCs w:val="24"/>
              </w:rPr>
            </w:pPr>
            <w:r>
              <w:rPr>
                <w:rFonts w:hint="eastAsia"/>
                <w:b/>
                <w:sz w:val="24"/>
                <w:szCs w:val="24"/>
              </w:rPr>
              <w:t>60分-74分</w:t>
            </w:r>
          </w:p>
        </w:tc>
        <w:tc>
          <w:tcPr>
            <w:tcW w:w="1440" w:type="dxa"/>
            <w:vMerge w:val="continue"/>
            <w:noWrap w:val="0"/>
            <w:vAlign w:val="center"/>
          </w:tcPr>
          <w:p w14:paraId="77A790FE">
            <w:pPr>
              <w:spacing w:line="500" w:lineRule="exact"/>
              <w:jc w:val="center"/>
              <w:rPr>
                <w:rFonts w:hint="eastAsia"/>
                <w:b/>
                <w:sz w:val="24"/>
                <w:szCs w:val="24"/>
              </w:rPr>
            </w:pPr>
          </w:p>
        </w:tc>
      </w:tr>
      <w:tr w14:paraId="56B3FEB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3" w:type="dxa"/>
            <w:vMerge w:val="continue"/>
            <w:tcBorders>
              <w:bottom w:val="single" w:color="auto" w:sz="12" w:space="0"/>
            </w:tcBorders>
            <w:noWrap w:val="0"/>
            <w:vAlign w:val="center"/>
          </w:tcPr>
          <w:p w14:paraId="090653E2">
            <w:pPr>
              <w:spacing w:line="460" w:lineRule="exact"/>
              <w:jc w:val="center"/>
              <w:rPr>
                <w:rFonts w:hint="eastAsia"/>
                <w:b/>
                <w:sz w:val="24"/>
                <w:szCs w:val="24"/>
              </w:rPr>
            </w:pPr>
          </w:p>
        </w:tc>
        <w:tc>
          <w:tcPr>
            <w:tcW w:w="5508" w:type="dxa"/>
            <w:tcBorders>
              <w:bottom w:val="single" w:color="auto" w:sz="12" w:space="0"/>
            </w:tcBorders>
            <w:noWrap w:val="0"/>
            <w:vAlign w:val="center"/>
          </w:tcPr>
          <w:p w14:paraId="031B32A1">
            <w:pPr>
              <w:spacing w:line="500" w:lineRule="exact"/>
              <w:rPr>
                <w:rFonts w:hint="eastAsia"/>
                <w:b/>
                <w:sz w:val="24"/>
                <w:szCs w:val="24"/>
              </w:rPr>
            </w:pPr>
            <w:r>
              <w:rPr>
                <w:rFonts w:hint="eastAsia"/>
                <w:b/>
                <w:sz w:val="24"/>
                <w:szCs w:val="24"/>
              </w:rPr>
              <w:t>科研工作能力较差，缺乏创新性</w:t>
            </w:r>
          </w:p>
        </w:tc>
        <w:tc>
          <w:tcPr>
            <w:tcW w:w="1417" w:type="dxa"/>
            <w:tcBorders>
              <w:bottom w:val="single" w:color="auto" w:sz="12" w:space="0"/>
            </w:tcBorders>
            <w:noWrap w:val="0"/>
            <w:vAlign w:val="center"/>
          </w:tcPr>
          <w:p w14:paraId="11212448">
            <w:pPr>
              <w:spacing w:line="500" w:lineRule="exact"/>
              <w:jc w:val="center"/>
              <w:rPr>
                <w:rFonts w:hint="eastAsia"/>
                <w:b/>
                <w:sz w:val="24"/>
                <w:szCs w:val="24"/>
              </w:rPr>
            </w:pPr>
            <w:r>
              <w:rPr>
                <w:rFonts w:hint="eastAsia"/>
                <w:b/>
                <w:sz w:val="24"/>
                <w:szCs w:val="24"/>
              </w:rPr>
              <w:t>60分以下</w:t>
            </w:r>
          </w:p>
        </w:tc>
        <w:tc>
          <w:tcPr>
            <w:tcW w:w="1440" w:type="dxa"/>
            <w:vMerge w:val="continue"/>
            <w:tcBorders>
              <w:bottom w:val="single" w:color="auto" w:sz="12" w:space="0"/>
            </w:tcBorders>
            <w:noWrap w:val="0"/>
            <w:vAlign w:val="center"/>
          </w:tcPr>
          <w:p w14:paraId="0ED24DBE">
            <w:pPr>
              <w:spacing w:line="500" w:lineRule="exact"/>
              <w:jc w:val="center"/>
              <w:rPr>
                <w:rFonts w:hint="eastAsia"/>
                <w:b/>
                <w:sz w:val="24"/>
                <w:szCs w:val="24"/>
              </w:rPr>
            </w:pPr>
          </w:p>
        </w:tc>
      </w:tr>
      <w:tr w14:paraId="480337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3" w:type="dxa"/>
            <w:vMerge w:val="restart"/>
            <w:tcBorders>
              <w:top w:val="single" w:color="auto" w:sz="12" w:space="0"/>
            </w:tcBorders>
            <w:noWrap w:val="0"/>
            <w:vAlign w:val="center"/>
          </w:tcPr>
          <w:p w14:paraId="7D943F54">
            <w:pPr>
              <w:spacing w:line="460" w:lineRule="exact"/>
              <w:jc w:val="center"/>
              <w:rPr>
                <w:rFonts w:hint="eastAsia"/>
                <w:b/>
                <w:sz w:val="24"/>
                <w:szCs w:val="24"/>
              </w:rPr>
            </w:pPr>
            <w:r>
              <w:rPr>
                <w:rFonts w:hint="eastAsia"/>
                <w:b/>
                <w:sz w:val="24"/>
                <w:szCs w:val="24"/>
              </w:rPr>
              <w:t>写  作</w:t>
            </w:r>
          </w:p>
          <w:p w14:paraId="5451F8C9">
            <w:pPr>
              <w:spacing w:line="460" w:lineRule="exact"/>
              <w:jc w:val="center"/>
              <w:rPr>
                <w:rFonts w:hint="eastAsia"/>
                <w:b/>
                <w:sz w:val="24"/>
                <w:szCs w:val="24"/>
              </w:rPr>
            </w:pPr>
            <w:r>
              <w:rPr>
                <w:rFonts w:hint="eastAsia"/>
                <w:b/>
                <w:sz w:val="24"/>
                <w:szCs w:val="24"/>
              </w:rPr>
              <w:t>能  力</w:t>
            </w:r>
          </w:p>
          <w:p w14:paraId="7CA63476">
            <w:pPr>
              <w:spacing w:line="460" w:lineRule="exact"/>
              <w:jc w:val="center"/>
              <w:rPr>
                <w:rFonts w:hint="eastAsia" w:eastAsia="宋体"/>
                <w:b/>
                <w:sz w:val="24"/>
                <w:szCs w:val="24"/>
                <w:lang w:eastAsia="zh-CN"/>
              </w:rPr>
            </w:pPr>
            <w:r>
              <w:rPr>
                <w:rFonts w:hint="eastAsia"/>
                <w:b/>
                <w:sz w:val="24"/>
                <w:szCs w:val="24"/>
                <w:lang w:eastAsia="zh-CN"/>
              </w:rPr>
              <w:t>（</w:t>
            </w:r>
            <w:r>
              <w:rPr>
                <w:rFonts w:hint="eastAsia"/>
                <w:b/>
                <w:sz w:val="24"/>
                <w:szCs w:val="24"/>
                <w:lang w:val="en-US" w:eastAsia="zh-CN"/>
              </w:rPr>
              <w:t>20%</w:t>
            </w:r>
            <w:r>
              <w:rPr>
                <w:rFonts w:hint="eastAsia"/>
                <w:b/>
                <w:sz w:val="24"/>
                <w:szCs w:val="24"/>
                <w:lang w:eastAsia="zh-CN"/>
              </w:rPr>
              <w:t>）</w:t>
            </w:r>
          </w:p>
        </w:tc>
        <w:tc>
          <w:tcPr>
            <w:tcW w:w="5508" w:type="dxa"/>
            <w:tcBorders>
              <w:top w:val="single" w:color="auto" w:sz="12" w:space="0"/>
            </w:tcBorders>
            <w:noWrap w:val="0"/>
            <w:vAlign w:val="center"/>
          </w:tcPr>
          <w:p w14:paraId="0E530069">
            <w:pPr>
              <w:spacing w:line="500" w:lineRule="exact"/>
              <w:rPr>
                <w:rFonts w:hint="eastAsia"/>
                <w:b/>
                <w:sz w:val="24"/>
                <w:szCs w:val="24"/>
              </w:rPr>
            </w:pPr>
            <w:r>
              <w:rPr>
                <w:rFonts w:hint="eastAsia"/>
                <w:b/>
                <w:sz w:val="24"/>
                <w:szCs w:val="24"/>
              </w:rPr>
              <w:t>条理清晰，层次分明，文笔流畅，学风严谨</w:t>
            </w:r>
          </w:p>
        </w:tc>
        <w:tc>
          <w:tcPr>
            <w:tcW w:w="1417" w:type="dxa"/>
            <w:tcBorders>
              <w:top w:val="single" w:color="auto" w:sz="12" w:space="0"/>
            </w:tcBorders>
            <w:noWrap w:val="0"/>
            <w:vAlign w:val="center"/>
          </w:tcPr>
          <w:p w14:paraId="75CA13D6">
            <w:pPr>
              <w:spacing w:line="500" w:lineRule="exact"/>
              <w:jc w:val="center"/>
              <w:rPr>
                <w:rFonts w:hint="eastAsia"/>
                <w:b/>
                <w:sz w:val="24"/>
                <w:szCs w:val="24"/>
              </w:rPr>
            </w:pPr>
            <w:r>
              <w:rPr>
                <w:rFonts w:hint="eastAsia"/>
                <w:b/>
                <w:sz w:val="24"/>
                <w:szCs w:val="24"/>
              </w:rPr>
              <w:t>90分以上</w:t>
            </w:r>
          </w:p>
        </w:tc>
        <w:tc>
          <w:tcPr>
            <w:tcW w:w="1440" w:type="dxa"/>
            <w:vMerge w:val="restart"/>
            <w:tcBorders>
              <w:top w:val="single" w:color="auto" w:sz="12" w:space="0"/>
            </w:tcBorders>
            <w:noWrap w:val="0"/>
            <w:vAlign w:val="center"/>
          </w:tcPr>
          <w:p w14:paraId="6AF2CFAB">
            <w:pPr>
              <w:spacing w:line="500" w:lineRule="exact"/>
              <w:rPr>
                <w:rFonts w:hint="default" w:eastAsia="宋体"/>
                <w:b/>
                <w:sz w:val="24"/>
                <w:szCs w:val="24"/>
                <w:lang w:val="en-US" w:eastAsia="zh-CN"/>
              </w:rPr>
            </w:pPr>
            <w:r>
              <w:rPr>
                <w:rFonts w:hint="eastAsia"/>
                <w:b/>
                <w:bCs/>
                <w:sz w:val="24"/>
                <w:szCs w:val="24"/>
                <w:lang w:val="en-US" w:eastAsia="zh-CN"/>
              </w:rPr>
              <w:t>X</w:t>
            </w:r>
            <w:r>
              <w:rPr>
                <w:rFonts w:hint="eastAsia" w:eastAsiaTheme="minorEastAsia"/>
                <w:b/>
                <w:bCs/>
                <w:sz w:val="24"/>
                <w:szCs w:val="24"/>
                <w:vertAlign w:val="subscript"/>
                <w:lang w:val="en-US" w:eastAsia="zh-CN"/>
              </w:rPr>
              <w:t>3</w:t>
            </w:r>
            <w:r>
              <w:rPr>
                <w:rFonts w:hint="eastAsia"/>
                <w:b/>
                <w:sz w:val="24"/>
                <w:szCs w:val="24"/>
                <w:lang w:val="en-US" w:eastAsia="zh-CN"/>
              </w:rPr>
              <w:t>=</w:t>
            </w:r>
          </w:p>
        </w:tc>
      </w:tr>
      <w:tr w14:paraId="165DE2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3" w:type="dxa"/>
            <w:vMerge w:val="continue"/>
            <w:noWrap w:val="0"/>
            <w:vAlign w:val="center"/>
          </w:tcPr>
          <w:p w14:paraId="1C3A87C9">
            <w:pPr>
              <w:spacing w:line="460" w:lineRule="exact"/>
              <w:jc w:val="center"/>
              <w:rPr>
                <w:rFonts w:hint="eastAsia"/>
                <w:b/>
                <w:sz w:val="24"/>
                <w:szCs w:val="24"/>
              </w:rPr>
            </w:pPr>
          </w:p>
        </w:tc>
        <w:tc>
          <w:tcPr>
            <w:tcW w:w="5508" w:type="dxa"/>
            <w:noWrap w:val="0"/>
            <w:vAlign w:val="center"/>
          </w:tcPr>
          <w:p w14:paraId="6A707DA5">
            <w:pPr>
              <w:spacing w:line="500" w:lineRule="exact"/>
              <w:rPr>
                <w:rFonts w:hint="eastAsia"/>
                <w:b/>
                <w:sz w:val="24"/>
                <w:szCs w:val="24"/>
              </w:rPr>
            </w:pPr>
            <w:r>
              <w:rPr>
                <w:rFonts w:hint="eastAsia"/>
                <w:b/>
                <w:sz w:val="24"/>
                <w:szCs w:val="24"/>
              </w:rPr>
              <w:t>条理性好，层次分明，文笔较好，学风较严谨</w:t>
            </w:r>
          </w:p>
        </w:tc>
        <w:tc>
          <w:tcPr>
            <w:tcW w:w="1417" w:type="dxa"/>
            <w:noWrap w:val="0"/>
            <w:vAlign w:val="center"/>
          </w:tcPr>
          <w:p w14:paraId="7AA3DC1D">
            <w:pPr>
              <w:spacing w:line="500" w:lineRule="exact"/>
              <w:jc w:val="center"/>
              <w:rPr>
                <w:rFonts w:hint="eastAsia"/>
                <w:b/>
                <w:sz w:val="24"/>
                <w:szCs w:val="24"/>
              </w:rPr>
            </w:pPr>
            <w:r>
              <w:rPr>
                <w:rFonts w:hint="eastAsia"/>
                <w:b/>
                <w:sz w:val="24"/>
                <w:szCs w:val="24"/>
              </w:rPr>
              <w:t>75分-89分</w:t>
            </w:r>
          </w:p>
        </w:tc>
        <w:tc>
          <w:tcPr>
            <w:tcW w:w="1440" w:type="dxa"/>
            <w:vMerge w:val="continue"/>
            <w:noWrap w:val="0"/>
            <w:vAlign w:val="center"/>
          </w:tcPr>
          <w:p w14:paraId="3183A7FB">
            <w:pPr>
              <w:spacing w:line="500" w:lineRule="exact"/>
              <w:jc w:val="center"/>
              <w:rPr>
                <w:rFonts w:hint="eastAsia"/>
                <w:b/>
                <w:sz w:val="24"/>
                <w:szCs w:val="24"/>
              </w:rPr>
            </w:pPr>
          </w:p>
        </w:tc>
      </w:tr>
      <w:tr w14:paraId="2DA61A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3" w:type="dxa"/>
            <w:vMerge w:val="continue"/>
            <w:noWrap w:val="0"/>
            <w:vAlign w:val="center"/>
          </w:tcPr>
          <w:p w14:paraId="4E313CD3">
            <w:pPr>
              <w:spacing w:line="460" w:lineRule="exact"/>
              <w:jc w:val="center"/>
              <w:rPr>
                <w:rFonts w:hint="eastAsia"/>
                <w:b/>
                <w:sz w:val="24"/>
                <w:szCs w:val="24"/>
              </w:rPr>
            </w:pPr>
          </w:p>
        </w:tc>
        <w:tc>
          <w:tcPr>
            <w:tcW w:w="5508" w:type="dxa"/>
            <w:noWrap w:val="0"/>
            <w:vAlign w:val="center"/>
          </w:tcPr>
          <w:p w14:paraId="1F50E58C">
            <w:pPr>
              <w:spacing w:line="500" w:lineRule="exact"/>
              <w:rPr>
                <w:rFonts w:hint="eastAsia"/>
                <w:b/>
                <w:sz w:val="24"/>
                <w:szCs w:val="24"/>
              </w:rPr>
            </w:pPr>
            <w:r>
              <w:rPr>
                <w:rFonts w:hint="eastAsia"/>
                <w:b/>
                <w:sz w:val="24"/>
                <w:szCs w:val="24"/>
              </w:rPr>
              <w:t>写作能力尚可</w:t>
            </w:r>
          </w:p>
        </w:tc>
        <w:tc>
          <w:tcPr>
            <w:tcW w:w="1417" w:type="dxa"/>
            <w:noWrap w:val="0"/>
            <w:vAlign w:val="center"/>
          </w:tcPr>
          <w:p w14:paraId="04A3E81B">
            <w:pPr>
              <w:spacing w:line="500" w:lineRule="exact"/>
              <w:jc w:val="center"/>
              <w:rPr>
                <w:rFonts w:hint="eastAsia"/>
                <w:b/>
                <w:sz w:val="24"/>
                <w:szCs w:val="24"/>
              </w:rPr>
            </w:pPr>
            <w:r>
              <w:rPr>
                <w:rFonts w:hint="eastAsia"/>
                <w:b/>
                <w:sz w:val="24"/>
                <w:szCs w:val="24"/>
              </w:rPr>
              <w:t>60分-74分</w:t>
            </w:r>
          </w:p>
        </w:tc>
        <w:tc>
          <w:tcPr>
            <w:tcW w:w="1440" w:type="dxa"/>
            <w:vMerge w:val="continue"/>
            <w:noWrap w:val="0"/>
            <w:vAlign w:val="center"/>
          </w:tcPr>
          <w:p w14:paraId="4FD8CD5F">
            <w:pPr>
              <w:spacing w:line="500" w:lineRule="exact"/>
              <w:jc w:val="center"/>
              <w:rPr>
                <w:rFonts w:hint="eastAsia"/>
                <w:b/>
                <w:sz w:val="24"/>
                <w:szCs w:val="24"/>
              </w:rPr>
            </w:pPr>
          </w:p>
        </w:tc>
      </w:tr>
      <w:tr w14:paraId="0D649D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3" w:type="dxa"/>
            <w:vMerge w:val="continue"/>
            <w:tcBorders>
              <w:bottom w:val="single" w:color="auto" w:sz="12" w:space="0"/>
            </w:tcBorders>
            <w:noWrap w:val="0"/>
            <w:vAlign w:val="center"/>
          </w:tcPr>
          <w:p w14:paraId="47A5AFFF">
            <w:pPr>
              <w:spacing w:line="460" w:lineRule="exact"/>
              <w:jc w:val="center"/>
              <w:rPr>
                <w:rFonts w:hint="eastAsia"/>
                <w:b/>
                <w:sz w:val="24"/>
                <w:szCs w:val="24"/>
              </w:rPr>
            </w:pPr>
          </w:p>
        </w:tc>
        <w:tc>
          <w:tcPr>
            <w:tcW w:w="5508" w:type="dxa"/>
            <w:tcBorders>
              <w:bottom w:val="single" w:color="auto" w:sz="12" w:space="0"/>
            </w:tcBorders>
            <w:noWrap w:val="0"/>
            <w:vAlign w:val="center"/>
          </w:tcPr>
          <w:p w14:paraId="6E82A94E">
            <w:pPr>
              <w:spacing w:line="500" w:lineRule="exact"/>
              <w:rPr>
                <w:rFonts w:hint="eastAsia"/>
                <w:b/>
                <w:sz w:val="24"/>
                <w:szCs w:val="24"/>
              </w:rPr>
            </w:pPr>
            <w:r>
              <w:rPr>
                <w:rFonts w:hint="eastAsia"/>
                <w:b/>
                <w:sz w:val="24"/>
                <w:szCs w:val="24"/>
              </w:rPr>
              <w:t>写作能力差</w:t>
            </w:r>
          </w:p>
        </w:tc>
        <w:tc>
          <w:tcPr>
            <w:tcW w:w="1417" w:type="dxa"/>
            <w:tcBorders>
              <w:bottom w:val="single" w:color="auto" w:sz="12" w:space="0"/>
            </w:tcBorders>
            <w:noWrap w:val="0"/>
            <w:vAlign w:val="center"/>
          </w:tcPr>
          <w:p w14:paraId="319B09F2">
            <w:pPr>
              <w:spacing w:line="500" w:lineRule="exact"/>
              <w:jc w:val="center"/>
              <w:rPr>
                <w:rFonts w:hint="eastAsia"/>
                <w:b/>
                <w:sz w:val="24"/>
                <w:szCs w:val="24"/>
              </w:rPr>
            </w:pPr>
            <w:r>
              <w:rPr>
                <w:rFonts w:hint="eastAsia"/>
                <w:b/>
                <w:sz w:val="24"/>
                <w:szCs w:val="24"/>
              </w:rPr>
              <w:t>60分以下</w:t>
            </w:r>
          </w:p>
        </w:tc>
        <w:tc>
          <w:tcPr>
            <w:tcW w:w="1440" w:type="dxa"/>
            <w:vMerge w:val="continue"/>
            <w:tcBorders>
              <w:bottom w:val="single" w:color="auto" w:sz="12" w:space="0"/>
            </w:tcBorders>
            <w:noWrap w:val="0"/>
            <w:vAlign w:val="center"/>
          </w:tcPr>
          <w:p w14:paraId="0333B6DF">
            <w:pPr>
              <w:spacing w:line="500" w:lineRule="exact"/>
              <w:jc w:val="center"/>
              <w:rPr>
                <w:rFonts w:hint="eastAsia"/>
                <w:b/>
                <w:sz w:val="24"/>
                <w:szCs w:val="24"/>
              </w:rPr>
            </w:pPr>
          </w:p>
        </w:tc>
      </w:tr>
      <w:tr w14:paraId="2DC3D8A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791" w:hRule="atLeast"/>
        </w:trPr>
        <w:tc>
          <w:tcPr>
            <w:tcW w:w="1263" w:type="dxa"/>
            <w:tcBorders>
              <w:top w:val="single" w:color="auto" w:sz="12" w:space="0"/>
              <w:bottom w:val="single" w:color="auto" w:sz="12" w:space="0"/>
            </w:tcBorders>
            <w:noWrap w:val="0"/>
            <w:vAlign w:val="center"/>
          </w:tcPr>
          <w:p w14:paraId="4F572F85">
            <w:pPr>
              <w:spacing w:line="460" w:lineRule="exact"/>
              <w:jc w:val="center"/>
              <w:rPr>
                <w:rFonts w:hint="eastAsia"/>
                <w:b/>
                <w:sz w:val="24"/>
                <w:szCs w:val="24"/>
              </w:rPr>
            </w:pPr>
            <w:r>
              <w:rPr>
                <w:rFonts w:hint="eastAsia"/>
                <w:b/>
                <w:sz w:val="24"/>
                <w:szCs w:val="24"/>
              </w:rPr>
              <w:t>论  文</w:t>
            </w:r>
          </w:p>
          <w:p w14:paraId="2EAF2304">
            <w:pPr>
              <w:spacing w:line="460" w:lineRule="exact"/>
              <w:jc w:val="center"/>
              <w:rPr>
                <w:rFonts w:hint="eastAsia"/>
                <w:b/>
                <w:sz w:val="24"/>
                <w:szCs w:val="24"/>
              </w:rPr>
            </w:pPr>
            <w:r>
              <w:rPr>
                <w:rFonts w:hint="eastAsia"/>
                <w:b/>
                <w:sz w:val="24"/>
                <w:szCs w:val="24"/>
              </w:rPr>
              <w:t>总评分</w:t>
            </w:r>
          </w:p>
        </w:tc>
        <w:tc>
          <w:tcPr>
            <w:tcW w:w="8365" w:type="dxa"/>
            <w:gridSpan w:val="3"/>
            <w:tcBorders>
              <w:top w:val="single" w:color="auto" w:sz="12" w:space="0"/>
              <w:bottom w:val="single" w:color="auto" w:sz="12" w:space="0"/>
            </w:tcBorders>
            <w:noWrap w:val="0"/>
            <w:vAlign w:val="center"/>
          </w:tcPr>
          <w:p w14:paraId="4A4ECFB3">
            <w:pPr>
              <w:spacing w:line="500" w:lineRule="exact"/>
              <w:rPr>
                <w:rFonts w:hint="default" w:eastAsia="宋体"/>
                <w:b/>
                <w:sz w:val="24"/>
                <w:szCs w:val="24"/>
                <w:lang w:val="en-US" w:eastAsia="zh-CN"/>
              </w:rPr>
            </w:pPr>
            <w:r>
              <w:rPr>
                <w:rFonts w:hint="eastAsia"/>
                <w:b/>
                <w:sz w:val="24"/>
                <w:szCs w:val="24"/>
              </w:rPr>
              <w:t xml:space="preserve">   </w:t>
            </w:r>
            <w:r>
              <w:rPr>
                <w:rFonts w:hint="eastAsia"/>
                <w:b/>
                <w:sz w:val="24"/>
                <w:szCs w:val="24"/>
                <w:lang w:val="en-US" w:eastAsia="zh-CN"/>
              </w:rPr>
              <w:t>X=0.4</w:t>
            </w:r>
            <w:r>
              <w:rPr>
                <w:rFonts w:hint="eastAsia"/>
                <w:b/>
                <w:bCs/>
                <w:sz w:val="24"/>
                <w:szCs w:val="24"/>
                <w:lang w:val="en-US" w:eastAsia="zh-CN"/>
              </w:rPr>
              <w:t>X</w:t>
            </w:r>
            <w:r>
              <w:rPr>
                <w:rFonts w:hint="eastAsia" w:eastAsiaTheme="minorEastAsia"/>
                <w:b/>
                <w:bCs/>
                <w:sz w:val="24"/>
                <w:szCs w:val="24"/>
                <w:vertAlign w:val="subscript"/>
                <w:lang w:val="en-US" w:eastAsia="zh-CN"/>
              </w:rPr>
              <w:t>1</w:t>
            </w:r>
            <w:r>
              <w:rPr>
                <w:rFonts w:hint="eastAsia"/>
                <w:b/>
                <w:sz w:val="24"/>
                <w:szCs w:val="24"/>
                <w:lang w:val="en-US" w:eastAsia="zh-CN"/>
              </w:rPr>
              <w:t>+0.4</w:t>
            </w:r>
            <w:r>
              <w:rPr>
                <w:rFonts w:hint="eastAsia"/>
                <w:b/>
                <w:bCs/>
                <w:sz w:val="24"/>
                <w:szCs w:val="24"/>
                <w:lang w:val="en-US" w:eastAsia="zh-CN"/>
              </w:rPr>
              <w:t>X</w:t>
            </w:r>
            <w:r>
              <w:rPr>
                <w:rFonts w:hint="eastAsia" w:eastAsiaTheme="minorEastAsia"/>
                <w:b/>
                <w:bCs/>
                <w:sz w:val="24"/>
                <w:szCs w:val="24"/>
                <w:vertAlign w:val="subscript"/>
                <w:lang w:val="en-US" w:eastAsia="zh-CN"/>
              </w:rPr>
              <w:t>2</w:t>
            </w:r>
            <w:r>
              <w:rPr>
                <w:rFonts w:hint="eastAsia"/>
                <w:b/>
                <w:sz w:val="24"/>
                <w:szCs w:val="24"/>
                <w:lang w:val="en-US" w:eastAsia="zh-CN"/>
              </w:rPr>
              <w:t>+0.2</w:t>
            </w:r>
            <w:r>
              <w:rPr>
                <w:rFonts w:hint="eastAsia"/>
                <w:b/>
                <w:bCs/>
                <w:sz w:val="24"/>
                <w:szCs w:val="24"/>
                <w:lang w:val="en-US" w:eastAsia="zh-CN"/>
              </w:rPr>
              <w:t>X</w:t>
            </w:r>
            <w:r>
              <w:rPr>
                <w:rFonts w:hint="eastAsia" w:eastAsiaTheme="minorEastAsia"/>
                <w:b/>
                <w:bCs/>
                <w:sz w:val="24"/>
                <w:szCs w:val="24"/>
                <w:vertAlign w:val="subscript"/>
                <w:lang w:val="en-US" w:eastAsia="zh-CN"/>
              </w:rPr>
              <w:t>3</w:t>
            </w:r>
            <w:r>
              <w:rPr>
                <w:rFonts w:hint="eastAsia"/>
                <w:b/>
                <w:sz w:val="24"/>
                <w:szCs w:val="24"/>
                <w:lang w:val="en-US" w:eastAsia="zh-CN"/>
              </w:rPr>
              <w:t>=</w:t>
            </w:r>
          </w:p>
        </w:tc>
      </w:tr>
      <w:tr w14:paraId="6C1600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2868" w:hRule="atLeast"/>
        </w:trPr>
        <w:tc>
          <w:tcPr>
            <w:tcW w:w="1263" w:type="dxa"/>
            <w:tcBorders>
              <w:top w:val="single" w:color="auto" w:sz="12" w:space="0"/>
              <w:bottom w:val="single" w:color="auto" w:sz="12" w:space="0"/>
            </w:tcBorders>
            <w:noWrap w:val="0"/>
            <w:vAlign w:val="center"/>
          </w:tcPr>
          <w:p w14:paraId="0BAD8930">
            <w:pPr>
              <w:spacing w:line="460" w:lineRule="exact"/>
              <w:jc w:val="center"/>
              <w:rPr>
                <w:rFonts w:hint="eastAsia"/>
                <w:b/>
                <w:sz w:val="24"/>
                <w:szCs w:val="24"/>
              </w:rPr>
            </w:pPr>
            <w:r>
              <w:rPr>
                <w:rFonts w:hint="eastAsia"/>
                <w:b/>
                <w:sz w:val="24"/>
                <w:szCs w:val="24"/>
              </w:rPr>
              <w:t>论文</w:t>
            </w:r>
          </w:p>
          <w:p w14:paraId="4805DA19">
            <w:pPr>
              <w:spacing w:line="460" w:lineRule="exact"/>
              <w:jc w:val="center"/>
              <w:rPr>
                <w:rFonts w:hint="eastAsia"/>
                <w:b/>
                <w:sz w:val="24"/>
                <w:szCs w:val="24"/>
              </w:rPr>
            </w:pPr>
            <w:r>
              <w:rPr>
                <w:rFonts w:hint="eastAsia"/>
                <w:b/>
                <w:sz w:val="24"/>
                <w:szCs w:val="24"/>
              </w:rPr>
              <w:t>的</w:t>
            </w:r>
            <w:r>
              <w:rPr>
                <w:rFonts w:hint="eastAsia"/>
                <w:b/>
                <w:sz w:val="24"/>
                <w:szCs w:val="24"/>
                <w:lang w:val="en-US" w:eastAsia="zh-CN"/>
              </w:rPr>
              <w:t>总体</w:t>
            </w:r>
            <w:r>
              <w:rPr>
                <w:rFonts w:hint="eastAsia"/>
                <w:b/>
                <w:sz w:val="24"/>
                <w:szCs w:val="24"/>
              </w:rPr>
              <w:t>评价</w:t>
            </w:r>
          </w:p>
        </w:tc>
        <w:tc>
          <w:tcPr>
            <w:tcW w:w="8365" w:type="dxa"/>
            <w:gridSpan w:val="3"/>
            <w:tcBorders>
              <w:top w:val="single" w:color="auto" w:sz="12" w:space="0"/>
              <w:bottom w:val="single" w:color="auto" w:sz="12" w:space="0"/>
            </w:tcBorders>
            <w:noWrap w:val="0"/>
            <w:vAlign w:val="center"/>
          </w:tcPr>
          <w:p w14:paraId="516DC173">
            <w:pPr>
              <w:spacing w:line="500" w:lineRule="exact"/>
              <w:rPr>
                <w:rFonts w:hint="eastAsia"/>
                <w:b/>
                <w:sz w:val="24"/>
                <w:szCs w:val="24"/>
              </w:rPr>
            </w:pPr>
          </w:p>
          <w:p w14:paraId="4EB6E1ED">
            <w:pPr>
              <w:spacing w:line="500" w:lineRule="exact"/>
              <w:rPr>
                <w:rFonts w:hint="eastAsia"/>
                <w:b/>
                <w:sz w:val="24"/>
                <w:szCs w:val="24"/>
                <w:lang w:val="en-US" w:eastAsia="zh-CN"/>
              </w:rPr>
            </w:pPr>
            <w:r>
              <w:rPr>
                <w:rFonts w:hint="eastAsia"/>
                <w:b/>
                <w:sz w:val="24"/>
                <w:szCs w:val="24"/>
                <w:lang w:val="en-US" w:eastAsia="zh-CN"/>
              </w:rPr>
              <w:t xml:space="preserve">  </w:t>
            </w:r>
          </w:p>
          <w:p w14:paraId="2E925946">
            <w:pPr>
              <w:spacing w:line="500" w:lineRule="exact"/>
              <w:rPr>
                <w:rFonts w:hint="eastAsia"/>
                <w:b/>
                <w:sz w:val="24"/>
                <w:szCs w:val="24"/>
                <w:lang w:val="en-US" w:eastAsia="zh-CN"/>
              </w:rPr>
            </w:pPr>
          </w:p>
          <w:p w14:paraId="10E9D893">
            <w:pPr>
              <w:spacing w:line="500" w:lineRule="exact"/>
              <w:rPr>
                <w:rFonts w:hint="eastAsia"/>
                <w:b/>
                <w:sz w:val="24"/>
                <w:szCs w:val="24"/>
                <w:lang w:val="en-US" w:eastAsia="zh-CN"/>
              </w:rPr>
            </w:pPr>
          </w:p>
          <w:p w14:paraId="752987D6">
            <w:pPr>
              <w:spacing w:line="500" w:lineRule="exact"/>
              <w:rPr>
                <w:rFonts w:hint="eastAsia"/>
                <w:b/>
                <w:sz w:val="24"/>
                <w:szCs w:val="24"/>
                <w:lang w:val="en-US" w:eastAsia="zh-CN"/>
              </w:rPr>
            </w:pPr>
          </w:p>
          <w:p w14:paraId="38D386CC">
            <w:pPr>
              <w:spacing w:line="500" w:lineRule="exact"/>
              <w:rPr>
                <w:rFonts w:hint="eastAsia"/>
                <w:b/>
                <w:sz w:val="24"/>
                <w:szCs w:val="24"/>
                <w:lang w:val="en-US" w:eastAsia="zh-CN"/>
              </w:rPr>
            </w:pPr>
            <w:r>
              <w:rPr>
                <w:rFonts w:hint="eastAsia"/>
                <w:b/>
                <w:sz w:val="24"/>
                <w:szCs w:val="24"/>
                <w:lang w:val="en-US" w:eastAsia="zh-CN"/>
              </w:rPr>
              <w:t xml:space="preserve">                                         评阅老师签名：</w:t>
            </w:r>
          </w:p>
          <w:p w14:paraId="3934E288">
            <w:pPr>
              <w:spacing w:line="500" w:lineRule="exact"/>
              <w:rPr>
                <w:rFonts w:hint="default"/>
                <w:b/>
                <w:sz w:val="24"/>
                <w:szCs w:val="24"/>
                <w:lang w:val="en-US" w:eastAsia="zh-CN"/>
              </w:rPr>
            </w:pPr>
            <w:r>
              <w:rPr>
                <w:rFonts w:hint="eastAsia"/>
                <w:b/>
                <w:sz w:val="24"/>
                <w:szCs w:val="24"/>
                <w:lang w:val="en-US" w:eastAsia="zh-CN"/>
              </w:rPr>
              <w:t xml:space="preserve">                                                 年    月    日</w:t>
            </w:r>
          </w:p>
        </w:tc>
      </w:tr>
    </w:tbl>
    <w:p w14:paraId="4184D9F0">
      <w:pPr>
        <w:jc w:val="center"/>
        <w:rPr>
          <w:rFonts w:hint="default" w:eastAsia="宋体"/>
          <w:b/>
          <w:bCs/>
          <w:sz w:val="36"/>
          <w:szCs w:val="36"/>
          <w:lang w:val="en-US" w:eastAsia="zh-CN"/>
        </w:rPr>
      </w:pPr>
      <w:r>
        <w:rPr>
          <w:rFonts w:hint="eastAsia"/>
          <w:b/>
          <w:bCs/>
          <w:sz w:val="36"/>
          <w:szCs w:val="36"/>
          <w:lang w:val="en-US" w:eastAsia="zh-CN"/>
        </w:rPr>
        <w:t>课程论文评分细则</w:t>
      </w:r>
    </w:p>
    <w:p w14:paraId="2F29D167">
      <w:pPr>
        <w:keepNext w:val="0"/>
        <w:keepLines w:val="0"/>
        <w:pageBreakBefore w:val="0"/>
        <w:widowControl w:val="0"/>
        <w:numPr>
          <w:ilvl w:val="0"/>
          <w:numId w:val="0"/>
        </w:numPr>
        <w:kinsoku/>
        <w:wordWrap w:val="0"/>
        <w:overflowPunct/>
        <w:topLinePunct w:val="0"/>
        <w:autoSpaceDE/>
        <w:autoSpaceDN/>
        <w:bidi w:val="0"/>
        <w:adjustRightInd/>
        <w:snapToGrid/>
        <w:spacing w:line="360" w:lineRule="exact"/>
        <w:jc w:val="both"/>
        <w:textAlignment w:val="auto"/>
        <w:rPr>
          <w:rFonts w:hint="default" w:ascii="Times New Roman" w:hAnsi="Times New Roman" w:eastAsia="宋体" w:cs="宋体"/>
          <w:sz w:val="21"/>
          <w:szCs w:val="24"/>
          <w:lang w:val="en-US" w:eastAsia="zh-CN"/>
        </w:rPr>
      </w:pPr>
    </w:p>
    <w:sectPr>
      <w:headerReference r:id="rId7" w:type="default"/>
      <w:footerReference r:id="rId8"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新宋体">
    <w:panose1 w:val="02010609030101010101"/>
    <w:charset w:val="86"/>
    <w:family w:val="modern"/>
    <w:pitch w:val="default"/>
    <w:sig w:usb0="00000203" w:usb1="288F0000" w:usb2="00000006" w:usb3="00000000" w:csb0="00040001" w:csb1="00000000"/>
  </w:font>
  <w:font w:name="楷体_GB2312">
    <w:altName w:val="楷体"/>
    <w:panose1 w:val="02010609030101010101"/>
    <w:charset w:val="86"/>
    <w:family w:val="modern"/>
    <w:pitch w:val="default"/>
    <w:sig w:usb0="00000000" w:usb1="00000000" w:usb2="00000000" w:usb3="00000000" w:csb0="00040000" w:csb1="00000000"/>
  </w:font>
  <w:font w:name="Arial Black">
    <w:panose1 w:val="020B0A04020102020204"/>
    <w:charset w:val="00"/>
    <w:family w:val="swiss"/>
    <w:pitch w:val="default"/>
    <w:sig w:usb0="A00002AF" w:usb1="400078FB" w:usb2="00000000" w:usb3="00000000" w:csb0="6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CDC157">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E6C11F">
    <w:pPr>
      <w:pStyle w:val="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023F49">
    <w:pPr>
      <w:pStyle w:val="3"/>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CA338E7">
                          <w:pPr>
                            <w:pStyle w:val="3"/>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0CA338E7">
                    <w:pPr>
                      <w:pStyle w:val="3"/>
                    </w:pPr>
                    <w:r>
                      <w:fldChar w:fldCharType="begin"/>
                    </w:r>
                    <w:r>
                      <w:instrText xml:space="preserve"> PAGE  \* MERGEFORMAT </w:instrText>
                    </w:r>
                    <w:r>
                      <w:fldChar w:fldCharType="separate"/>
                    </w:r>
                    <w:r>
                      <w:t>6</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77D39E">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669EB7">
    <w:pPr>
      <w:pStyle w:val="4"/>
      <w:pBdr>
        <w:bottom w:val="thickThinSmallGap" w:color="auto" w:sz="12" w:space="1"/>
      </w:pBdr>
      <w:jc w:val="center"/>
      <w:rPr>
        <w:rFonts w:hint="default" w:eastAsiaTheme="minorEastAsia"/>
        <w:lang w:val="en-US" w:eastAsia="zh-CN"/>
      </w:rPr>
    </w:pPr>
    <w:r>
      <w:rPr>
        <w:rFonts w:hint="eastAsia"/>
        <w:lang w:val="en-US" w:eastAsia="zh-CN"/>
      </w:rPr>
      <w:t>《国际投资与跨国企业管理</w:t>
    </w:r>
    <w:r>
      <w:rPr>
        <w:rFonts w:hint="eastAsia"/>
        <w:lang w:eastAsia="zh-CN"/>
      </w:rPr>
      <w:t>》</w:t>
    </w:r>
    <w:r>
      <w:rPr>
        <w:rFonts w:hint="eastAsia"/>
        <w:lang w:val="en-US" w:eastAsia="zh-CN"/>
      </w:rPr>
      <w:t>期末课程论文</w:t>
    </w:r>
  </w:p>
  <w:p w14:paraId="69A409BE">
    <w:pPr>
      <w:pStyle w:val="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2A8D3A">
    <w:pPr>
      <w:pStyle w:val="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43FBFB7"/>
    <w:multiLevelType w:val="singleLevel"/>
    <w:tmpl w:val="B43FBFB7"/>
    <w:lvl w:ilvl="0" w:tentative="0">
      <w:start w:val="3"/>
      <w:numFmt w:val="chineseCounting"/>
      <w:suff w:val="space"/>
      <w:lvlText w:val="第%1章"/>
      <w:lvlJc w:val="left"/>
      <w:rPr>
        <w:rFonts w:hint="eastAsia"/>
      </w:rPr>
    </w:lvl>
  </w:abstractNum>
  <w:abstractNum w:abstractNumId="1">
    <w:nsid w:val="52E0D3B3"/>
    <w:multiLevelType w:val="singleLevel"/>
    <w:tmpl w:val="52E0D3B3"/>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FA8510F"/>
    <w:rsid w:val="000E7B1F"/>
    <w:rsid w:val="00207852"/>
    <w:rsid w:val="004D4AEB"/>
    <w:rsid w:val="006B6D1F"/>
    <w:rsid w:val="00A3295D"/>
    <w:rsid w:val="018A58CB"/>
    <w:rsid w:val="01F114A6"/>
    <w:rsid w:val="02097FF2"/>
    <w:rsid w:val="02E64D83"/>
    <w:rsid w:val="030516AD"/>
    <w:rsid w:val="03880463"/>
    <w:rsid w:val="03E05C76"/>
    <w:rsid w:val="03F67248"/>
    <w:rsid w:val="0442248D"/>
    <w:rsid w:val="04B0389B"/>
    <w:rsid w:val="04C74740"/>
    <w:rsid w:val="04FC263C"/>
    <w:rsid w:val="051C683A"/>
    <w:rsid w:val="054A15F9"/>
    <w:rsid w:val="05CA6AB5"/>
    <w:rsid w:val="061E46F4"/>
    <w:rsid w:val="06677F89"/>
    <w:rsid w:val="06DD649D"/>
    <w:rsid w:val="07373DFF"/>
    <w:rsid w:val="07B74F40"/>
    <w:rsid w:val="0808754A"/>
    <w:rsid w:val="084762C4"/>
    <w:rsid w:val="08A94889"/>
    <w:rsid w:val="09A3577C"/>
    <w:rsid w:val="09B554AF"/>
    <w:rsid w:val="0AB6328D"/>
    <w:rsid w:val="0AF12517"/>
    <w:rsid w:val="0B0E131B"/>
    <w:rsid w:val="0BDA11FD"/>
    <w:rsid w:val="0C2D757F"/>
    <w:rsid w:val="0D2B61B4"/>
    <w:rsid w:val="0D352B8F"/>
    <w:rsid w:val="0DB55A7E"/>
    <w:rsid w:val="0DC3019B"/>
    <w:rsid w:val="0DDF2AFB"/>
    <w:rsid w:val="0E7C659C"/>
    <w:rsid w:val="0FA61B22"/>
    <w:rsid w:val="10637A13"/>
    <w:rsid w:val="11001706"/>
    <w:rsid w:val="111E393A"/>
    <w:rsid w:val="117D4B05"/>
    <w:rsid w:val="11F33019"/>
    <w:rsid w:val="12B207DE"/>
    <w:rsid w:val="12B66520"/>
    <w:rsid w:val="134C0C32"/>
    <w:rsid w:val="13655850"/>
    <w:rsid w:val="139A199E"/>
    <w:rsid w:val="139F6FB4"/>
    <w:rsid w:val="141334FE"/>
    <w:rsid w:val="14321BD6"/>
    <w:rsid w:val="14327E28"/>
    <w:rsid w:val="149A4FA5"/>
    <w:rsid w:val="152F25BA"/>
    <w:rsid w:val="15F15AC1"/>
    <w:rsid w:val="17013AE2"/>
    <w:rsid w:val="1703785A"/>
    <w:rsid w:val="171D1460"/>
    <w:rsid w:val="17C835B7"/>
    <w:rsid w:val="17EA27C8"/>
    <w:rsid w:val="17FB13E7"/>
    <w:rsid w:val="186B3909"/>
    <w:rsid w:val="18BD7EDC"/>
    <w:rsid w:val="195C5947"/>
    <w:rsid w:val="19616ABA"/>
    <w:rsid w:val="19E716B5"/>
    <w:rsid w:val="19F40218"/>
    <w:rsid w:val="19F618F8"/>
    <w:rsid w:val="1A8B64E4"/>
    <w:rsid w:val="1B697EA8"/>
    <w:rsid w:val="1C33473D"/>
    <w:rsid w:val="1C450915"/>
    <w:rsid w:val="1C730FDE"/>
    <w:rsid w:val="1C9D24FF"/>
    <w:rsid w:val="1D3F5364"/>
    <w:rsid w:val="1D8A2A83"/>
    <w:rsid w:val="1DA63635"/>
    <w:rsid w:val="1DD97567"/>
    <w:rsid w:val="1ECE699F"/>
    <w:rsid w:val="1ECF44C6"/>
    <w:rsid w:val="1F2A12A3"/>
    <w:rsid w:val="1F494278"/>
    <w:rsid w:val="1F6966C8"/>
    <w:rsid w:val="207812B9"/>
    <w:rsid w:val="219E474B"/>
    <w:rsid w:val="22235254"/>
    <w:rsid w:val="22853819"/>
    <w:rsid w:val="22AC6FF8"/>
    <w:rsid w:val="2315251A"/>
    <w:rsid w:val="236E24FF"/>
    <w:rsid w:val="238B30B1"/>
    <w:rsid w:val="23C16AD3"/>
    <w:rsid w:val="23E34C9B"/>
    <w:rsid w:val="24443260"/>
    <w:rsid w:val="248B0E8F"/>
    <w:rsid w:val="248B3C0B"/>
    <w:rsid w:val="25300A93"/>
    <w:rsid w:val="25A1513A"/>
    <w:rsid w:val="25AE12D9"/>
    <w:rsid w:val="25D54AB7"/>
    <w:rsid w:val="25E66CC5"/>
    <w:rsid w:val="25EB6089"/>
    <w:rsid w:val="26250EE3"/>
    <w:rsid w:val="26D46B1D"/>
    <w:rsid w:val="26E825C8"/>
    <w:rsid w:val="27606603"/>
    <w:rsid w:val="27800A53"/>
    <w:rsid w:val="27A44741"/>
    <w:rsid w:val="27EE6754"/>
    <w:rsid w:val="28C80903"/>
    <w:rsid w:val="290A4A78"/>
    <w:rsid w:val="293D4E4D"/>
    <w:rsid w:val="2A3D2C2B"/>
    <w:rsid w:val="2A73489F"/>
    <w:rsid w:val="2AEB2687"/>
    <w:rsid w:val="2B996587"/>
    <w:rsid w:val="2CFB12A7"/>
    <w:rsid w:val="2D35408E"/>
    <w:rsid w:val="2D6F57F1"/>
    <w:rsid w:val="2DE75388"/>
    <w:rsid w:val="2E8A4AE8"/>
    <w:rsid w:val="2F2919D0"/>
    <w:rsid w:val="2F3F11F4"/>
    <w:rsid w:val="2FA63021"/>
    <w:rsid w:val="2FA8510F"/>
    <w:rsid w:val="30BD0622"/>
    <w:rsid w:val="313528AE"/>
    <w:rsid w:val="31EF6F01"/>
    <w:rsid w:val="327A2C6E"/>
    <w:rsid w:val="32FA5E94"/>
    <w:rsid w:val="33C323F3"/>
    <w:rsid w:val="33F97BC3"/>
    <w:rsid w:val="34322232"/>
    <w:rsid w:val="34362BC5"/>
    <w:rsid w:val="3474193F"/>
    <w:rsid w:val="35BC26D5"/>
    <w:rsid w:val="36195BEB"/>
    <w:rsid w:val="36370E76"/>
    <w:rsid w:val="36B97ADD"/>
    <w:rsid w:val="36E07F82"/>
    <w:rsid w:val="36FB1EA4"/>
    <w:rsid w:val="38843994"/>
    <w:rsid w:val="38AF1198"/>
    <w:rsid w:val="38EF77E6"/>
    <w:rsid w:val="38F016C8"/>
    <w:rsid w:val="394713D0"/>
    <w:rsid w:val="39761CB6"/>
    <w:rsid w:val="39810D86"/>
    <w:rsid w:val="39A16D33"/>
    <w:rsid w:val="3A034110"/>
    <w:rsid w:val="3A3A0F35"/>
    <w:rsid w:val="3A6A45BF"/>
    <w:rsid w:val="3A7E7074"/>
    <w:rsid w:val="3AF9494C"/>
    <w:rsid w:val="3B057795"/>
    <w:rsid w:val="3B1F2605"/>
    <w:rsid w:val="3B5B5607"/>
    <w:rsid w:val="3C4B1BF0"/>
    <w:rsid w:val="3C7A5183"/>
    <w:rsid w:val="3E18333B"/>
    <w:rsid w:val="3F5E7474"/>
    <w:rsid w:val="3F683126"/>
    <w:rsid w:val="3F6D76B7"/>
    <w:rsid w:val="400E2C48"/>
    <w:rsid w:val="40E0252B"/>
    <w:rsid w:val="40FF07E3"/>
    <w:rsid w:val="412B15D8"/>
    <w:rsid w:val="41850CE8"/>
    <w:rsid w:val="427D40B5"/>
    <w:rsid w:val="42D31F27"/>
    <w:rsid w:val="42E61C5A"/>
    <w:rsid w:val="43193DDE"/>
    <w:rsid w:val="433C684F"/>
    <w:rsid w:val="438356FB"/>
    <w:rsid w:val="43CC52F4"/>
    <w:rsid w:val="440C56F0"/>
    <w:rsid w:val="44D22496"/>
    <w:rsid w:val="44D404BD"/>
    <w:rsid w:val="44F70AD8"/>
    <w:rsid w:val="44FF5255"/>
    <w:rsid w:val="4502611A"/>
    <w:rsid w:val="45AD6A5F"/>
    <w:rsid w:val="45D93CF8"/>
    <w:rsid w:val="46902609"/>
    <w:rsid w:val="48403BBB"/>
    <w:rsid w:val="494D47E1"/>
    <w:rsid w:val="49757894"/>
    <w:rsid w:val="49F7299F"/>
    <w:rsid w:val="4A282B58"/>
    <w:rsid w:val="4A783AE0"/>
    <w:rsid w:val="4B2E4113"/>
    <w:rsid w:val="4B645E12"/>
    <w:rsid w:val="4BB22E3F"/>
    <w:rsid w:val="4BEE5948"/>
    <w:rsid w:val="4C4D4AF8"/>
    <w:rsid w:val="4C59524B"/>
    <w:rsid w:val="4C6432DA"/>
    <w:rsid w:val="4CC0310D"/>
    <w:rsid w:val="4CE0771A"/>
    <w:rsid w:val="4DE65204"/>
    <w:rsid w:val="4E127DA7"/>
    <w:rsid w:val="4E1E04FA"/>
    <w:rsid w:val="4E4D5283"/>
    <w:rsid w:val="4E5C54C6"/>
    <w:rsid w:val="4F2C7344"/>
    <w:rsid w:val="4F5F701C"/>
    <w:rsid w:val="4F68753C"/>
    <w:rsid w:val="4F876573"/>
    <w:rsid w:val="4FD80B7D"/>
    <w:rsid w:val="50681F00"/>
    <w:rsid w:val="50A62A29"/>
    <w:rsid w:val="51B80C66"/>
    <w:rsid w:val="52B61649"/>
    <w:rsid w:val="53D578AD"/>
    <w:rsid w:val="53FB308C"/>
    <w:rsid w:val="540208BE"/>
    <w:rsid w:val="54625C6E"/>
    <w:rsid w:val="55992B5C"/>
    <w:rsid w:val="559D43FA"/>
    <w:rsid w:val="577C44E3"/>
    <w:rsid w:val="5842572D"/>
    <w:rsid w:val="58811D3D"/>
    <w:rsid w:val="58852A1E"/>
    <w:rsid w:val="588B0E82"/>
    <w:rsid w:val="58900246"/>
    <w:rsid w:val="58CA7BFC"/>
    <w:rsid w:val="5A582FE6"/>
    <w:rsid w:val="5AA1673B"/>
    <w:rsid w:val="5AB521E6"/>
    <w:rsid w:val="5AD84127"/>
    <w:rsid w:val="5AFA409D"/>
    <w:rsid w:val="5B1213E7"/>
    <w:rsid w:val="5B7A6F8C"/>
    <w:rsid w:val="5BE014E5"/>
    <w:rsid w:val="5C7659A5"/>
    <w:rsid w:val="5C9577F1"/>
    <w:rsid w:val="5DB20C5F"/>
    <w:rsid w:val="5F3E6C4E"/>
    <w:rsid w:val="5F4678B1"/>
    <w:rsid w:val="5F6E6E08"/>
    <w:rsid w:val="5F77163C"/>
    <w:rsid w:val="5FD0361E"/>
    <w:rsid w:val="60145C01"/>
    <w:rsid w:val="6046488D"/>
    <w:rsid w:val="60997EB4"/>
    <w:rsid w:val="61135EB8"/>
    <w:rsid w:val="614147D4"/>
    <w:rsid w:val="6218061A"/>
    <w:rsid w:val="6263077A"/>
    <w:rsid w:val="63C74D38"/>
    <w:rsid w:val="63FE69AC"/>
    <w:rsid w:val="640B731B"/>
    <w:rsid w:val="64542A70"/>
    <w:rsid w:val="649E3CEB"/>
    <w:rsid w:val="653463FD"/>
    <w:rsid w:val="653C0683"/>
    <w:rsid w:val="65B55790"/>
    <w:rsid w:val="65FF6A0B"/>
    <w:rsid w:val="67220C03"/>
    <w:rsid w:val="67821488"/>
    <w:rsid w:val="685748DD"/>
    <w:rsid w:val="68B910F3"/>
    <w:rsid w:val="69653029"/>
    <w:rsid w:val="69A578CA"/>
    <w:rsid w:val="69B8584F"/>
    <w:rsid w:val="6AD00976"/>
    <w:rsid w:val="6AD20B92"/>
    <w:rsid w:val="6AF93A8C"/>
    <w:rsid w:val="6B4343E0"/>
    <w:rsid w:val="6B6317EA"/>
    <w:rsid w:val="6B724068"/>
    <w:rsid w:val="6D2154B9"/>
    <w:rsid w:val="6D8538CA"/>
    <w:rsid w:val="6DA3008D"/>
    <w:rsid w:val="6DCA23D8"/>
    <w:rsid w:val="6E934195"/>
    <w:rsid w:val="6F086931"/>
    <w:rsid w:val="6FA523D2"/>
    <w:rsid w:val="70765B1C"/>
    <w:rsid w:val="7141612A"/>
    <w:rsid w:val="714300F4"/>
    <w:rsid w:val="71522CE2"/>
    <w:rsid w:val="71F65166"/>
    <w:rsid w:val="722577FA"/>
    <w:rsid w:val="7400407A"/>
    <w:rsid w:val="74716291"/>
    <w:rsid w:val="748E5B2A"/>
    <w:rsid w:val="74AC7D5E"/>
    <w:rsid w:val="75157FF9"/>
    <w:rsid w:val="75567302"/>
    <w:rsid w:val="75BA294F"/>
    <w:rsid w:val="75DB226C"/>
    <w:rsid w:val="76143E0D"/>
    <w:rsid w:val="766A6123"/>
    <w:rsid w:val="76C068EE"/>
    <w:rsid w:val="76F5479D"/>
    <w:rsid w:val="77316C41"/>
    <w:rsid w:val="78E81581"/>
    <w:rsid w:val="799040F2"/>
    <w:rsid w:val="7A4F18B8"/>
    <w:rsid w:val="7A590988"/>
    <w:rsid w:val="7AB14320"/>
    <w:rsid w:val="7B7A2964"/>
    <w:rsid w:val="7C484810"/>
    <w:rsid w:val="7C8F0691"/>
    <w:rsid w:val="7CCF0A8E"/>
    <w:rsid w:val="7D3D00ED"/>
    <w:rsid w:val="7D513B99"/>
    <w:rsid w:val="7E5361E4"/>
    <w:rsid w:val="7E5A4CCF"/>
    <w:rsid w:val="7E90249F"/>
    <w:rsid w:val="7F1B445E"/>
    <w:rsid w:val="7F385010"/>
    <w:rsid w:val="7F6C6A68"/>
    <w:rsid w:val="7F963A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2">
    <w:name w:val="toc 3"/>
    <w:basedOn w:val="1"/>
    <w:next w:val="1"/>
    <w:qFormat/>
    <w:uiPriority w:val="0"/>
    <w:pPr>
      <w:ind w:left="840" w:leftChars="400"/>
    </w:p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toc 1"/>
    <w:basedOn w:val="1"/>
    <w:next w:val="1"/>
    <w:qFormat/>
    <w:uiPriority w:val="0"/>
  </w:style>
  <w:style w:type="paragraph" w:styleId="6">
    <w:name w:val="toc 2"/>
    <w:basedOn w:val="1"/>
    <w:next w:val="1"/>
    <w:qFormat/>
    <w:uiPriority w:val="0"/>
    <w:pPr>
      <w:ind w:left="420" w:leftChars="200"/>
    </w:p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 w:type="character" w:styleId="11">
    <w:name w:val="FollowedHyperlink"/>
    <w:basedOn w:val="9"/>
    <w:qFormat/>
    <w:uiPriority w:val="0"/>
    <w:rPr>
      <w:color w:val="800080"/>
      <w:u w:val="single"/>
    </w:rPr>
  </w:style>
  <w:style w:type="character" w:styleId="12">
    <w:name w:val="Emphasis"/>
    <w:basedOn w:val="9"/>
    <w:qFormat/>
    <w:uiPriority w:val="0"/>
    <w:rPr>
      <w:i/>
    </w:rPr>
  </w:style>
  <w:style w:type="character" w:styleId="13">
    <w:name w:val="Hyperlink"/>
    <w:basedOn w:val="9"/>
    <w:qFormat/>
    <w:uiPriority w:val="0"/>
    <w:rPr>
      <w:color w:val="0000FF"/>
      <w:u w:val="single"/>
    </w:rPr>
  </w:style>
  <w:style w:type="paragraph" w:customStyle="1" w:styleId="14">
    <w:name w:val="样式1"/>
    <w:basedOn w:val="1"/>
    <w:qFormat/>
    <w:uiPriority w:val="0"/>
    <w:pPr>
      <w:spacing w:line="440" w:lineRule="exact"/>
      <w:jc w:val="center"/>
    </w:pPr>
    <w:rPr>
      <w:rFonts w:ascii="宋体" w:hAnsi="宋体" w:eastAsia="宋体" w:cs="宋体"/>
      <w:b/>
      <w:sz w:val="30"/>
    </w:rPr>
  </w:style>
  <w:style w:type="paragraph" w:customStyle="1" w:styleId="15">
    <w:name w:val="样式2"/>
    <w:basedOn w:val="1"/>
    <w:link w:val="18"/>
    <w:qFormat/>
    <w:uiPriority w:val="0"/>
    <w:pPr>
      <w:spacing w:line="440" w:lineRule="exact"/>
      <w:ind w:firstLine="480" w:firstLineChars="200"/>
    </w:pPr>
    <w:rPr>
      <w:rFonts w:ascii="宋体" w:hAnsi="宋体" w:eastAsia="宋体" w:cs="宋体"/>
      <w:b/>
      <w:sz w:val="28"/>
    </w:rPr>
  </w:style>
  <w:style w:type="paragraph" w:customStyle="1" w:styleId="16">
    <w:name w:val="样式3"/>
    <w:basedOn w:val="1"/>
    <w:link w:val="17"/>
    <w:qFormat/>
    <w:uiPriority w:val="0"/>
    <w:pPr>
      <w:spacing w:line="440" w:lineRule="exact"/>
      <w:ind w:firstLine="480" w:firstLineChars="200"/>
    </w:pPr>
    <w:rPr>
      <w:rFonts w:ascii="宋体" w:hAnsi="宋体" w:eastAsia="宋体" w:cs="宋体"/>
      <w:b/>
      <w:sz w:val="24"/>
    </w:rPr>
  </w:style>
  <w:style w:type="character" w:customStyle="1" w:styleId="17">
    <w:name w:val="样式3 Char"/>
    <w:link w:val="16"/>
    <w:qFormat/>
    <w:uiPriority w:val="0"/>
    <w:rPr>
      <w:rFonts w:ascii="宋体" w:hAnsi="宋体" w:eastAsia="宋体" w:cs="宋体"/>
      <w:b/>
      <w:sz w:val="24"/>
    </w:rPr>
  </w:style>
  <w:style w:type="character" w:customStyle="1" w:styleId="18">
    <w:name w:val="样式2 Char"/>
    <w:link w:val="15"/>
    <w:qFormat/>
    <w:uiPriority w:val="0"/>
    <w:rPr>
      <w:rFonts w:ascii="宋体" w:hAnsi="宋体" w:eastAsia="宋体" w:cs="宋体"/>
      <w:b/>
      <w:sz w:val="2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header" Target="header2.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2.jpe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11195</Words>
  <Characters>14508</Characters>
  <Lines>0</Lines>
  <Paragraphs>0</Paragraphs>
  <TotalTime>1</TotalTime>
  <ScaleCrop>false</ScaleCrop>
  <LinksUpToDate>false</LinksUpToDate>
  <CharactersWithSpaces>15288</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2026-01-16T08:36:00Z</dcterms:created>
  <dc:creator>April2011</dc:creator>
  <cp:lastModifiedBy>April2011</cp:lastModifiedBy>
  <dcterms:modified xsi:type="dcterms:W3CDTF">2026-01-19T05:44:32Z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F29DA7DB5F354A08BEA6884E30A88F2D_11</vt:lpwstr>
  </property>
  <property fmtid="{D5CDD505-2E9C-101B-9397-08002B2CF9AE}" pid="4" name="KSOTemplateDocerSaveRecord">
    <vt:lpwstr>eyJoZGlkIjoiZGNiYmZhMGExZTM5ZTcwNmQzNTFjMDJjNzc2MTM1YmQiLCJ1c2VySWQiOiI5MDIzMTk0NjkifQ==</vt:lpwstr>
  </property>
</Properties>
</file>