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61B416" w14:textId="77777777" w:rsidR="00215532" w:rsidRPr="00392339" w:rsidRDefault="00215532">
      <w:pPr>
        <w:rPr>
          <w:rFonts w:ascii="Times New Roman Bold" w:eastAsia="Times New Roman" w:hAnsi="Times New Roman Bold" w:cs="Times New Roman Bold"/>
          <w:b/>
          <w:sz w:val="28"/>
          <w:szCs w:val="28"/>
          <w:lang w:val="en-US" w:eastAsia="ko-KR"/>
        </w:rPr>
      </w:pPr>
    </w:p>
    <w:tbl>
      <w:tblPr>
        <w:tblW w:w="8712" w:type="dxa"/>
        <w:jc w:val="center"/>
        <w:tblBorders>
          <w:top w:val="single" w:sz="12" w:space="0" w:color="000001"/>
          <w:left w:val="single" w:sz="12" w:space="0" w:color="000001"/>
          <w:bottom w:val="single" w:sz="12" w:space="0" w:color="000001"/>
          <w:right w:val="single" w:sz="12" w:space="0" w:color="000001"/>
          <w:insideH w:val="single" w:sz="12" w:space="0" w:color="000001"/>
          <w:insideV w:val="single" w:sz="12" w:space="0" w:color="000001"/>
        </w:tblBorders>
        <w:tblCellMar>
          <w:left w:w="100" w:type="dxa"/>
        </w:tblCellMar>
        <w:tblLook w:val="04A0" w:firstRow="1" w:lastRow="0" w:firstColumn="1" w:lastColumn="0" w:noHBand="0" w:noVBand="1"/>
      </w:tblPr>
      <w:tblGrid>
        <w:gridCol w:w="2555"/>
        <w:gridCol w:w="3420"/>
        <w:gridCol w:w="2737"/>
      </w:tblGrid>
      <w:tr w:rsidR="00215532" w14:paraId="18B32ECF" w14:textId="77777777">
        <w:trPr>
          <w:trHeight w:val="500"/>
          <w:jc w:val="center"/>
        </w:trPr>
        <w:tc>
          <w:tcPr>
            <w:tcW w:w="2555" w:type="dxa"/>
            <w:tcBorders>
              <w:top w:val="single" w:sz="12" w:space="0" w:color="000001"/>
              <w:left w:val="single" w:sz="12" w:space="0" w:color="000001"/>
              <w:bottom w:val="single" w:sz="12" w:space="0" w:color="000001"/>
              <w:right w:val="single" w:sz="12" w:space="0" w:color="000001"/>
            </w:tcBorders>
            <w:shd w:val="clear" w:color="auto" w:fill="FFFFFF"/>
            <w:tcMar>
              <w:left w:w="100" w:type="dxa"/>
            </w:tcMar>
            <w:vAlign w:val="center"/>
          </w:tcPr>
          <w:p w14:paraId="2A46B105" w14:textId="77777777" w:rsidR="00215532" w:rsidRDefault="00000000">
            <w:pPr>
              <w:spacing w:line="240" w:lineRule="auto"/>
              <w:jc w:val="center"/>
              <w:rPr>
                <w:rFonts w:ascii="Times New Roman Bold" w:hAnsi="Times New Roman Bold" w:cs="Times New Roman Bold"/>
                <w:b/>
              </w:rPr>
            </w:pPr>
            <w:r>
              <w:rPr>
                <w:rFonts w:ascii="Times New Roman Bold" w:eastAsia="Times New Roman" w:hAnsi="Times New Roman Bold" w:cs="Times New Roman Bold"/>
                <w:b/>
                <w:sz w:val="28"/>
                <w:szCs w:val="28"/>
              </w:rPr>
              <w:t>Fall 2026</w:t>
            </w:r>
          </w:p>
        </w:tc>
        <w:tc>
          <w:tcPr>
            <w:tcW w:w="3420" w:type="dxa"/>
            <w:tcBorders>
              <w:top w:val="single" w:sz="12" w:space="0" w:color="000001"/>
              <w:left w:val="single" w:sz="12" w:space="0" w:color="000001"/>
              <w:bottom w:val="single" w:sz="12" w:space="0" w:color="000001"/>
              <w:right w:val="single" w:sz="12" w:space="0" w:color="000001"/>
            </w:tcBorders>
            <w:shd w:val="clear" w:color="auto" w:fill="FFFFFF"/>
            <w:tcMar>
              <w:left w:w="100" w:type="dxa"/>
            </w:tcMar>
            <w:vAlign w:val="center"/>
          </w:tcPr>
          <w:p w14:paraId="7501DE69" w14:textId="77777777" w:rsidR="00215532" w:rsidRDefault="00000000">
            <w:pPr>
              <w:spacing w:line="240" w:lineRule="auto"/>
              <w:jc w:val="center"/>
              <w:rPr>
                <w:rFonts w:ascii="Times New Roman Bold" w:hAnsi="Times New Roman Bold" w:cs="Times New Roman Bold"/>
                <w:b/>
              </w:rPr>
            </w:pPr>
            <w:r>
              <w:rPr>
                <w:rFonts w:ascii="Times New Roman Bold" w:eastAsia="Times New Roman" w:hAnsi="Times New Roman Bold" w:cs="Times New Roman Bold"/>
                <w:b/>
                <w:sz w:val="28"/>
                <w:szCs w:val="28"/>
              </w:rPr>
              <w:t>Report # – 10/08/2026</w:t>
            </w:r>
          </w:p>
        </w:tc>
        <w:tc>
          <w:tcPr>
            <w:tcW w:w="2737" w:type="dxa"/>
            <w:tcBorders>
              <w:top w:val="single" w:sz="12" w:space="0" w:color="000001"/>
              <w:left w:val="single" w:sz="12" w:space="0" w:color="000001"/>
              <w:bottom w:val="single" w:sz="12" w:space="0" w:color="000001"/>
              <w:right w:val="single" w:sz="12" w:space="0" w:color="000001"/>
            </w:tcBorders>
            <w:shd w:val="clear" w:color="auto" w:fill="FFFFFF"/>
            <w:tcMar>
              <w:left w:w="100" w:type="dxa"/>
            </w:tcMar>
            <w:vAlign w:val="center"/>
          </w:tcPr>
          <w:p w14:paraId="63BE5AED" w14:textId="77777777" w:rsidR="00215532" w:rsidRDefault="00000000">
            <w:pPr>
              <w:spacing w:line="240" w:lineRule="auto"/>
              <w:jc w:val="center"/>
              <w:rPr>
                <w:rFonts w:ascii="Times New Roman Bold" w:hAnsi="Times New Roman Bold" w:cs="Times New Roman Bold"/>
                <w:b/>
              </w:rPr>
            </w:pPr>
            <w:r>
              <w:rPr>
                <w:rFonts w:ascii="Times New Roman Bold" w:eastAsia="Times New Roman" w:hAnsi="Times New Roman Bold" w:cs="Times New Roman Bold"/>
                <w:b/>
                <w:sz w:val="28"/>
                <w:szCs w:val="28"/>
              </w:rPr>
              <w:t>Wooyoung Kim</w:t>
            </w:r>
          </w:p>
        </w:tc>
      </w:tr>
    </w:tbl>
    <w:p w14:paraId="2D178694" w14:textId="77777777" w:rsidR="00215532" w:rsidRDefault="00215532">
      <w:pPr>
        <w:spacing w:line="240" w:lineRule="auto"/>
        <w:jc w:val="both"/>
        <w:rPr>
          <w:rFonts w:ascii="Times New Roman Bold" w:eastAsia="Times New Roman" w:hAnsi="Times New Roman Bold" w:cs="Times New Roman Bold"/>
          <w:b/>
          <w:sz w:val="24"/>
          <w:szCs w:val="24"/>
        </w:rPr>
      </w:pPr>
    </w:p>
    <w:p>
      <w:pPr>
        <w:keepNext/>
        <w:spacing w:line="240" w:lineRule="auto"/>
        <w:jc w:val="both"/>
        <w:rPr>
          <w:rFonts w:ascii="Times New Roman Bold" w:eastAsia="Times New Roman" w:hAnsi="Times New Roman Bold" w:cs="Times New Roman Bold"/>
          <w:b/>
          <w:sz w:val="24"/>
          <w:szCs w:val="24"/>
        </w:rPr>
      </w:pPr>
      <w:r>
        <w:rPr>
          <w:rFonts w:ascii="Times New Roman Bold" w:eastAsia="Times New Roman" w:hAnsi="Times New Roman Bold" w:cs="Times New Roman Bold"/>
          <w:b/>
          <w:sz w:val="24"/>
          <w:szCs w:val="24"/>
        </w:rPr>
        <w:t xml:space="preserve">——————————————————————————————————————</w:t>
      </w:r>
    </w:p>
    <w:p>
      <w:pPr>
        <w:keepNext/>
        <w:spacing w:line="240" w:lineRule="auto"/>
        <w:jc w:val="both"/>
        <w:rPr>
          <w:rFonts w:ascii="Times New Roman Bold" w:eastAsia="Times New Roman" w:hAnsi="Times New Roman Bold" w:cs="Times New Roman Bold"/>
          <w:b/>
          <w:sz w:val="24"/>
          <w:szCs w:val="24"/>
        </w:rPr>
      </w:pPr>
      <w:r>
        <w:rPr>
          <w:rFonts w:ascii="Times New Roman Bold" w:eastAsia="Times New Roman" w:hAnsi="Times New Roman Bold" w:cs="Times New Roman Bold"/>
          <w:b/>
          <w:sz w:val="24"/>
          <w:szCs w:val="24"/>
        </w:rPr>
        <w:t xml:space="preserve">I. Task achieved Last Week</w:t>
      </w:r>
    </w:p>
    <w:p>
      <w:pPr>
        <w:keepNext/>
        <w:spacing w:line="240" w:lineRule="auto"/>
        <w:jc w:val="both"/>
        <w:rPr>
          <w:rFonts w:ascii="Times New Roman Bold" w:eastAsia="Times New Roman" w:hAnsi="Times New Roman Bold" w:cs="Times New Roman Bold"/>
          <w:b/>
          <w:sz w:val="24"/>
          <w:szCs w:val="24"/>
        </w:rPr>
      </w:pPr>
      <w:r>
        <w:rPr>
          <w:rFonts w:ascii="Times New Roman Bold" w:eastAsia="Times New Roman" w:hAnsi="Times New Roman Bold" w:cs="Times New Roman Bold"/>
          <w:b/>
          <w:sz w:val="24"/>
          <w:szCs w:val="24"/>
        </w:rPr>
        <w:t xml:space="preserve">——————————————————————————————————————</w:t>
      </w:r>
    </w:p>
    <w:p>
      <w:pPr>
        <w:numPr>
          <w:ilvl w:val="0"/>
          <w:numId w:val="1"/>
        </w:numPr>
        <w:spacing w:line="240" w:lineRule="auto"/>
        <w:jc w:val="both"/>
        <w:rPr>
          <w:rFonts w:ascii="Times New Roman Bold" w:eastAsia="Times New Roman" w:hAnsi="Times New Roman Bold" w:cs="Times New Roman Bold"/>
          <w:b/>
          <w:sz w:val="24"/>
          <w:szCs w:val="24"/>
        </w:rPr>
      </w:pPr>
      <w:r>
        <w:rPr>
          <w:rFonts w:ascii="Times New Roman" w:eastAsia="Times New Roman" w:hAnsi="Times New Roman" w:cs="Times New Roman"/>
          <w:bCs/>
          <w:sz w:val="24"/>
          <w:szCs w:val="24"/>
          <w:lang w:val="en-US"/>
        </w:rPr>
        <w:t xml:space="preserve">Validated LaBraM (Jiang, Zhao &amp; Lu, Large Brain Model for Learning Generic Representations with Tremendous EEG Data in BCI, ICLR 2024) as a method in its own right, with its released code (</w:t>
      </w:r>
      <w:hyperlink r:id="rId9">
        <w:r>
          <w:rPr>
            <w:rStyle w:val="Hyperlink"/>
            <w:rFonts w:ascii="Times New Roman" w:eastAsia="Times New Roman" w:hAnsi="Times New Roman" w:cs="Times New Roman"/>
            <w:bCs/>
            <w:color w:val="0563C1"/>
            <w:u w:val="single"/>
            <w:sz w:val="24"/>
            <w:szCs w:val="24"/>
            <w:lang w:val="en-US"/>
          </w:rPr>
          <w:t xml:space="preserve">github.com/935963004/LaBraM</w:t>
        </w:r>
      </w:hyperlink>
      <w:r>
        <w:rPr>
          <w:rFonts w:ascii="Times New Roman" w:eastAsia="Times New Roman" w:hAnsi="Times New Roman" w:cs="Times New Roman"/>
          <w:bCs/>
          <w:sz w:val="24"/>
          <w:szCs w:val="24"/>
          <w:lang w:val="en-US"/>
        </w:rPr>
        <w:t xml:space="preserve">) and the only released weights (LaBraM-Base, 5.8M parameters).</w:t>
      </w:r>
    </w:p>
    <w:p>
      <w:pPr>
        <w:numPr>
          <w:ilvl w:val="0"/>
          <w:numId w:val="1"/>
        </w:numPr>
        <w:spacing w:line="240" w:lineRule="auto"/>
        <w:jc w:val="both"/>
        <w:rPr>
          <w:rFonts w:ascii="Times New Roman Bold" w:eastAsia="Times New Roman" w:hAnsi="Times New Roman Bold" w:cs="Times New Roman Bold"/>
          <w:b/>
          <w:sz w:val="24"/>
          <w:szCs w:val="24"/>
        </w:rPr>
      </w:pPr>
      <w:r>
        <w:rPr>
          <w:rFonts w:ascii="Times New Roman" w:eastAsia="Times New Roman" w:hAnsi="Times New Roman" w:cs="Times New Roman"/>
          <w:bCs/>
          <w:sz w:val="24"/>
          <w:szCs w:val="24"/>
          <w:lang w:val="en-US"/>
        </w:rPr>
        <w:t xml:space="preserve">Analyzed the 20 LaBraM-Base fine-tuning runs from last week (4 public datasets × 5 seeds, CBraMod’s splits) beyond the headline numbers: epoch-selection rule, decision threshold, seed spread and overfitting, all recomputed from the saved per-epoch predictions without a GPU.</w:t>
      </w:r>
    </w:p>
    <w:p>
      <w:pPr>
        <w:numPr>
          <w:ilvl w:val="0"/>
          <w:numId w:val="1"/>
        </w:numPr>
        <w:spacing w:line="240" w:lineRule="auto"/>
        <w:jc w:val="both"/>
        <w:rPr>
          <w:rFonts w:ascii="Times New Roman Bold" w:eastAsia="Times New Roman" w:hAnsi="Times New Roman Bold" w:cs="Times New Roman Bold"/>
          <w:b/>
          <w:sz w:val="24"/>
          <w:szCs w:val="24"/>
        </w:rPr>
      </w:pPr>
      <w:r>
        <w:rPr>
          <w:rFonts w:ascii="Times New Roman" w:eastAsia="Times New Roman" w:hAnsi="Times New Roman" w:cs="Times New Roman"/>
          <w:bCs/>
          <w:sz w:val="24"/>
          <w:szCs w:val="24"/>
          <w:lang w:val="en-US"/>
        </w:rPr>
        <w:t xml:space="preserve">Audited the paper against the released code and its 73 GitHub issues and pull requests, and traced where every baseline number in LaBraM’s Tables 1–2 comes from.</w:t>
      </w:r>
    </w:p>
    <w:p>
      <w:pPr>
        <w:numPr>
          <w:ilvl w:val="0"/>
          <w:numId w:val="1"/>
        </w:numPr>
        <w:spacing w:line="240" w:lineRule="auto"/>
        <w:jc w:val="both"/>
        <w:rPr>
          <w:rFonts w:ascii="Times New Roman Bold" w:eastAsia="Times New Roman" w:hAnsi="Times New Roman Bold" w:cs="Times New Roman Bold"/>
          <w:b/>
          <w:sz w:val="24"/>
          <w:szCs w:val="24"/>
        </w:rPr>
      </w:pPr>
      <w:r>
        <w:rPr>
          <w:rFonts w:ascii="Times New Roman" w:eastAsia="Times New Roman" w:hAnsi="Times New Roman" w:cs="Times New Roman"/>
          <w:bCs/>
          <w:sz w:val="24"/>
          <w:szCs w:val="24"/>
          <w:lang w:val="en-US"/>
        </w:rPr>
        <w:t xml:space="preserve">Read 21 EEG review, survey, benchmark and method papers to answer one question: when they report existing methods’ results, do they re-run the methods (reproduction) or copy the numbers from the original papers (citation)? Every classification below is backed by a quote with its page and table.</w:t>
      </w:r>
    </w:p>
    <w:p>
      <w:pPr>
        <w:keepNext/>
        <w:spacing w:line="240" w:lineRule="auto"/>
        <w:jc w:val="both"/>
        <w:rPr>
          <w:rFonts w:ascii="Times New Roman Bold" w:eastAsia="Times New Roman" w:hAnsi="Times New Roman Bold" w:cs="Times New Roman Bold"/>
          <w:b/>
          <w:sz w:val="24"/>
          <w:szCs w:val="24"/>
        </w:rPr>
      </w:pPr>
      <w:r>
        <w:rPr>
          <w:rFonts w:ascii="Times New Roman Bold" w:eastAsia="Times New Roman" w:hAnsi="Times New Roman Bold" w:cs="Times New Roman Bold"/>
          <w:b/>
          <w:sz w:val="24"/>
          <w:szCs w:val="24"/>
        </w:rPr>
        <w:t xml:space="preserve">——————————————————————————————————————</w:t>
      </w:r>
    </w:p>
    <w:p>
      <w:pPr>
        <w:keepNext/>
        <w:spacing w:line="240" w:lineRule="auto"/>
        <w:jc w:val="both"/>
        <w:rPr>
          <w:rFonts w:ascii="Times New Roman Bold" w:eastAsia="Times New Roman" w:hAnsi="Times New Roman Bold" w:cs="Times New Roman Bold"/>
          <w:b/>
          <w:sz w:val="24"/>
          <w:szCs w:val="24"/>
        </w:rPr>
      </w:pPr>
      <w:r>
        <w:rPr>
          <w:rFonts w:ascii="Times New Roman Bold" w:eastAsia="Times New Roman" w:hAnsi="Times New Roman Bold" w:cs="Times New Roman Bold"/>
          <w:b/>
          <w:sz w:val="24"/>
          <w:szCs w:val="24"/>
        </w:rPr>
        <w:t xml:space="preserve">II. Feedback and Interaction</w:t>
      </w:r>
    </w:p>
    <w:p>
      <w:pPr>
        <w:keepNext/>
        <w:spacing w:line="240" w:lineRule="auto"/>
        <w:jc w:val="both"/>
        <w:rPr>
          <w:rFonts w:ascii="Times New Roman Bold" w:eastAsia="Times New Roman" w:hAnsi="Times New Roman Bold" w:cs="Times New Roman Bold"/>
          <w:b/>
          <w:sz w:val="24"/>
          <w:szCs w:val="24"/>
        </w:rPr>
      </w:pPr>
      <w:r>
        <w:rPr>
          <w:rFonts w:ascii="Times New Roman Bold" w:eastAsia="Times New Roman" w:hAnsi="Times New Roman Bold" w:cs="Times New Roman Bold"/>
          <w:b/>
          <w:sz w:val="24"/>
          <w:szCs w:val="24"/>
        </w:rPr>
        <w:t xml:space="preserve">——————————————————————————————————————</w:t>
      </w:r>
    </w:p>
    <w:p>
      <w:pPr>
        <w:numPr>
          <w:ilvl w:val="0"/>
          <w:numId w:val="2"/>
        </w:numPr>
        <w:spacing w:line="240" w:lineRule="auto"/>
        <w:jc w:val="both"/>
        <w:rPr>
          <w:rFonts w:ascii="Times New Roman Bold" w:eastAsia="Times New Roman" w:hAnsi="Times New Roman Bold" w:cs="Times New Roman Bold"/>
          <w:b/>
          <w:sz w:val="24"/>
          <w:szCs w:val="24"/>
        </w:rPr>
      </w:pPr>
      <w:r>
        <w:rPr>
          <w:rFonts w:ascii="Times New Roman Bold" w:eastAsia="Times New Roman" w:hAnsi="Times New Roman Bold" w:cs="Times New Roman Bold"/>
          <w:b/>
          <w:sz w:val="24"/>
          <w:szCs w:val="24"/>
        </w:rPr>
        <w:t xml:space="preserve">Prof. Kuo’s Feedback</w:t>
      </w:r>
    </w:p>
    <w:p>
      <w:pPr>
        <w:numPr>
          <w:ilvl w:val="1"/>
          <w:numId w:val="2"/>
        </w:numPr>
        <w:spacing w:line="240" w:lineRule="auto"/>
        <w:jc w:val="both"/>
        <w:rPr>
          <w:rFonts w:ascii="Times New Roman Bold" w:eastAsia="Times New Roman" w:hAnsi="Times New Roman Bold" w:cs="Times New Roman Bold"/>
          <w:b/>
          <w:sz w:val="24"/>
          <w:szCs w:val="24"/>
        </w:rPr>
      </w:pPr>
    </w:p>
    <w:p>
      <w:pPr>
        <w:numPr>
          <w:ilvl w:val="0"/>
          <w:numId w:val="2"/>
        </w:numPr>
        <w:spacing w:line="240" w:lineRule="auto"/>
        <w:jc w:val="both"/>
        <w:rPr>
          <w:rFonts w:ascii="Times New Roman Bold" w:eastAsia="Times New Roman" w:hAnsi="Times New Roman Bold" w:cs="Times New Roman Bold"/>
          <w:b/>
          <w:sz w:val="24"/>
          <w:szCs w:val="24"/>
        </w:rPr>
      </w:pPr>
      <w:r>
        <w:rPr>
          <w:rFonts w:ascii="Times New Roman Bold" w:eastAsia="Times New Roman" w:hAnsi="Times New Roman Bold" w:cs="Times New Roman Bold"/>
          <w:b/>
          <w:sz w:val="24"/>
          <w:szCs w:val="24"/>
        </w:rPr>
        <w:t xml:space="preserve">Labmates Feedback</w:t>
      </w:r>
    </w:p>
    <w:p>
      <w:pPr>
        <w:numPr>
          <w:ilvl w:val="1"/>
          <w:numId w:val="2"/>
        </w:numPr>
        <w:spacing w:line="240" w:lineRule="auto"/>
        <w:jc w:val="both"/>
        <w:rPr>
          <w:rFonts w:ascii="Times New Roman Bold" w:eastAsia="Times New Roman" w:hAnsi="Times New Roman Bold" w:cs="Times New Roman Bold"/>
          <w:b/>
          <w:sz w:val="24"/>
          <w:szCs w:val="24"/>
        </w:rPr>
      </w:pPr>
    </w:p>
    <w:p>
      <w:pPr>
        <w:ind w:right="90"/>
        <w:jc w:val="both"/>
        <w:rPr>
          <w:rFonts w:ascii="Times New Roman Bold" w:eastAsia="Times New Roman" w:hAnsi="Times New Roman Bold" w:cs="Times New Roman Bold"/>
          <w:b/>
          <w:sz w:val="24"/>
          <w:szCs w:val="24"/>
        </w:rPr>
      </w:pPr>
    </w:p>
    <w:p>
      <w:pPr>
        <w:keepNext/>
        <w:spacing w:line="240" w:lineRule="auto"/>
        <w:jc w:val="both"/>
        <w:rPr>
          <w:rFonts w:ascii="Times New Roman Bold" w:eastAsia="Times New Roman" w:hAnsi="Times New Roman Bold" w:cs="Times New Roman Bold"/>
          <w:b/>
          <w:sz w:val="24"/>
          <w:szCs w:val="24"/>
        </w:rPr>
      </w:pPr>
      <w:r>
        <w:rPr>
          <w:rFonts w:ascii="Times New Roman Bold" w:eastAsia="Times New Roman" w:hAnsi="Times New Roman Bold" w:cs="Times New Roman Bold"/>
          <w:b/>
          <w:sz w:val="24"/>
          <w:szCs w:val="24"/>
        </w:rPr>
        <w:t xml:space="preserve">——————————————————————————————————————</w:t>
      </w:r>
    </w:p>
    <w:p>
      <w:pPr>
        <w:keepNext/>
        <w:spacing w:line="240" w:lineRule="auto"/>
        <w:jc w:val="both"/>
        <w:rPr>
          <w:rFonts w:ascii="Times New Roman Bold" w:eastAsia="Times New Roman" w:hAnsi="Times New Roman Bold" w:cs="Times New Roman Bold"/>
          <w:b/>
          <w:sz w:val="24"/>
          <w:szCs w:val="24"/>
        </w:rPr>
      </w:pPr>
      <w:r>
        <w:rPr>
          <w:rFonts w:ascii="Times New Roman Bold" w:eastAsia="Times New Roman" w:hAnsi="Times New Roman Bold" w:cs="Times New Roman Bold"/>
          <w:b/>
          <w:sz w:val="24"/>
          <w:szCs w:val="24"/>
        </w:rPr>
        <w:t xml:space="preserve">III. Report</w:t>
      </w:r>
    </w:p>
    <w:p>
      <w:pPr>
        <w:keepNext/>
        <w:spacing w:line="240" w:lineRule="auto"/>
        <w:jc w:val="both"/>
        <w:rPr>
          <w:rFonts w:ascii="Times New Roman Bold" w:eastAsia="Times New Roman" w:hAnsi="Times New Roman Bold" w:cs="Times New Roman Bold"/>
          <w:b/>
          <w:sz w:val="24"/>
          <w:szCs w:val="24"/>
        </w:rPr>
      </w:pPr>
      <w:r>
        <w:rPr>
          <w:rFonts w:ascii="Times New Roman Bold" w:eastAsia="Times New Roman" w:hAnsi="Times New Roman Bold" w:cs="Times New Roman Bold"/>
          <w:b/>
          <w:sz w:val="24"/>
          <w:szCs w:val="24"/>
        </w:rPr>
        <w:t xml:space="preserve">——————————————————————————————————————</w:t>
      </w:r>
    </w:p>
    <w:p>
      <w:pPr>
        <w:keepNext/>
        <w:numPr>
          <w:ilvl w:val="0"/>
          <w:numId w:val="3"/>
        </w:numPr>
        <w:spacing w:after="60" w:line="240" w:lineRule="auto"/>
        <w:jc w:val="both"/>
        <w:rPr>
          <w:rFonts w:ascii="Times New Roman Bold" w:eastAsia="Times New Roman" w:hAnsi="Times New Roman Bold" w:cs="Times New Roman Bold"/>
          <w:b/>
          <w:sz w:val="24"/>
          <w:szCs w:val="24"/>
        </w:rPr>
      </w:pPr>
      <w:r>
        <w:rPr>
          <w:rFonts w:ascii="Times New Roman Bold" w:eastAsia="Times New Roman" w:hAnsi="Times New Roman Bold" w:cs="Times New Roman Bold"/>
          <w:b/>
          <w:sz w:val="24"/>
          <w:szCs w:val="24"/>
        </w:rPr>
        <w:t xml:space="preserve">What I validated and how</w:t>
      </w:r>
    </w:p>
    <w:p>
      <w:pPr>
        <w:spacing w:after="120" w:line="240" w:lineRule="auto"/>
        <w:ind w:left="720"/>
        <w:jc w:val="both"/>
      </w:pPr>
      <w:r>
        <w:rPr>
          <w:rFonts w:ascii="Times New Roman" w:eastAsia="Times New Roman" w:hAnsi="Times New Roman" w:cs="Times New Roman"/>
          <w:bCs/>
          <w:sz w:val="24"/>
          <w:szCs w:val="24"/>
          <w:lang w:val="en-US"/>
        </w:rPr>
        <w:t xml:space="preserve">LaBraM’s own downstream benchmarks are TUAB and TUEV (main text, Tables 1–2) plus SEED-V and MoBI (appendix). TUAB and TUEV need TUH registration and SEED-V a license application, so none of them could be run this week. Three things can be checked: </w:t>
      </w:r>
      <w:r>
        <w:rPr>
          <w:rFonts w:ascii="Times New Roman" w:eastAsia="Times New Roman" w:hAnsi="Times New Roman" w:cs="Times New Roman"/>
          <w:b/>
          <w:bCs/>
          <w:sz w:val="24"/>
          <w:szCs w:val="24"/>
          <w:lang w:val="en-US"/>
        </w:rPr>
        <w:t xml:space="preserve">(a)</w:t>
      </w:r>
      <w:r>
        <w:rPr>
          <w:rFonts w:ascii="Times New Roman" w:eastAsia="Times New Roman" w:hAnsi="Times New Roman" w:cs="Times New Roman"/>
          <w:bCs/>
          <w:sz w:val="24"/>
          <w:szCs w:val="24"/>
          <w:lang w:val="en-US"/>
        </w:rPr>
        <w:t xml:space="preserve"> LaBraM-Base on the four public datasets where a published LaBraM-Base number exists (the CBraMod paper reports one, from its own runs of LaBraM’s public code: CBraMod Tables 3, 10, 12 and 15), </w:t>
      </w:r>
      <w:r>
        <w:rPr>
          <w:rFonts w:ascii="Times New Roman" w:eastAsia="Times New Roman" w:hAnsi="Times New Roman" w:cs="Times New Roman"/>
          <w:b/>
          <w:bCs/>
          <w:sz w:val="24"/>
          <w:szCs w:val="24"/>
          <w:lang w:val="en-US"/>
        </w:rPr>
        <w:t xml:space="preserve">(b)</w:t>
      </w:r>
      <w:r>
        <w:rPr>
          <w:rFonts w:ascii="Times New Roman" w:eastAsia="Times New Roman" w:hAnsi="Times New Roman" w:cs="Times New Roman"/>
          <w:bCs/>
          <w:sz w:val="24"/>
          <w:szCs w:val="24"/>
          <w:lang w:val="en-US"/>
        </w:rPr>
        <w:t xml:space="preserve"> the released code against the paper, and </w:t>
      </w:r>
      <w:r>
        <w:rPr>
          <w:rFonts w:ascii="Times New Roman" w:eastAsia="Times New Roman" w:hAnsi="Times New Roman" w:cs="Times New Roman"/>
          <w:b/>
          <w:bCs/>
          <w:sz w:val="24"/>
          <w:szCs w:val="24"/>
          <w:lang w:val="en-US"/>
        </w:rPr>
        <w:t xml:space="preserve">(c)</w:t>
      </w:r>
      <w:r>
        <w:rPr>
          <w:rFonts w:ascii="Times New Roman" w:eastAsia="Times New Roman" w:hAnsi="Times New Roman" w:cs="Times New Roman"/>
          <w:bCs/>
          <w:sz w:val="24"/>
          <w:szCs w:val="24"/>
          <w:lang w:val="en-US"/>
        </w:rPr>
        <w:t xml:space="preserve"> the TUAB/TUEV claims against independent re-runs published by two benchmark papers.</w:t>
      </w:r>
    </w:p>
    <w:p>
      <w:pPr>
        <w:spacing w:after="120" w:line="240" w:lineRule="auto"/>
        <w:ind w:left="720"/>
        <w:jc w:val="both"/>
      </w:pPr>
      <w:r>
        <w:rPr>
          <w:rFonts w:ascii="Times New Roman" w:eastAsia="Times New Roman" w:hAnsi="Times New Roman" w:cs="Times New Roman"/>
          <w:bCs/>
          <w:sz w:val="24"/>
          <w:szCs w:val="24"/>
          <w:lang w:val="en-US"/>
        </w:rPr>
        <w:t xml:space="preserve">For (a) I fine-tuned the released labram-base.pth with the released run_class_finetuning.py, unmodified (only the data loader is swapped for CBraMod’s LMDB files), using the recipe in LaBraM’s README (lr 5e-4, layer decay 0.65, 5 warm-up epochs, 50 epochs, batch 64), seeds 0–4, on the same subject-independent splits as my CBraMod runs. The reported epoch is the one with the best validation Cohen’s Kappa (4-class) or AUROC (binary), the monitor LaBraM’s paper states in Sec. 3.2, and the test set is scored once at that epoch. </w:t>
      </w:r>
      <w:r>
        <w:rPr>
          <w:rFonts w:ascii="Times New Roman" w:eastAsia="Times New Roman" w:hAnsi="Times New Roman" w:cs="Times New Roman"/>
          <w:b/>
          <w:bCs/>
          <w:sz w:val="24"/>
          <w:szCs w:val="24"/>
          <w:lang w:val="en-US"/>
        </w:rPr>
        <w:t xml:space="preserve">The released pipeline uses the validation set for model selection and never the test set.</w:t>
      </w:r>
    </w:p>
    <w:p>
      <w:pPr>
        <w:keepNext/>
        <w:numPr>
          <w:ilvl w:val="0"/>
          <w:numId w:val="3"/>
        </w:numPr>
        <w:spacing w:after="60" w:line="240" w:lineRule="auto"/>
        <w:jc w:val="both"/>
        <w:rPr>
          <w:rFonts w:ascii="Times New Roman Bold" w:eastAsia="Times New Roman" w:hAnsi="Times New Roman Bold" w:cs="Times New Roman Bold"/>
          <w:b/>
          <w:sz w:val="24"/>
          <w:szCs w:val="24"/>
        </w:rPr>
      </w:pPr>
      <w:r>
        <w:rPr>
          <w:rFonts w:ascii="Times New Roman Bold" w:eastAsia="Times New Roman" w:hAnsi="Times New Roman Bold" w:cs="Times New Roman Bold"/>
          <w:b/>
          <w:sz w:val="24"/>
          <w:szCs w:val="24"/>
        </w:rPr>
        <w:t xml:space="preserve">Main result: LaBraM-Base reproduces its published numbers</w:t>
      </w:r>
    </w:p>
    <w:p>
      <w:pPr>
        <w:spacing w:after="120" w:line="240" w:lineRule="auto"/>
        <w:ind w:left="720"/>
        <w:jc w:val="both"/>
      </w:pPr>
      <w:r>
        <w:rPr>
          <w:rFonts w:ascii="Times New Roman" w:eastAsia="Times New Roman" w:hAnsi="Times New Roman" w:cs="Times New Roman"/>
          <w:bCs/>
          <w:sz w:val="24"/>
          <w:szCs w:val="24"/>
          <w:lang w:val="en-US"/>
        </w:rPr>
        <w:t xml:space="preserve">With the released code and weights, </w:t>
      </w:r>
      <w:r>
        <w:rPr>
          <w:rFonts w:ascii="Times New Roman" w:eastAsia="Times New Roman" w:hAnsi="Times New Roman" w:cs="Times New Roman"/>
          <w:b/>
          <w:bCs/>
          <w:sz w:val="24"/>
          <w:szCs w:val="24"/>
          <w:lang w:val="en-US"/>
        </w:rPr>
        <w:t xml:space="preserve">10 of the 12 metrics are within noise of the published LaBraM-Base numbers</w:t>
      </w:r>
      <w:r>
        <w:rPr>
          <w:rFonts w:ascii="Times New Roman" w:eastAsia="Times New Roman" w:hAnsi="Times New Roman" w:cs="Times New Roman"/>
          <w:bCs/>
          <w:sz w:val="24"/>
          <w:szCs w:val="24"/>
          <w:lang w:val="en-US"/>
        </w:rPr>
        <w:t xml:space="preserve"> (Welch p &gt; 0.05). Last week, under the same pipeline, CBraMod was significantly below its paper on 9 of 12.</w:t>
      </w:r>
    </w:p>
    <w:p>
      <w:pPr>
        <w:spacing w:after="60" w:line="240" w:lineRule="auto"/>
        <w:ind w:left="720"/>
        <w:jc w:val="both"/>
      </w:pPr>
    </w:p>
    <w:p>
      <w:pPr>
        <w:keepNext/>
        <w:spacing w:before="60" w:after="60" w:line="240" w:lineRule="auto"/>
        <w:ind w:left="720"/>
        <w:jc w:val="both"/>
      </w:pPr>
      <w:r>
        <w:rPr>
          <w:rFonts w:ascii="Times New Roman" w:eastAsia="Times New Roman" w:hAnsi="Times New Roman" w:cs="Times New Roman"/>
          <w:bCs/>
          <w:sz w:val="20"/>
          <w:szCs w:val="20"/>
          <w:lang w:val="en-US"/>
        </w:rPr>
        <w:t xml:space="preserve">Table 1. LaBraM-Base test metrics, mean ± std over seeds 0–4. “Paper” is the LaBraM-Base row of the CBraMod paper (the LaBraM paper has no results on these datasets). Bold Δ: p &lt; 0.05.</w:t>
      </w:r>
    </w:p>
    <w:tbl>
      <w:tblPr>
        <w:tblW w:w="8000" w:type="dxa"/>
        <w:tblInd w:w="7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60" w:type="dxa"/>
          <w:right w:w="60" w:type="dxa"/>
        </w:tblCellMar>
        <w:tblLook w:val="04A0" w:firstRow="1" w:lastRow="0" w:firstColumn="1" w:lastColumn="0" w:noHBand="0" w:noVBand="1"/>
      </w:tblPr>
      <w:tblGrid>
        <w:gridCol w:w="1750"/>
        <w:gridCol w:w="1150"/>
        <w:gridCol w:w="1500"/>
        <w:gridCol w:w="1500"/>
        <w:gridCol w:w="1200"/>
        <w:gridCol w:w="900"/>
      </w:tblGrid>
      <w:tr>
        <w:trPr>
          <w:cantSplit/>
          <w:tblHeader/>
        </w:trPr>
        <w:tc>
          <w:tcPr>
            <w:tcW w:w="1750" w:type="dxa"/>
            <w:shd w:val="clear" w:color="auto" w:fill="F2F2F2"/>
            <w:vAlign w:val="center"/>
          </w:tcPr>
          <w:p>
            <w:pPr>
              <w:spacing w:before="20" w:after="20" w:line="240" w:lineRule="auto"/>
              <w:jc w:val="center"/>
            </w:pPr>
            <w:r>
              <w:rPr>
                <w:rFonts w:ascii="Times New Roman" w:eastAsia="Times New Roman" w:hAnsi="Times New Roman" w:cs="Times New Roman"/>
                <w:b/>
                <w:bCs/>
                <w:sz w:val="16"/>
                <w:szCs w:val="16"/>
                <w:lang w:val="en-US"/>
              </w:rPr>
              <w:t xml:space="preserve">Dataset (CBraMod paper)</w:t>
            </w:r>
          </w:p>
        </w:tc>
        <w:tc>
          <w:tcPr>
            <w:tcW w:w="1150" w:type="dxa"/>
            <w:shd w:val="clear" w:color="auto" w:fill="F2F2F2"/>
            <w:vAlign w:val="center"/>
          </w:tcPr>
          <w:p>
            <w:pPr>
              <w:spacing w:before="20" w:after="20" w:line="240" w:lineRule="auto"/>
              <w:jc w:val="center"/>
            </w:pPr>
            <w:r>
              <w:rPr>
                <w:rFonts w:ascii="Times New Roman" w:eastAsia="Times New Roman" w:hAnsi="Times New Roman" w:cs="Times New Roman"/>
                <w:b/>
                <w:bCs/>
                <w:sz w:val="16"/>
                <w:szCs w:val="16"/>
                <w:lang w:val="en-US"/>
              </w:rPr>
              <w:t xml:space="preserve">Metric</w:t>
            </w:r>
          </w:p>
        </w:tc>
        <w:tc>
          <w:tcPr>
            <w:tcW w:w="1500" w:type="dxa"/>
            <w:shd w:val="clear" w:color="auto" w:fill="F2F2F2"/>
            <w:vAlign w:val="center"/>
          </w:tcPr>
          <w:p>
            <w:pPr>
              <w:spacing w:before="20" w:after="20" w:line="240" w:lineRule="auto"/>
              <w:jc w:val="center"/>
            </w:pPr>
            <w:r>
              <w:rPr>
                <w:rFonts w:ascii="Times New Roman" w:eastAsia="Times New Roman" w:hAnsi="Times New Roman" w:cs="Times New Roman"/>
                <w:b/>
                <w:bCs/>
                <w:sz w:val="16"/>
                <w:szCs w:val="16"/>
                <w:lang w:val="en-US"/>
              </w:rPr>
              <w:t xml:space="preserve">Paper (LaBraM-Base)</w:t>
            </w:r>
          </w:p>
        </w:tc>
        <w:tc>
          <w:tcPr>
            <w:tcW w:w="1500" w:type="dxa"/>
            <w:shd w:val="clear" w:color="auto" w:fill="F2F2F2"/>
            <w:vAlign w:val="center"/>
          </w:tcPr>
          <w:p>
            <w:pPr>
              <w:spacing w:before="20" w:after="20" w:line="240" w:lineRule="auto"/>
              <w:jc w:val="center"/>
            </w:pPr>
            <w:r>
              <w:rPr>
                <w:rFonts w:ascii="Times New Roman" w:eastAsia="Times New Roman" w:hAnsi="Times New Roman" w:cs="Times New Roman"/>
                <w:b/>
                <w:bCs/>
                <w:sz w:val="16"/>
                <w:szCs w:val="16"/>
                <w:lang w:val="en-US"/>
              </w:rPr>
              <w:t xml:space="preserve">Mine (5 seeds)</w:t>
            </w:r>
          </w:p>
        </w:tc>
        <w:tc>
          <w:tcPr>
            <w:tcW w:w="1200" w:type="dxa"/>
            <w:shd w:val="clear" w:color="auto" w:fill="F2F2F2"/>
            <w:vAlign w:val="center"/>
          </w:tcPr>
          <w:p>
            <w:pPr>
              <w:spacing w:before="20" w:after="20" w:line="240" w:lineRule="auto"/>
              <w:jc w:val="center"/>
            </w:pPr>
            <w:r>
              <w:rPr>
                <w:rFonts w:ascii="Times New Roman" w:eastAsia="Times New Roman" w:hAnsi="Times New Roman" w:cs="Times New Roman"/>
                <w:b/>
                <w:bCs/>
                <w:sz w:val="16"/>
                <w:szCs w:val="16"/>
                <w:lang w:val="en-US"/>
              </w:rPr>
              <w:t xml:space="preserve">Δ (mine − paper)</w:t>
            </w:r>
          </w:p>
        </w:tc>
        <w:tc>
          <w:tcPr>
            <w:tcW w:w="900" w:type="dxa"/>
            <w:shd w:val="clear" w:color="auto" w:fill="F2F2F2"/>
            <w:vAlign w:val="center"/>
          </w:tcPr>
          <w:p>
            <w:pPr>
              <w:spacing w:before="20" w:after="20" w:line="240" w:lineRule="auto"/>
              <w:jc w:val="center"/>
            </w:pPr>
            <w:r>
              <w:rPr>
                <w:rFonts w:ascii="Times New Roman" w:eastAsia="Times New Roman" w:hAnsi="Times New Roman" w:cs="Times New Roman"/>
                <w:b/>
                <w:bCs/>
                <w:sz w:val="16"/>
                <w:szCs w:val="16"/>
                <w:lang w:val="en-US"/>
              </w:rPr>
              <w:t xml:space="preserve">p (Welch)</w:t>
            </w:r>
          </w:p>
        </w:tc>
      </w:tr>
      <w:tr>
        <w:trPr>
          <w:cantSplit/>
        </w:trPr>
        <w:tc>
          <w:tcPr>
            <w:tcW w:w="1750" w:type="dxa"/>
            <w:vMerge w:val="restart"/>
            <w:vAlign w:val="center"/>
          </w:tcPr>
          <w:p>
            <w:pPr>
              <w:spacing w:before="20" w:after="20" w:line="240" w:lineRule="auto"/>
            </w:pPr>
            <w:r>
              <w:rPr>
                <w:rFonts w:ascii="Times New Roman" w:eastAsia="Times New Roman" w:hAnsi="Times New Roman" w:cs="Times New Roman"/>
                <w:b/>
                <w:bCs/>
                <w:sz w:val="16"/>
                <w:szCs w:val="16"/>
                <w:lang w:val="en-US"/>
              </w:rPr>
              <w:t xml:space="preserve">PhysioNet-MI (Table 3)</w:t>
            </w:r>
          </w:p>
        </w:tc>
        <w:tc>
          <w:tcPr>
            <w:tcW w:w="115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Balanced Acc.</w:t>
            </w:r>
          </w:p>
        </w:tc>
        <w:tc>
          <w:tcPr>
            <w:tcW w:w="15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0.6173 ± 0.0122</w:t>
            </w:r>
          </w:p>
        </w:tc>
        <w:tc>
          <w:tcPr>
            <w:tcW w:w="15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0.6098 ± 0.0098</w:t>
            </w:r>
          </w:p>
        </w:tc>
        <w:tc>
          <w:tcPr>
            <w:tcW w:w="12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−0.0075</w:t>
            </w:r>
          </w:p>
        </w:tc>
        <w:tc>
          <w:tcPr>
            <w:tcW w:w="9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0.32</w:t>
            </w:r>
          </w:p>
        </w:tc>
      </w:tr>
      <w:tr>
        <w:trPr>
          <w:cantSplit/>
        </w:trPr>
        <w:tc>
          <w:tcPr>
            <w:tcW w:w="1750" w:type="dxa"/>
            <w:vMerge/>
            <w:vAlign w:val="center"/>
          </w:tcPr>
          <w:p>
            <w:pPr>
              <w:spacing w:before="20" w:after="20" w:line="240" w:lineRule="auto"/>
            </w:pPr>
          </w:p>
        </w:tc>
        <w:tc>
          <w:tcPr>
            <w:tcW w:w="115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Cohen's Kappa</w:t>
            </w:r>
          </w:p>
        </w:tc>
        <w:tc>
          <w:tcPr>
            <w:tcW w:w="15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0.4912 ± 0.0192</w:t>
            </w:r>
          </w:p>
        </w:tc>
        <w:tc>
          <w:tcPr>
            <w:tcW w:w="15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0.4797 ± 0.0131</w:t>
            </w:r>
          </w:p>
        </w:tc>
        <w:tc>
          <w:tcPr>
            <w:tcW w:w="12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−0.0115</w:t>
            </w:r>
          </w:p>
        </w:tc>
        <w:tc>
          <w:tcPr>
            <w:tcW w:w="9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0.30</w:t>
            </w:r>
          </w:p>
        </w:tc>
      </w:tr>
      <w:tr>
        <w:trPr>
          <w:cantSplit/>
        </w:trPr>
        <w:tc>
          <w:tcPr>
            <w:tcW w:w="1750" w:type="dxa"/>
            <w:vMerge/>
            <w:vAlign w:val="center"/>
          </w:tcPr>
          <w:p>
            <w:pPr>
              <w:spacing w:before="20" w:after="20" w:line="240" w:lineRule="auto"/>
            </w:pPr>
          </w:p>
        </w:tc>
        <w:tc>
          <w:tcPr>
            <w:tcW w:w="115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Weighted F1</w:t>
            </w:r>
          </w:p>
        </w:tc>
        <w:tc>
          <w:tcPr>
            <w:tcW w:w="15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0.6177 ± 0.0141</w:t>
            </w:r>
          </w:p>
        </w:tc>
        <w:tc>
          <w:tcPr>
            <w:tcW w:w="15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0.6129 ± 0.0095</w:t>
            </w:r>
          </w:p>
        </w:tc>
        <w:tc>
          <w:tcPr>
            <w:tcW w:w="12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−0.0048</w:t>
            </w:r>
          </w:p>
        </w:tc>
        <w:tc>
          <w:tcPr>
            <w:tcW w:w="9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0.54</w:t>
            </w:r>
          </w:p>
        </w:tc>
      </w:tr>
      <w:tr>
        <w:trPr>
          <w:cantSplit/>
        </w:trPr>
        <w:tc>
          <w:tcPr>
            <w:tcW w:w="1750" w:type="dxa"/>
            <w:vMerge w:val="restart"/>
            <w:vAlign w:val="center"/>
          </w:tcPr>
          <w:p>
            <w:pPr>
              <w:spacing w:before="20" w:after="20" w:line="240" w:lineRule="auto"/>
            </w:pPr>
            <w:r>
              <w:rPr>
                <w:rFonts w:ascii="Times New Roman" w:eastAsia="Times New Roman" w:hAnsi="Times New Roman" w:cs="Times New Roman"/>
                <w:b/>
                <w:bCs/>
                <w:sz w:val="16"/>
                <w:szCs w:val="16"/>
                <w:lang w:val="en-US"/>
              </w:rPr>
              <w:t xml:space="preserve">BCIC-IV-2a (Table 15)</w:t>
            </w:r>
          </w:p>
        </w:tc>
        <w:tc>
          <w:tcPr>
            <w:tcW w:w="115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Balanced Acc.</w:t>
            </w:r>
          </w:p>
        </w:tc>
        <w:tc>
          <w:tcPr>
            <w:tcW w:w="15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0.4869 ± 0.0085</w:t>
            </w:r>
          </w:p>
        </w:tc>
        <w:tc>
          <w:tcPr>
            <w:tcW w:w="15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0.4477 ± 0.0421</w:t>
            </w:r>
          </w:p>
        </w:tc>
        <w:tc>
          <w:tcPr>
            <w:tcW w:w="12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−0.0392</w:t>
            </w:r>
          </w:p>
        </w:tc>
        <w:tc>
          <w:tcPr>
            <w:tcW w:w="9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0.11</w:t>
            </w:r>
          </w:p>
        </w:tc>
      </w:tr>
      <w:tr>
        <w:trPr>
          <w:cantSplit/>
        </w:trPr>
        <w:tc>
          <w:tcPr>
            <w:tcW w:w="1750" w:type="dxa"/>
            <w:vMerge/>
            <w:vAlign w:val="center"/>
          </w:tcPr>
          <w:p>
            <w:pPr>
              <w:spacing w:before="20" w:after="20" w:line="240" w:lineRule="auto"/>
            </w:pPr>
          </w:p>
        </w:tc>
        <w:tc>
          <w:tcPr>
            <w:tcW w:w="115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Cohen's Kappa</w:t>
            </w:r>
          </w:p>
        </w:tc>
        <w:tc>
          <w:tcPr>
            <w:tcW w:w="15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0.3159 ± 0.0154</w:t>
            </w:r>
          </w:p>
        </w:tc>
        <w:tc>
          <w:tcPr>
            <w:tcW w:w="15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0.2637 ± 0.0562</w:t>
            </w:r>
          </w:p>
        </w:tc>
        <w:tc>
          <w:tcPr>
            <w:tcW w:w="12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−0.0522</w:t>
            </w:r>
          </w:p>
        </w:tc>
        <w:tc>
          <w:tcPr>
            <w:tcW w:w="9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0.11</w:t>
            </w:r>
          </w:p>
        </w:tc>
      </w:tr>
      <w:tr>
        <w:trPr>
          <w:cantSplit/>
        </w:trPr>
        <w:tc>
          <w:tcPr>
            <w:tcW w:w="1750" w:type="dxa"/>
            <w:vMerge/>
            <w:vAlign w:val="center"/>
          </w:tcPr>
          <w:p>
            <w:pPr>
              <w:spacing w:before="20" w:after="20" w:line="240" w:lineRule="auto"/>
            </w:pPr>
          </w:p>
        </w:tc>
        <w:tc>
          <w:tcPr>
            <w:tcW w:w="115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Weighted F1</w:t>
            </w:r>
          </w:p>
        </w:tc>
        <w:tc>
          <w:tcPr>
            <w:tcW w:w="15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0.4758 ± 0.0103</w:t>
            </w:r>
          </w:p>
        </w:tc>
        <w:tc>
          <w:tcPr>
            <w:tcW w:w="15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0.3911 ± 0.0534</w:t>
            </w:r>
          </w:p>
        </w:tc>
        <w:tc>
          <w:tcPr>
            <w:tcW w:w="1200" w:type="dxa"/>
            <w:vAlign w:val="center"/>
          </w:tcPr>
          <w:p>
            <w:pPr>
              <w:spacing w:before="20" w:after="20" w:line="240" w:lineRule="auto"/>
              <w:jc w:val="center"/>
            </w:pPr>
            <w:r>
              <w:rPr>
                <w:rFonts w:ascii="Times New Roman" w:eastAsia="Times New Roman" w:hAnsi="Times New Roman" w:cs="Times New Roman"/>
                <w:b/>
                <w:bCs/>
                <w:sz w:val="16"/>
                <w:szCs w:val="16"/>
                <w:lang w:val="en-US"/>
              </w:rPr>
              <w:t xml:space="preserve">−0.0847</w:t>
            </w:r>
          </w:p>
        </w:tc>
        <w:tc>
          <w:tcPr>
            <w:tcW w:w="9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0.023</w:t>
            </w:r>
          </w:p>
        </w:tc>
      </w:tr>
      <w:tr>
        <w:trPr>
          <w:cantSplit/>
        </w:trPr>
        <w:tc>
          <w:tcPr>
            <w:tcW w:w="1750" w:type="dxa"/>
            <w:vMerge w:val="restart"/>
            <w:vAlign w:val="center"/>
          </w:tcPr>
          <w:p>
            <w:pPr>
              <w:spacing w:before="20" w:after="20" w:line="240" w:lineRule="auto"/>
            </w:pPr>
            <w:r>
              <w:rPr>
                <w:rFonts w:ascii="Times New Roman" w:eastAsia="Times New Roman" w:hAnsi="Times New Roman" w:cs="Times New Roman"/>
                <w:b/>
                <w:bCs/>
                <w:sz w:val="16"/>
                <w:szCs w:val="16"/>
                <w:lang w:val="en-US"/>
              </w:rPr>
              <w:t xml:space="preserve">Mumtaz2016 (Table 10)</w:t>
            </w:r>
          </w:p>
        </w:tc>
        <w:tc>
          <w:tcPr>
            <w:tcW w:w="115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Balanced Acc.</w:t>
            </w:r>
          </w:p>
        </w:tc>
        <w:tc>
          <w:tcPr>
            <w:tcW w:w="15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0.9409 ± 0.0079</w:t>
            </w:r>
          </w:p>
        </w:tc>
        <w:tc>
          <w:tcPr>
            <w:tcW w:w="15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0.8905 ± 0.0041</w:t>
            </w:r>
          </w:p>
        </w:tc>
        <w:tc>
          <w:tcPr>
            <w:tcW w:w="1200" w:type="dxa"/>
            <w:vAlign w:val="center"/>
          </w:tcPr>
          <w:p>
            <w:pPr>
              <w:spacing w:before="20" w:after="20" w:line="240" w:lineRule="auto"/>
              <w:jc w:val="center"/>
            </w:pPr>
            <w:r>
              <w:rPr>
                <w:rFonts w:ascii="Times New Roman" w:eastAsia="Times New Roman" w:hAnsi="Times New Roman" w:cs="Times New Roman"/>
                <w:b/>
                <w:bCs/>
                <w:sz w:val="16"/>
                <w:szCs w:val="16"/>
                <w:lang w:val="en-US"/>
              </w:rPr>
              <w:t xml:space="preserve">−0.0504</w:t>
            </w:r>
          </w:p>
        </w:tc>
        <w:tc>
          <w:tcPr>
            <w:tcW w:w="9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&lt;0.001</w:t>
            </w:r>
          </w:p>
        </w:tc>
      </w:tr>
      <w:tr>
        <w:trPr>
          <w:cantSplit/>
        </w:trPr>
        <w:tc>
          <w:tcPr>
            <w:tcW w:w="1750" w:type="dxa"/>
            <w:vMerge/>
            <w:vAlign w:val="center"/>
          </w:tcPr>
          <w:p>
            <w:pPr>
              <w:spacing w:before="20" w:after="20" w:line="240" w:lineRule="auto"/>
            </w:pPr>
          </w:p>
        </w:tc>
        <w:tc>
          <w:tcPr>
            <w:tcW w:w="115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AUC-PR</w:t>
            </w:r>
          </w:p>
        </w:tc>
        <w:tc>
          <w:tcPr>
            <w:tcW w:w="15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0.9798 ± 0.0093</w:t>
            </w:r>
          </w:p>
        </w:tc>
        <w:tc>
          <w:tcPr>
            <w:tcW w:w="15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0.9711 ± 0.0089</w:t>
            </w:r>
          </w:p>
        </w:tc>
        <w:tc>
          <w:tcPr>
            <w:tcW w:w="12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−0.0087</w:t>
            </w:r>
          </w:p>
        </w:tc>
        <w:tc>
          <w:tcPr>
            <w:tcW w:w="9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0.17</w:t>
            </w:r>
          </w:p>
        </w:tc>
      </w:tr>
      <w:tr>
        <w:trPr>
          <w:cantSplit/>
        </w:trPr>
        <w:tc>
          <w:tcPr>
            <w:tcW w:w="1750" w:type="dxa"/>
            <w:vMerge/>
            <w:vAlign w:val="center"/>
          </w:tcPr>
          <w:p>
            <w:pPr>
              <w:spacing w:before="20" w:after="20" w:line="240" w:lineRule="auto"/>
            </w:pPr>
          </w:p>
        </w:tc>
        <w:tc>
          <w:tcPr>
            <w:tcW w:w="115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AUROC</w:t>
            </w:r>
          </w:p>
        </w:tc>
        <w:tc>
          <w:tcPr>
            <w:tcW w:w="15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0.9782 ± 0.0057</w:t>
            </w:r>
          </w:p>
        </w:tc>
        <w:tc>
          <w:tcPr>
            <w:tcW w:w="15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0.9664 ± 0.0166</w:t>
            </w:r>
          </w:p>
        </w:tc>
        <w:tc>
          <w:tcPr>
            <w:tcW w:w="12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−0.0118</w:t>
            </w:r>
          </w:p>
        </w:tc>
        <w:tc>
          <w:tcPr>
            <w:tcW w:w="9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0.19</w:t>
            </w:r>
          </w:p>
        </w:tc>
      </w:tr>
      <w:tr>
        <w:trPr>
          <w:cantSplit/>
        </w:trPr>
        <w:tc>
          <w:tcPr>
            <w:tcW w:w="1750" w:type="dxa"/>
            <w:vMerge w:val="restart"/>
            <w:vAlign w:val="center"/>
          </w:tcPr>
          <w:p>
            <w:pPr>
              <w:spacing w:before="20" w:after="20" w:line="240" w:lineRule="auto"/>
            </w:pPr>
            <w:r>
              <w:rPr>
                <w:rFonts w:ascii="Times New Roman" w:eastAsia="Times New Roman" w:hAnsi="Times New Roman" w:cs="Times New Roman"/>
                <w:b/>
                <w:bCs/>
                <w:sz w:val="16"/>
                <w:szCs w:val="16"/>
                <w:lang w:val="en-US"/>
              </w:rPr>
              <w:t xml:space="preserve">MentalArithmetic (Table 12)</w:t>
            </w:r>
          </w:p>
        </w:tc>
        <w:tc>
          <w:tcPr>
            <w:tcW w:w="115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Balanced Acc.</w:t>
            </w:r>
          </w:p>
        </w:tc>
        <w:tc>
          <w:tcPr>
            <w:tcW w:w="15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0.6909 ± 0.0125</w:t>
            </w:r>
          </w:p>
        </w:tc>
        <w:tc>
          <w:tcPr>
            <w:tcW w:w="15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0.6562 ± 0.0397</w:t>
            </w:r>
          </w:p>
        </w:tc>
        <w:tc>
          <w:tcPr>
            <w:tcW w:w="12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−0.0346</w:t>
            </w:r>
          </w:p>
        </w:tc>
        <w:tc>
          <w:tcPr>
            <w:tcW w:w="9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0.13</w:t>
            </w:r>
          </w:p>
        </w:tc>
      </w:tr>
      <w:tr>
        <w:trPr>
          <w:cantSplit/>
        </w:trPr>
        <w:tc>
          <w:tcPr>
            <w:tcW w:w="1750" w:type="dxa"/>
            <w:vMerge/>
            <w:vAlign w:val="center"/>
          </w:tcPr>
          <w:p>
            <w:pPr>
              <w:spacing w:before="20" w:after="20" w:line="240" w:lineRule="auto"/>
            </w:pPr>
          </w:p>
        </w:tc>
        <w:tc>
          <w:tcPr>
            <w:tcW w:w="115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AUC-PR</w:t>
            </w:r>
          </w:p>
        </w:tc>
        <w:tc>
          <w:tcPr>
            <w:tcW w:w="15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0.5999 ± 0.0155</w:t>
            </w:r>
          </w:p>
        </w:tc>
        <w:tc>
          <w:tcPr>
            <w:tcW w:w="15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0.6146 ± 0.0793</w:t>
            </w:r>
          </w:p>
        </w:tc>
        <w:tc>
          <w:tcPr>
            <w:tcW w:w="12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+0.0147</w:t>
            </w:r>
          </w:p>
        </w:tc>
        <w:tc>
          <w:tcPr>
            <w:tcW w:w="9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0.70</w:t>
            </w:r>
          </w:p>
        </w:tc>
      </w:tr>
      <w:tr>
        <w:trPr>
          <w:cantSplit/>
        </w:trPr>
        <w:tc>
          <w:tcPr>
            <w:tcW w:w="1750" w:type="dxa"/>
            <w:vMerge/>
            <w:vAlign w:val="center"/>
          </w:tcPr>
          <w:p>
            <w:pPr>
              <w:spacing w:before="20" w:after="20" w:line="240" w:lineRule="auto"/>
            </w:pPr>
          </w:p>
        </w:tc>
        <w:tc>
          <w:tcPr>
            <w:tcW w:w="115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AUROC</w:t>
            </w:r>
          </w:p>
        </w:tc>
        <w:tc>
          <w:tcPr>
            <w:tcW w:w="15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0.7721 ± 0.0093</w:t>
            </w:r>
          </w:p>
        </w:tc>
        <w:tc>
          <w:tcPr>
            <w:tcW w:w="15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0.7791 ± 0.0608</w:t>
            </w:r>
          </w:p>
        </w:tc>
        <w:tc>
          <w:tcPr>
            <w:tcW w:w="12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+0.0070</w:t>
            </w:r>
          </w:p>
        </w:tc>
        <w:tc>
          <w:tcPr>
            <w:tcW w:w="9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0.81</w:t>
            </w:r>
          </w:p>
        </w:tc>
      </w:tr>
    </w:tbl>
    <w:p>
      <w:pPr>
        <w:keepNext/>
        <w:spacing w:before="120" w:after="60"/>
      </w:pPr>
    </w:p>
    <w:p>
      <w:pPr>
        <w:spacing w:after="120" w:line="240" w:lineRule="auto"/>
        <w:ind w:left="720"/>
        <w:jc w:val="both"/>
      </w:pPr>
      <w:r>
        <w:rPr>
          <w:rFonts w:ascii="Times New Roman" w:eastAsia="Times New Roman" w:hAnsi="Times New Roman" w:cs="Times New Roman"/>
          <w:b/>
          <w:bCs/>
          <w:sz w:val="24"/>
          <w:szCs w:val="24"/>
          <w:lang w:val="en-US"/>
        </w:rPr>
        <w:t xml:space="preserve">The two exceptions are explained, or at least shared.</w:t>
      </w:r>
      <w:r>
        <w:rPr>
          <w:rFonts w:ascii="Times New Roman" w:eastAsia="Times New Roman" w:hAnsi="Times New Roman" w:cs="Times New Roman"/>
          <w:bCs/>
          <w:sz w:val="24"/>
          <w:szCs w:val="24"/>
          <w:lang w:val="en-US"/>
        </w:rPr>
        <w:t xml:space="preserve"> Mumtaz2016’s balanced-accuracy shortfall appears for all three models I ran through CBraMod’s data pipeline (CBraMod −0.063, EEGNet −0.040, LaBraM −0.050), so it belongs to the pipeline, whose subject split differs from the paper’s, not to LaBraM. BCIC-IV-2a is the noisiest dataset (9 subjects, 2 in the test set). </w:t>
      </w:r>
      <w:r>
        <w:rPr>
          <w:rFonts w:ascii="Times New Roman" w:eastAsia="Times New Roman" w:hAnsi="Times New Roman" w:cs="Times New Roman"/>
          <w:b/>
          <w:bCs/>
          <w:sz w:val="24"/>
          <w:szCs w:val="24"/>
          <w:lang w:val="en-US"/>
        </w:rPr>
        <w:t xml:space="preserve">What does not reproduce is the published seed spread:</w:t>
      </w:r>
      <w:r>
        <w:rPr>
          <w:rFonts w:ascii="Times New Roman" w:eastAsia="Times New Roman" w:hAnsi="Times New Roman" w:cs="Times New Roman"/>
          <w:bCs/>
          <w:sz w:val="24"/>
          <w:szCs w:val="24"/>
          <w:lang w:val="en-US"/>
        </w:rPr>
        <w:t xml:space="preserve"> my standard deviation is 3–5× the published one on BCIC-IV-2a (±0.042 vs. ±0.0085) and MentalArithmetic (±0.040 vs. ±0.0125); my BCIC-IV-2a seeds range from 0.379 to 0.489 balanced accuracy.</w:t>
      </w:r>
    </w:p>
    <w:p>
      <w:pPr>
        <w:keepNext/>
        <w:numPr>
          <w:ilvl w:val="0"/>
          <w:numId w:val="3"/>
        </w:numPr>
        <w:spacing w:after="60" w:line="240" w:lineRule="auto"/>
        <w:jc w:val="both"/>
        <w:rPr>
          <w:rFonts w:ascii="Times New Roman Bold" w:eastAsia="Times New Roman" w:hAnsi="Times New Roman Bold" w:cs="Times New Roman Bold"/>
          <w:b/>
          <w:sz w:val="24"/>
          <w:szCs w:val="24"/>
        </w:rPr>
      </w:pPr>
      <w:r>
        <w:rPr>
          <w:rFonts w:ascii="Times New Roman Bold" w:eastAsia="Times New Roman" w:hAnsi="Times New Roman Bold" w:cs="Times New Roman Bold"/>
          <w:b/>
          <w:sz w:val="24"/>
          <w:szCs w:val="24"/>
        </w:rPr>
        <w:t xml:space="preserve">How much does the number depend on what is reported? Epoch, threshold, seeds</w:t>
      </w:r>
    </w:p>
    <w:p>
      <w:pPr>
        <w:spacing w:after="120" w:line="240" w:lineRule="auto"/>
        <w:ind w:left="720"/>
        <w:jc w:val="both"/>
      </w:pPr>
      <w:r>
        <w:rPr>
          <w:rFonts w:ascii="Times New Roman" w:eastAsia="Times New Roman" w:hAnsi="Times New Roman" w:cs="Times New Roman"/>
          <w:bCs/>
          <w:sz w:val="24"/>
          <w:szCs w:val="24"/>
          <w:lang w:val="en-US"/>
        </w:rPr>
        <w:t xml:space="preserve">Every run saved its validation and test predictions for all 50 epochs, so the test score can be recomputed under other reporting rules (code/selection_analysis.py). The last column of Table 2 picks the epoch with the test labels. It is not a valid protocol and is shown only as an upper bound: it is the rule EEG Conformer’s code uses.</w:t>
      </w:r>
    </w:p>
    <w:p>
      <w:pPr>
        <w:spacing w:after="60" w:line="240" w:lineRule="auto"/>
        <w:ind w:left="720"/>
        <w:jc w:val="both"/>
      </w:pPr>
    </w:p>
    <w:p>
      <w:pPr>
        <w:keepNext/>
        <w:spacing w:before="60" w:after="60" w:line="240" w:lineRule="auto"/>
        <w:ind w:left="720"/>
        <w:jc w:val="both"/>
      </w:pPr>
      <w:r>
        <w:rPr>
          <w:rFonts w:ascii="Times New Roman" w:eastAsia="Times New Roman" w:hAnsi="Times New Roman" w:cs="Times New Roman"/>
          <w:bCs/>
          <w:sz w:val="20"/>
          <w:szCs w:val="20"/>
          <w:lang w:val="en-US"/>
        </w:rPr>
        <w:t xml:space="preserve">Table 2. Test balanced accuracy of the same 20 runs under four epoch-selection rules (mean ± std, 5 seeds).</w:t>
      </w:r>
    </w:p>
    <w:tbl>
      <w:tblPr>
        <w:tblW w:w="8400" w:type="dxa"/>
        <w:tblInd w:w="7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60" w:type="dxa"/>
          <w:right w:w="60" w:type="dxa"/>
        </w:tblCellMar>
        <w:tblLook w:val="04A0" w:firstRow="1" w:lastRow="0" w:firstColumn="1" w:lastColumn="0" w:noHBand="0" w:noVBand="1"/>
      </w:tblPr>
      <w:tblGrid>
        <w:gridCol w:w="1500"/>
        <w:gridCol w:w="1500"/>
        <w:gridCol w:w="1500"/>
        <w:gridCol w:w="1350"/>
        <w:gridCol w:w="1600"/>
        <w:gridCol w:w="950"/>
      </w:tblGrid>
      <w:tr>
        <w:trPr>
          <w:cantSplit/>
          <w:tblHeader/>
        </w:trPr>
        <w:tc>
          <w:tcPr>
            <w:tcW w:w="1500" w:type="dxa"/>
            <w:shd w:val="clear" w:color="auto" w:fill="F2F2F2"/>
            <w:vAlign w:val="center"/>
          </w:tcPr>
          <w:p>
            <w:pPr>
              <w:spacing w:before="20" w:after="20" w:line="240" w:lineRule="auto"/>
              <w:jc w:val="center"/>
            </w:pPr>
            <w:r>
              <w:rPr>
                <w:rFonts w:ascii="Times New Roman" w:eastAsia="Times New Roman" w:hAnsi="Times New Roman" w:cs="Times New Roman"/>
                <w:b/>
                <w:bCs/>
                <w:sz w:val="16"/>
                <w:szCs w:val="16"/>
                <w:lang w:val="en-US"/>
              </w:rPr>
              <w:t xml:space="preserve">Dataset</w:t>
            </w:r>
          </w:p>
        </w:tc>
        <w:tc>
          <w:tcPr>
            <w:tcW w:w="1500" w:type="dxa"/>
            <w:shd w:val="clear" w:color="auto" w:fill="F2F2F2"/>
            <w:vAlign w:val="center"/>
          </w:tcPr>
          <w:p>
            <w:pPr>
              <w:spacing w:before="20" w:after="20" w:line="240" w:lineRule="auto"/>
              <w:jc w:val="center"/>
            </w:pPr>
            <w:r>
              <w:rPr>
                <w:rFonts w:ascii="Times New Roman" w:eastAsia="Times New Roman" w:hAnsi="Times New Roman" w:cs="Times New Roman"/>
                <w:b/>
                <w:bCs/>
                <w:sz w:val="16"/>
                <w:szCs w:val="16"/>
                <w:lang w:val="en-US"/>
              </w:rPr>
              <w:t xml:space="preserve">Best val. Kappa / AUROC (reported)</w:t>
            </w:r>
          </w:p>
        </w:tc>
        <w:tc>
          <w:tcPr>
            <w:tcW w:w="1500" w:type="dxa"/>
            <w:shd w:val="clear" w:color="auto" w:fill="F2F2F2"/>
            <w:vAlign w:val="center"/>
          </w:tcPr>
          <w:p>
            <w:pPr>
              <w:spacing w:before="20" w:after="20" w:line="240" w:lineRule="auto"/>
              <w:jc w:val="center"/>
            </w:pPr>
            <w:r>
              <w:rPr>
                <w:rFonts w:ascii="Times New Roman" w:eastAsia="Times New Roman" w:hAnsi="Times New Roman" w:cs="Times New Roman"/>
                <w:b/>
                <w:bCs/>
                <w:sz w:val="16"/>
                <w:szCs w:val="16"/>
                <w:lang w:val="en-US"/>
              </w:rPr>
              <w:t xml:space="preserve">Best val. accuracy (LaBraM code)</w:t>
            </w:r>
          </w:p>
        </w:tc>
        <w:tc>
          <w:tcPr>
            <w:tcW w:w="1350" w:type="dxa"/>
            <w:shd w:val="clear" w:color="auto" w:fill="F2F2F2"/>
            <w:vAlign w:val="center"/>
          </w:tcPr>
          <w:p>
            <w:pPr>
              <w:spacing w:before="20" w:after="20" w:line="240" w:lineRule="auto"/>
              <w:jc w:val="center"/>
            </w:pPr>
            <w:r>
              <w:rPr>
                <w:rFonts w:ascii="Times New Roman" w:eastAsia="Times New Roman" w:hAnsi="Times New Roman" w:cs="Times New Roman"/>
                <w:b/>
                <w:bCs/>
                <w:sz w:val="16"/>
                <w:szCs w:val="16"/>
                <w:lang w:val="en-US"/>
              </w:rPr>
              <w:t xml:space="preserve">Last epoch (50)</w:t>
            </w:r>
          </w:p>
        </w:tc>
        <w:tc>
          <w:tcPr>
            <w:tcW w:w="1600" w:type="dxa"/>
            <w:shd w:val="clear" w:color="auto" w:fill="F2F2F2"/>
            <w:vAlign w:val="center"/>
          </w:tcPr>
          <w:p>
            <w:pPr>
              <w:spacing w:before="20" w:after="20" w:line="240" w:lineRule="auto"/>
              <w:jc w:val="center"/>
            </w:pPr>
            <w:r>
              <w:rPr>
                <w:rFonts w:ascii="Times New Roman" w:eastAsia="Times New Roman" w:hAnsi="Times New Roman" w:cs="Times New Roman"/>
                <w:b/>
                <w:bCs/>
                <w:sz w:val="16"/>
                <w:szCs w:val="16"/>
                <w:lang w:val="en-US"/>
              </w:rPr>
              <w:t xml:space="preserve">Best test epoch (uses test labels)</w:t>
            </w:r>
          </w:p>
        </w:tc>
        <w:tc>
          <w:tcPr>
            <w:tcW w:w="950" w:type="dxa"/>
            <w:shd w:val="clear" w:color="auto" w:fill="F2F2F2"/>
            <w:vAlign w:val="center"/>
          </w:tcPr>
          <w:p>
            <w:pPr>
              <w:spacing w:before="20" w:after="20" w:line="240" w:lineRule="auto"/>
              <w:jc w:val="center"/>
            </w:pPr>
            <w:r>
              <w:rPr>
                <w:rFonts w:ascii="Times New Roman" w:eastAsia="Times New Roman" w:hAnsi="Times New Roman" w:cs="Times New Roman"/>
                <w:b/>
                <w:bCs/>
                <w:sz w:val="16"/>
                <w:szCs w:val="16"/>
                <w:lang w:val="en-US"/>
              </w:rPr>
              <w:t xml:space="preserve">Paper</w:t>
            </w:r>
          </w:p>
        </w:tc>
      </w:tr>
      <w:tr>
        <w:trPr>
          <w:cantSplit/>
        </w:trPr>
        <w:tc>
          <w:tcPr>
            <w:tcW w:w="1500" w:type="dxa"/>
            <w:vAlign w:val="center"/>
          </w:tcPr>
          <w:p>
            <w:pPr>
              <w:spacing w:before="20" w:after="20" w:line="240" w:lineRule="auto"/>
            </w:pPr>
            <w:r>
              <w:rPr>
                <w:rFonts w:ascii="Times New Roman" w:eastAsia="Times New Roman" w:hAnsi="Times New Roman" w:cs="Times New Roman"/>
                <w:b/>
                <w:bCs/>
                <w:sz w:val="16"/>
                <w:szCs w:val="16"/>
                <w:lang w:val="en-US"/>
              </w:rPr>
              <w:t xml:space="preserve">PhysioNet-MI</w:t>
            </w:r>
          </w:p>
        </w:tc>
        <w:tc>
          <w:tcPr>
            <w:tcW w:w="1500" w:type="dxa"/>
            <w:vAlign w:val="center"/>
          </w:tcPr>
          <w:p>
            <w:pPr>
              <w:spacing w:before="20" w:after="20" w:line="240" w:lineRule="auto"/>
              <w:jc w:val="center"/>
            </w:pPr>
            <w:r>
              <w:rPr>
                <w:rFonts w:ascii="Times New Roman" w:eastAsia="Times New Roman" w:hAnsi="Times New Roman" w:cs="Times New Roman"/>
                <w:b/>
                <w:bCs/>
                <w:sz w:val="16"/>
                <w:szCs w:val="16"/>
                <w:lang w:val="en-US"/>
              </w:rPr>
              <w:t xml:space="preserve">0.6098 ± 0.0098</w:t>
            </w:r>
          </w:p>
        </w:tc>
        <w:tc>
          <w:tcPr>
            <w:tcW w:w="15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0.6098 ± 0.0098</w:t>
            </w:r>
          </w:p>
        </w:tc>
        <w:tc>
          <w:tcPr>
            <w:tcW w:w="135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0.5995 ± 0.0078</w:t>
            </w:r>
          </w:p>
        </w:tc>
        <w:tc>
          <w:tcPr>
            <w:tcW w:w="16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0.6161 ± 0.0082</w:t>
            </w:r>
          </w:p>
        </w:tc>
        <w:tc>
          <w:tcPr>
            <w:tcW w:w="95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0.6173</w:t>
            </w:r>
          </w:p>
        </w:tc>
      </w:tr>
      <w:tr>
        <w:trPr>
          <w:cantSplit/>
        </w:trPr>
        <w:tc>
          <w:tcPr>
            <w:tcW w:w="1500" w:type="dxa"/>
            <w:vAlign w:val="center"/>
          </w:tcPr>
          <w:p>
            <w:pPr>
              <w:spacing w:before="20" w:after="20" w:line="240" w:lineRule="auto"/>
            </w:pPr>
            <w:r>
              <w:rPr>
                <w:rFonts w:ascii="Times New Roman" w:eastAsia="Times New Roman" w:hAnsi="Times New Roman" w:cs="Times New Roman"/>
                <w:b/>
                <w:bCs/>
                <w:sz w:val="16"/>
                <w:szCs w:val="16"/>
                <w:lang w:val="en-US"/>
              </w:rPr>
              <w:t xml:space="preserve">BCIC-IV-2a</w:t>
            </w:r>
          </w:p>
        </w:tc>
        <w:tc>
          <w:tcPr>
            <w:tcW w:w="1500" w:type="dxa"/>
            <w:vAlign w:val="center"/>
          </w:tcPr>
          <w:p>
            <w:pPr>
              <w:spacing w:before="20" w:after="20" w:line="240" w:lineRule="auto"/>
              <w:jc w:val="center"/>
            </w:pPr>
            <w:r>
              <w:rPr>
                <w:rFonts w:ascii="Times New Roman" w:eastAsia="Times New Roman" w:hAnsi="Times New Roman" w:cs="Times New Roman"/>
                <w:b/>
                <w:bCs/>
                <w:sz w:val="16"/>
                <w:szCs w:val="16"/>
                <w:lang w:val="en-US"/>
              </w:rPr>
              <w:t xml:space="preserve">0.4477 ± 0.0421</w:t>
            </w:r>
          </w:p>
        </w:tc>
        <w:tc>
          <w:tcPr>
            <w:tcW w:w="15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0.4477 ± 0.0421</w:t>
            </w:r>
          </w:p>
        </w:tc>
        <w:tc>
          <w:tcPr>
            <w:tcW w:w="135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0.4536 ± 0.0147</w:t>
            </w:r>
          </w:p>
        </w:tc>
        <w:tc>
          <w:tcPr>
            <w:tcW w:w="16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0.4847 ± 0.0202</w:t>
            </w:r>
          </w:p>
        </w:tc>
        <w:tc>
          <w:tcPr>
            <w:tcW w:w="95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0.4869</w:t>
            </w:r>
          </w:p>
        </w:tc>
      </w:tr>
      <w:tr>
        <w:trPr>
          <w:cantSplit/>
        </w:trPr>
        <w:tc>
          <w:tcPr>
            <w:tcW w:w="1500" w:type="dxa"/>
            <w:vAlign w:val="center"/>
          </w:tcPr>
          <w:p>
            <w:pPr>
              <w:spacing w:before="20" w:after="20" w:line="240" w:lineRule="auto"/>
            </w:pPr>
            <w:r>
              <w:rPr>
                <w:rFonts w:ascii="Times New Roman" w:eastAsia="Times New Roman" w:hAnsi="Times New Roman" w:cs="Times New Roman"/>
                <w:b/>
                <w:bCs/>
                <w:sz w:val="16"/>
                <w:szCs w:val="16"/>
                <w:lang w:val="en-US"/>
              </w:rPr>
              <w:t xml:space="preserve">Mumtaz2016</w:t>
            </w:r>
          </w:p>
        </w:tc>
        <w:tc>
          <w:tcPr>
            <w:tcW w:w="1500" w:type="dxa"/>
            <w:vAlign w:val="center"/>
          </w:tcPr>
          <w:p>
            <w:pPr>
              <w:spacing w:before="20" w:after="20" w:line="240" w:lineRule="auto"/>
              <w:jc w:val="center"/>
            </w:pPr>
            <w:r>
              <w:rPr>
                <w:rFonts w:ascii="Times New Roman" w:eastAsia="Times New Roman" w:hAnsi="Times New Roman" w:cs="Times New Roman"/>
                <w:b/>
                <w:bCs/>
                <w:sz w:val="16"/>
                <w:szCs w:val="16"/>
                <w:lang w:val="en-US"/>
              </w:rPr>
              <w:t xml:space="preserve">0.8905 ± 0.0041</w:t>
            </w:r>
          </w:p>
        </w:tc>
        <w:tc>
          <w:tcPr>
            <w:tcW w:w="15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0.8919 ± 0.0030</w:t>
            </w:r>
          </w:p>
        </w:tc>
        <w:tc>
          <w:tcPr>
            <w:tcW w:w="135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0.8858 ± 0.0079</w:t>
            </w:r>
          </w:p>
        </w:tc>
        <w:tc>
          <w:tcPr>
            <w:tcW w:w="16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0.9078 ± 0.0052</w:t>
            </w:r>
          </w:p>
        </w:tc>
        <w:tc>
          <w:tcPr>
            <w:tcW w:w="95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0.9409</w:t>
            </w:r>
          </w:p>
        </w:tc>
      </w:tr>
      <w:tr>
        <w:trPr>
          <w:cantSplit/>
        </w:trPr>
        <w:tc>
          <w:tcPr>
            <w:tcW w:w="1500" w:type="dxa"/>
            <w:vAlign w:val="center"/>
          </w:tcPr>
          <w:p>
            <w:pPr>
              <w:spacing w:before="20" w:after="20" w:line="240" w:lineRule="auto"/>
            </w:pPr>
            <w:r>
              <w:rPr>
                <w:rFonts w:ascii="Times New Roman" w:eastAsia="Times New Roman" w:hAnsi="Times New Roman" w:cs="Times New Roman"/>
                <w:b/>
                <w:bCs/>
                <w:sz w:val="16"/>
                <w:szCs w:val="16"/>
                <w:lang w:val="en-US"/>
              </w:rPr>
              <w:t xml:space="preserve">MentalArithmetic</w:t>
            </w:r>
          </w:p>
        </w:tc>
        <w:tc>
          <w:tcPr>
            <w:tcW w:w="1500" w:type="dxa"/>
            <w:vAlign w:val="center"/>
          </w:tcPr>
          <w:p>
            <w:pPr>
              <w:spacing w:before="20" w:after="20" w:line="240" w:lineRule="auto"/>
              <w:jc w:val="center"/>
            </w:pPr>
            <w:r>
              <w:rPr>
                <w:rFonts w:ascii="Times New Roman" w:eastAsia="Times New Roman" w:hAnsi="Times New Roman" w:cs="Times New Roman"/>
                <w:b/>
                <w:bCs/>
                <w:sz w:val="16"/>
                <w:szCs w:val="16"/>
                <w:lang w:val="en-US"/>
              </w:rPr>
              <w:t xml:space="preserve">0.6562 ± 0.0397</w:t>
            </w:r>
          </w:p>
        </w:tc>
        <w:tc>
          <w:tcPr>
            <w:tcW w:w="15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0.6632 ± 0.0988</w:t>
            </w:r>
          </w:p>
        </w:tc>
        <w:tc>
          <w:tcPr>
            <w:tcW w:w="135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0.6354 ± 0.0334</w:t>
            </w:r>
          </w:p>
        </w:tc>
        <w:tc>
          <w:tcPr>
            <w:tcW w:w="16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0.7215 ± 0.0421</w:t>
            </w:r>
          </w:p>
        </w:tc>
        <w:tc>
          <w:tcPr>
            <w:tcW w:w="95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0.6909</w:t>
            </w:r>
          </w:p>
        </w:tc>
      </w:tr>
    </w:tbl>
    <w:p>
      <w:pPr>
        <w:keepNext/>
        <w:spacing w:before="120" w:after="60"/>
      </w:pPr>
    </w:p>
    <w:p>
      <w:pPr>
        <w:numPr>
          <w:ilvl w:val="1"/>
          <w:numId w:val="1"/>
        </w:numPr>
        <w:spacing w:after="40" w:line="240" w:lineRule="auto"/>
        <w:jc w:val="both"/>
        <w:rPr>
          <w:rFonts w:ascii="Times New Roman Bold" w:eastAsia="Times New Roman" w:hAnsi="Times New Roman Bold" w:cs="Times New Roman Bold"/>
          <w:b/>
          <w:sz w:val="24"/>
          <w:szCs w:val="24"/>
        </w:rPr>
      </w:pPr>
      <w:r>
        <w:rPr>
          <w:rFonts w:ascii="Times New Roman" w:eastAsia="Times New Roman" w:hAnsi="Times New Roman" w:cs="Times New Roman"/>
          <w:b/>
          <w:bCs/>
          <w:sz w:val="24"/>
          <w:szCs w:val="24"/>
          <w:lang w:val="en-US"/>
        </w:rPr>
        <w:t xml:space="preserve">The validation rule hardly matters.</w:t>
      </w:r>
      <w:r>
        <w:rPr>
          <w:rFonts w:ascii="Times New Roman" w:eastAsia="Times New Roman" w:hAnsi="Times New Roman" w:cs="Times New Roman"/>
          <w:bCs/>
          <w:sz w:val="24"/>
          <w:szCs w:val="24"/>
          <w:lang w:val="en-US"/>
        </w:rPr>
        <w:t xml:space="preserve"> Kappa and accuracy pick the same epoch in all 10 four-class runs; on the binary sets the two rules differ by ≤ 0.007 balanced accuracy, and the last epoch is within 0.021 of the reported one on every dataset.</w:t>
      </w:r>
    </w:p>
    <w:p>
      <w:pPr>
        <w:numPr>
          <w:ilvl w:val="1"/>
          <w:numId w:val="1"/>
        </w:numPr>
        <w:spacing w:after="40" w:line="240" w:lineRule="auto"/>
        <w:jc w:val="both"/>
        <w:rPr>
          <w:rFonts w:ascii="Times New Roman Bold" w:eastAsia="Times New Roman" w:hAnsi="Times New Roman Bold" w:cs="Times New Roman Bold"/>
          <w:b/>
          <w:sz w:val="24"/>
          <w:szCs w:val="24"/>
        </w:rPr>
      </w:pPr>
      <w:r>
        <w:rPr>
          <w:rFonts w:ascii="Times New Roman" w:eastAsia="Times New Roman" w:hAnsi="Times New Roman" w:cs="Times New Roman"/>
          <w:b/>
          <w:bCs/>
          <w:sz w:val="24"/>
          <w:szCs w:val="24"/>
          <w:lang w:val="en-US"/>
        </w:rPr>
        <w:t xml:space="preserve">Choosing the epoch on the test set would add +0.006 (PhysioNet-MI) to +0.065 (MentalArithmetic).</w:t>
      </w:r>
      <w:r>
        <w:rPr>
          <w:rFonts w:ascii="Times New Roman" w:eastAsia="Times New Roman" w:hAnsi="Times New Roman" w:cs="Times New Roman"/>
          <w:bCs/>
          <w:sz w:val="24"/>
          <w:szCs w:val="24"/>
          <w:lang w:val="en-US"/>
        </w:rPr>
        <w:t xml:space="preserve"> That is the size of the inflation the EEG Conformer protocol produces here. LaBraM’s released code does not do this.</w:t>
      </w:r>
    </w:p>
    <w:p>
      <w:pPr>
        <w:numPr>
          <w:ilvl w:val="1"/>
          <w:numId w:val="1"/>
        </w:numPr>
        <w:spacing w:after="40" w:line="240" w:lineRule="auto"/>
        <w:jc w:val="both"/>
        <w:rPr>
          <w:rFonts w:ascii="Times New Roman Bold" w:eastAsia="Times New Roman" w:hAnsi="Times New Roman Bold" w:cs="Times New Roman Bold"/>
          <w:b/>
          <w:sz w:val="24"/>
          <w:szCs w:val="24"/>
        </w:rPr>
      </w:pPr>
      <w:r>
        <w:rPr>
          <w:rFonts w:ascii="Times New Roman" w:eastAsia="Times New Roman" w:hAnsi="Times New Roman" w:cs="Times New Roman"/>
          <w:b/>
          <w:bCs/>
          <w:sz w:val="24"/>
          <w:szCs w:val="24"/>
          <w:lang w:val="en-US"/>
        </w:rPr>
        <w:t xml:space="preserve">The published numbers are at or above my test-selected upper bound on three datasets</w:t>
      </w:r>
      <w:r>
        <w:rPr>
          <w:rFonts w:ascii="Times New Roman" w:eastAsia="Times New Roman" w:hAnsi="Times New Roman" w:cs="Times New Roman"/>
          <w:bCs/>
          <w:sz w:val="24"/>
          <w:szCs w:val="24"/>
          <w:lang w:val="en-US"/>
        </w:rPr>
        <w:t xml:space="preserve"> (PhysioNet-MI 0.6173 vs. 0.6161, BCIC-IV-2a 0.4869 vs. 0.4847, Mumtaz2016 0.9409 vs. 0.9078). So the remaining gaps cannot come from which epoch I report. They must come from the recipe (the CBraMod paper does not give the hyperparameters it used for LaBraM) or from the data pipeline.</w:t>
      </w:r>
    </w:p>
    <w:p>
      <w:pPr>
        <w:numPr>
          <w:ilvl w:val="1"/>
          <w:numId w:val="1"/>
        </w:numPr>
        <w:spacing w:after="40" w:line="240" w:lineRule="auto"/>
        <w:jc w:val="both"/>
        <w:rPr>
          <w:rFonts w:ascii="Times New Roman Bold" w:eastAsia="Times New Roman" w:hAnsi="Times New Roman Bold" w:cs="Times New Roman Bold"/>
          <w:b/>
          <w:sz w:val="24"/>
          <w:szCs w:val="24"/>
        </w:rPr>
      </w:pPr>
      <w:r>
        <w:rPr>
          <w:rFonts w:ascii="Times New Roman" w:eastAsia="Times New Roman" w:hAnsi="Times New Roman" w:cs="Times New Roman"/>
          <w:b/>
          <w:bCs/>
          <w:sz w:val="24"/>
          <w:szCs w:val="24"/>
          <w:lang w:val="en-US"/>
        </w:rPr>
        <w:t xml:space="preserve">Mumtaz2016: the threshold and the epoch do not close the gap.</w:t>
      </w:r>
      <w:r>
        <w:rPr>
          <w:rFonts w:ascii="Times New Roman" w:eastAsia="Times New Roman" w:hAnsi="Times New Roman" w:cs="Times New Roman"/>
          <w:bCs/>
          <w:sz w:val="24"/>
          <w:szCs w:val="24"/>
          <w:lang w:val="en-US"/>
        </w:rPr>
        <w:t xml:space="preserve"> Test balanced accuracy is highest after the first epoch (0.906) and falls as the model overfits; re-choosing the decision threshold on the validation set instead of 0.5 gives 0.8959 ± 0.0048. Both stay well short of 0.9409.</w:t>
      </w:r>
    </w:p>
    <w:p>
      <w:pPr>
        <w:numPr>
          <w:ilvl w:val="1"/>
          <w:numId w:val="1"/>
        </w:numPr>
        <w:spacing w:after="40" w:line="240" w:lineRule="auto"/>
        <w:jc w:val="both"/>
        <w:rPr>
          <w:rFonts w:ascii="Times New Roman Bold" w:eastAsia="Times New Roman" w:hAnsi="Times New Roman Bold" w:cs="Times New Roman Bold"/>
          <w:b/>
          <w:sz w:val="24"/>
          <w:szCs w:val="24"/>
        </w:rPr>
      </w:pPr>
      <w:r>
        <w:rPr>
          <w:rFonts w:ascii="Times New Roman" w:eastAsia="Times New Roman" w:hAnsi="Times New Roman" w:cs="Times New Roman"/>
          <w:b/>
          <w:bCs/>
          <w:sz w:val="24"/>
          <w:szCs w:val="24"/>
          <w:lang w:val="en-US"/>
        </w:rPr>
        <w:t xml:space="preserve">The 50-epoch recipe overfits small datasets.</w:t>
      </w:r>
      <w:r>
        <w:rPr>
          <w:rFonts w:ascii="Times New Roman" w:eastAsia="Times New Roman" w:hAnsi="Times New Roman" w:cs="Times New Roman"/>
          <w:bCs/>
          <w:sz w:val="24"/>
          <w:szCs w:val="24"/>
          <w:lang w:val="en-US"/>
        </w:rPr>
        <w:t xml:space="preserve"> By epoch 50 the training accuracy is 0.96–1.00 on every dataset while test balanced accuracy is 0.45–0.89. The validation monitor therefore picks epochs as early as 5 (Mumtaz2016) and 8 (MentalArithmetic). On MentalArithmetic (1,343 training samples) the best validation thresholds are 0.003–0.096 rather than 0.5, i.e. the outputs are badly calibrated; re-thresholding does not help there either (0.6611 ± 0.0545).</w:t>
      </w:r>
    </w:p>
    <w:p>
      <w:pPr>
        <w:spacing w:after="60" w:line="240" w:lineRule="auto"/>
        <w:ind w:left="720"/>
        <w:jc w:val="both"/>
      </w:pPr>
    </w:p>
    <w:p>
      <w:pPr>
        <w:keepNext/>
        <w:spacing w:after="60" w:line="240" w:lineRule="auto"/>
        <w:ind w:left="720"/>
        <w:jc w:val="center"/>
      </w:pPr>
      <w:r>
        <w:drawing>
          <wp:inline xmlns:a="http://schemas.openxmlformats.org/drawingml/2006/main" xmlns:pic="http://schemas.openxmlformats.org/drawingml/2006/picture">
            <wp:extent cx="5486400" cy="1621783"/>
            <wp:docPr id="1" name="Picture 1"/>
            <wp:cNvGraphicFramePr>
              <a:graphicFrameLocks noChangeAspect="1"/>
            </wp:cNvGraphicFramePr>
            <a:graphic>
              <a:graphicData uri="http://schemas.openxmlformats.org/drawingml/2006/picture">
                <pic:pic>
                  <pic:nvPicPr>
                    <pic:cNvPr id="0" name="fig_epoch_selection.png"/>
                    <pic:cNvPicPr/>
                  </pic:nvPicPr>
                  <pic:blipFill>
                    <a:blip r:embed="rId10"/>
                    <a:stretch>
                      <a:fillRect/>
                    </a:stretch>
                  </pic:blipFill>
                  <pic:spPr>
                    <a:xfrm>
                      <a:off x="0" y="0"/>
                      <a:ext cx="5486400" cy="1621783"/>
                    </a:xfrm>
                    <a:prstGeom prst="rect"/>
                  </pic:spPr>
                </pic:pic>
              </a:graphicData>
            </a:graphic>
          </wp:inline>
        </w:drawing>
      </w:r>
    </w:p>
    <w:p>
      <w:pPr>
        <w:keepNext/>
        <w:spacing w:before="60" w:after="60" w:line="240" w:lineRule="auto"/>
        <w:ind w:left="720"/>
        <w:jc w:val="both"/>
      </w:pPr>
      <w:r>
        <w:rPr>
          <w:rFonts w:ascii="Times New Roman" w:eastAsia="Times New Roman" w:hAnsi="Times New Roman" w:cs="Times New Roman"/>
          <w:bCs/>
          <w:sz w:val="20"/>
          <w:szCs w:val="20"/>
          <w:lang w:val="en-US"/>
        </w:rPr>
        <w:t xml:space="preserve">Figure A. Test balanced accuracy at every epoch (line: mean of 5 seeds, band: ± std), the epoch each seed reports (dots), and the published LaBraM-Base number (dashed).</w:t>
      </w:r>
    </w:p>
    <w:p>
      <w:pPr>
        <w:keepNext/>
        <w:spacing w:before="120" w:after="60"/>
      </w:pPr>
    </w:p>
    <w:p>
      <w:pPr>
        <w:keepNext/>
        <w:numPr>
          <w:ilvl w:val="0"/>
          <w:numId w:val="3"/>
        </w:numPr>
        <w:spacing w:after="60" w:line="240" w:lineRule="auto"/>
        <w:jc w:val="both"/>
        <w:rPr>
          <w:rFonts w:ascii="Times New Roman Bold" w:eastAsia="Times New Roman" w:hAnsi="Times New Roman Bold" w:cs="Times New Roman Bold"/>
          <w:b/>
          <w:sz w:val="24"/>
          <w:szCs w:val="24"/>
        </w:rPr>
      </w:pPr>
      <w:r>
        <w:rPr>
          <w:rFonts w:ascii="Times New Roman Bold" w:eastAsia="Times New Roman" w:hAnsi="Times New Roman Bold" w:cs="Times New Roman Bold"/>
          <w:b/>
          <w:sz w:val="24"/>
          <w:szCs w:val="24"/>
        </w:rPr>
        <w:t xml:space="preserve">LaBraM’s own claims (TUAB, TUEV): what can and cannot be checked</w:t>
      </w:r>
    </w:p>
    <w:p>
      <w:pPr>
        <w:spacing w:after="120" w:line="240" w:lineRule="auto"/>
        <w:ind w:left="720"/>
        <w:jc w:val="both"/>
      </w:pPr>
      <w:r>
        <w:rPr>
          <w:rFonts w:ascii="Times New Roman" w:eastAsia="Times New Roman" w:hAnsi="Times New Roman" w:cs="Times New Roman"/>
          <w:b/>
          <w:bCs/>
          <w:sz w:val="24"/>
          <w:szCs w:val="24"/>
          <w:lang w:val="en-US"/>
        </w:rPr>
        <w:t xml:space="preserve">The baselines in LaBraM’s Tables 1–2 are not LaBraM’s runs.</w:t>
      </w:r>
      <w:r>
        <w:rPr>
          <w:rFonts w:ascii="Times New Roman" w:eastAsia="Times New Roman" w:hAnsi="Times New Roman" w:cs="Times New Roman"/>
          <w:bCs/>
          <w:sz w:val="24"/>
          <w:szCs w:val="24"/>
          <w:lang w:val="en-US"/>
        </w:rPr>
        <w:t xml:space="preserve"> Sec. 3.2 (p. 7): “The baselines are from Yang et al. (2023a), where we choose the best results to compare with.” Every baseline cell is identical to BIOT’s Appendix Tables 4–5 (e.g. SPaRCNet TUAB 0.7896 ± 0.0018, TUEV 0.4161 ± 0.0262). The BIOT row is the best of BIOT’s 4 TUAB and 13 TUEV variants (“Pre-trained BIOT (6 EEG datasets)” and “Pre-trained BIOT (ultimate)”). Those numbers were produced by BIOT’s pipeline on a 16-channel bipolar montage (“16 montages”, BIOT Table 1). LaBraM’s make_TUEV.py contains the same bipolar conversion but has it commented out (line 157), so LaBraM’s own TUEV rows use 23 monopolar channels. The comparison therefore mixes two input pipelines.</w:t>
      </w:r>
    </w:p>
    <w:p>
      <w:pPr>
        <w:spacing w:after="120" w:line="240" w:lineRule="auto"/>
        <w:ind w:left="720"/>
        <w:jc w:val="both"/>
      </w:pPr>
      <w:r>
        <w:rPr>
          <w:rFonts w:ascii="Times New Roman" w:eastAsia="Times New Roman" w:hAnsi="Times New Roman" w:cs="Times New Roman"/>
          <w:b/>
          <w:bCs/>
          <w:sz w:val="24"/>
          <w:szCs w:val="24"/>
          <w:lang w:val="en-US"/>
        </w:rPr>
        <w:t xml:space="preserve">LaBraM-Large and LaBraM-Huge cannot be checked by anyone.</w:t>
      </w:r>
      <w:r>
        <w:rPr>
          <w:rFonts w:ascii="Times New Roman" w:eastAsia="Times New Roman" w:hAnsi="Times New Roman" w:cs="Times New Roman"/>
          <w:bCs/>
          <w:sz w:val="24"/>
          <w:szCs w:val="24"/>
          <w:lang w:val="en-US"/>
        </w:rPr>
        <w:t xml:space="preserve"> Only the Base weights were released, “because of commercial reasons” (author’s reply in GitHub issue #3).</w:t>
      </w:r>
    </w:p>
    <w:p>
      <w:pPr>
        <w:spacing w:after="120" w:line="240" w:lineRule="auto"/>
        <w:ind w:left="720"/>
        <w:jc w:val="both"/>
      </w:pPr>
      <w:r>
        <w:rPr>
          <w:rFonts w:ascii="Times New Roman" w:eastAsia="Times New Roman" w:hAnsi="Times New Roman" w:cs="Times New Roman"/>
          <w:b/>
          <w:bCs/>
          <w:sz w:val="24"/>
          <w:szCs w:val="24"/>
          <w:lang w:val="en-US"/>
        </w:rPr>
        <w:t xml:space="preserve">Independent re-runs of LaBraM-Base land below the paper on TUEV.</w:t>
      </w:r>
      <w:r>
        <w:rPr>
          <w:rFonts w:ascii="Times New Roman" w:eastAsia="Times New Roman" w:hAnsi="Times New Roman" w:cs="Times New Roman"/>
          <w:bCs/>
          <w:sz w:val="24"/>
          <w:szCs w:val="24"/>
          <w:lang w:val="en-US"/>
        </w:rPr>
        <w:t xml:space="preserve"> Two 2025 benchmarks fine-tuned the released LaBraM-Base checkpoint on TUAB and TUEV with their own pipelines:</w:t>
      </w:r>
    </w:p>
    <w:p>
      <w:pPr>
        <w:spacing w:after="60" w:line="240" w:lineRule="auto"/>
        <w:ind w:left="720"/>
        <w:jc w:val="both"/>
      </w:pPr>
    </w:p>
    <w:p>
      <w:pPr>
        <w:keepNext/>
        <w:spacing w:before="60" w:after="60" w:line="240" w:lineRule="auto"/>
        <w:ind w:left="720"/>
        <w:jc w:val="both"/>
      </w:pPr>
      <w:r>
        <w:rPr>
          <w:rFonts w:ascii="Times New Roman" w:eastAsia="Times New Roman" w:hAnsi="Times New Roman" w:cs="Times New Roman"/>
          <w:bCs/>
          <w:sz w:val="20"/>
          <w:szCs w:val="20"/>
          <w:lang w:val="en-US"/>
        </w:rPr>
        <w:t xml:space="preserve">Table 3. LaBraM-Base on its own benchmarks: the paper vs. two independent re-runs.</w:t>
      </w:r>
    </w:p>
    <w:tbl>
      <w:tblPr>
        <w:tblW w:w="8000" w:type="dxa"/>
        <w:tblInd w:w="7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60" w:type="dxa"/>
          <w:right w:w="60" w:type="dxa"/>
        </w:tblCellMar>
        <w:tblLook w:val="04A0" w:firstRow="1" w:lastRow="0" w:firstColumn="1" w:lastColumn="0" w:noHBand="0" w:noVBand="1"/>
      </w:tblPr>
      <w:tblGrid>
        <w:gridCol w:w="2400"/>
        <w:gridCol w:w="1350"/>
        <w:gridCol w:w="1350"/>
        <w:gridCol w:w="2900"/>
      </w:tblGrid>
      <w:tr>
        <w:trPr>
          <w:cantSplit/>
          <w:tblHeader/>
        </w:trPr>
        <w:tc>
          <w:tcPr>
            <w:tcW w:w="2400" w:type="dxa"/>
            <w:shd w:val="clear" w:color="auto" w:fill="F2F2F2"/>
            <w:vAlign w:val="center"/>
          </w:tcPr>
          <w:p>
            <w:pPr>
              <w:spacing w:before="20" w:after="20" w:line="240" w:lineRule="auto"/>
              <w:jc w:val="center"/>
            </w:pPr>
            <w:r>
              <w:rPr>
                <w:rFonts w:ascii="Times New Roman" w:eastAsia="Times New Roman" w:hAnsi="Times New Roman" w:cs="Times New Roman"/>
                <w:b/>
                <w:bCs/>
                <w:sz w:val="16"/>
                <w:szCs w:val="16"/>
                <w:lang w:val="en-US"/>
              </w:rPr>
              <w:t xml:space="preserve">Source</w:t>
            </w:r>
          </w:p>
        </w:tc>
        <w:tc>
          <w:tcPr>
            <w:tcW w:w="1350" w:type="dxa"/>
            <w:shd w:val="clear" w:color="auto" w:fill="F2F2F2"/>
            <w:vAlign w:val="center"/>
          </w:tcPr>
          <w:p>
            <w:pPr>
              <w:spacing w:before="20" w:after="20" w:line="240" w:lineRule="auto"/>
              <w:jc w:val="center"/>
            </w:pPr>
            <w:r>
              <w:rPr>
                <w:rFonts w:ascii="Times New Roman" w:eastAsia="Times New Roman" w:hAnsi="Times New Roman" w:cs="Times New Roman"/>
                <w:b/>
                <w:bCs/>
                <w:sz w:val="16"/>
                <w:szCs w:val="16"/>
                <w:lang w:val="en-US"/>
              </w:rPr>
              <w:t xml:space="preserve">TUAB balanced acc.</w:t>
            </w:r>
          </w:p>
        </w:tc>
        <w:tc>
          <w:tcPr>
            <w:tcW w:w="1350" w:type="dxa"/>
            <w:shd w:val="clear" w:color="auto" w:fill="F2F2F2"/>
            <w:vAlign w:val="center"/>
          </w:tcPr>
          <w:p>
            <w:pPr>
              <w:spacing w:before="20" w:after="20" w:line="240" w:lineRule="auto"/>
              <w:jc w:val="center"/>
            </w:pPr>
            <w:r>
              <w:rPr>
                <w:rFonts w:ascii="Times New Roman" w:eastAsia="Times New Roman" w:hAnsi="Times New Roman" w:cs="Times New Roman"/>
                <w:b/>
                <w:bCs/>
                <w:sz w:val="16"/>
                <w:szCs w:val="16"/>
                <w:lang w:val="en-US"/>
              </w:rPr>
              <w:t xml:space="preserve">TUEV balanced acc.</w:t>
            </w:r>
          </w:p>
        </w:tc>
        <w:tc>
          <w:tcPr>
            <w:tcW w:w="2900" w:type="dxa"/>
            <w:shd w:val="clear" w:color="auto" w:fill="F2F2F2"/>
            <w:vAlign w:val="center"/>
          </w:tcPr>
          <w:p>
            <w:pPr>
              <w:spacing w:before="20" w:after="20" w:line="240" w:lineRule="auto"/>
              <w:jc w:val="center"/>
            </w:pPr>
            <w:r>
              <w:rPr>
                <w:rFonts w:ascii="Times New Roman" w:eastAsia="Times New Roman" w:hAnsi="Times New Roman" w:cs="Times New Roman"/>
                <w:b/>
                <w:bCs/>
                <w:sz w:val="16"/>
                <w:szCs w:val="16"/>
                <w:lang w:val="en-US"/>
              </w:rPr>
              <w:t xml:space="preserve">Setting</w:t>
            </w:r>
          </w:p>
        </w:tc>
      </w:tr>
      <w:tr>
        <w:trPr>
          <w:cantSplit/>
        </w:trPr>
        <w:tc>
          <w:tcPr>
            <w:tcW w:w="2400" w:type="dxa"/>
            <w:vAlign w:val="center"/>
          </w:tcPr>
          <w:p>
            <w:pPr>
              <w:spacing w:before="20" w:after="20" w:line="240" w:lineRule="auto"/>
            </w:pPr>
            <w:r>
              <w:rPr>
                <w:rFonts w:ascii="Times New Roman" w:eastAsia="Times New Roman" w:hAnsi="Times New Roman" w:cs="Times New Roman"/>
                <w:b/>
                <w:bCs/>
                <w:sz w:val="16"/>
                <w:szCs w:val="16"/>
                <w:lang w:val="en-US"/>
              </w:rPr>
              <w:t xml:space="preserve">LaBraM paper, Tables 1–2</w:t>
            </w:r>
          </w:p>
        </w:tc>
        <w:tc>
          <w:tcPr>
            <w:tcW w:w="135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0.8140 ± 0.0019</w:t>
            </w:r>
          </w:p>
        </w:tc>
        <w:tc>
          <w:tcPr>
            <w:tcW w:w="135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0.6409 ± 0.0065</w:t>
            </w:r>
          </w:p>
        </w:tc>
        <w:tc>
          <w:tcPr>
            <w:tcW w:w="2900" w:type="dxa"/>
            <w:vAlign w:val="center"/>
          </w:tcPr>
          <w:p>
            <w:pPr>
              <w:spacing w:before="20" w:after="20" w:line="240" w:lineRule="auto"/>
            </w:pPr>
            <w:r>
              <w:rPr>
                <w:rFonts w:ascii="Times New Roman" w:eastAsia="Times New Roman" w:hAnsi="Times New Roman" w:cs="Times New Roman"/>
                <w:bCs/>
                <w:sz w:val="16"/>
                <w:szCs w:val="16"/>
                <w:lang w:val="en-US"/>
              </w:rPr>
              <w:t xml:space="preserve">own pipeline, 5 seeds</w:t>
            </w:r>
          </w:p>
        </w:tc>
      </w:tr>
      <w:tr>
        <w:trPr>
          <w:cantSplit/>
        </w:trPr>
        <w:tc>
          <w:tcPr>
            <w:tcW w:w="2400" w:type="dxa"/>
            <w:vAlign w:val="center"/>
          </w:tcPr>
          <w:p>
            <w:pPr>
              <w:spacing w:before="20" w:after="20" w:line="240" w:lineRule="auto"/>
            </w:pPr>
            <w:hyperlink r:id="rId11">
              <w:r>
                <w:rPr>
                  <w:rStyle w:val="Hyperlink"/>
                  <w:rFonts w:ascii="Times New Roman" w:eastAsia="Times New Roman" w:hAnsi="Times New Roman" w:cs="Times New Roman"/>
                  <w:b/>
                  <w:bCs/>
                  <w:color w:val="0563C1"/>
                  <w:u w:val="single"/>
                  <w:sz w:val="16"/>
                  <w:szCs w:val="16"/>
                  <w:lang w:val="en-US"/>
                </w:rPr>
                <w:t xml:space="preserve">EEG-FM-Bench</w:t>
              </w:r>
            </w:hyperlink>
            <w:r>
              <w:rPr>
                <w:rFonts w:ascii="Times New Roman" w:eastAsia="Times New Roman" w:hAnsi="Times New Roman" w:cs="Times New Roman"/>
                <w:b/>
                <w:bCs/>
                <w:sz w:val="16"/>
                <w:szCs w:val="16"/>
                <w:lang w:val="en-US"/>
              </w:rPr>
              <w:t xml:space="preserve">, Table 2</w:t>
            </w:r>
          </w:p>
        </w:tc>
        <w:tc>
          <w:tcPr>
            <w:tcW w:w="135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0.7950 ± 0.0081</w:t>
            </w:r>
          </w:p>
        </w:tc>
        <w:tc>
          <w:tcPr>
            <w:tcW w:w="135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0.5958 ± 0.0431</w:t>
            </w:r>
          </w:p>
        </w:tc>
        <w:tc>
          <w:tcPr>
            <w:tcW w:w="2900" w:type="dxa"/>
            <w:vAlign w:val="center"/>
          </w:tcPr>
          <w:p>
            <w:pPr>
              <w:spacing w:before="20" w:after="20" w:line="240" w:lineRule="auto"/>
            </w:pPr>
            <w:r>
              <w:rPr>
                <w:rFonts w:ascii="Times New Roman" w:eastAsia="Times New Roman" w:hAnsi="Times New Roman" w:cs="Times New Roman"/>
                <w:bCs/>
                <w:sz w:val="16"/>
                <w:szCs w:val="16"/>
                <w:lang w:val="en-US"/>
              </w:rPr>
              <w:t xml:space="preserve">released checkpoint, matched protocol, single-task full fine-tuning</w:t>
            </w:r>
          </w:p>
        </w:tc>
      </w:tr>
      <w:tr>
        <w:trPr>
          <w:cantSplit/>
        </w:trPr>
        <w:tc>
          <w:tcPr>
            <w:tcW w:w="2400" w:type="dxa"/>
            <w:vAlign w:val="center"/>
          </w:tcPr>
          <w:p>
            <w:pPr>
              <w:spacing w:before="20" w:after="20" w:line="240" w:lineRule="auto"/>
            </w:pPr>
            <w:hyperlink r:id="rId12">
              <w:r>
                <w:rPr>
                  <w:rStyle w:val="Hyperlink"/>
                  <w:rFonts w:ascii="Times New Roman" w:eastAsia="Times New Roman" w:hAnsi="Times New Roman" w:cs="Times New Roman"/>
                  <w:b/>
                  <w:bCs/>
                  <w:color w:val="0563C1"/>
                  <w:u w:val="single"/>
                  <w:sz w:val="16"/>
                  <w:szCs w:val="16"/>
                  <w:lang w:val="en-US"/>
                </w:rPr>
                <w:t xml:space="preserve">AdaBrain-Bench</w:t>
              </w:r>
            </w:hyperlink>
            <w:r>
              <w:rPr>
                <w:rFonts w:ascii="Times New Roman" w:eastAsia="Times New Roman" w:hAnsi="Times New Roman" w:cs="Times New Roman"/>
                <w:b/>
                <w:bCs/>
                <w:sz w:val="16"/>
                <w:szCs w:val="16"/>
                <w:lang w:val="en-US"/>
              </w:rPr>
              <w:t xml:space="preserve">, Table 2</w:t>
            </w:r>
          </w:p>
        </w:tc>
        <w:tc>
          <w:tcPr>
            <w:tcW w:w="135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0.8150</w:t>
            </w:r>
          </w:p>
        </w:tc>
        <w:tc>
          <w:tcPr>
            <w:tcW w:w="135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0.5905</w:t>
            </w:r>
          </w:p>
        </w:tc>
        <w:tc>
          <w:tcPr>
            <w:tcW w:w="2900" w:type="dxa"/>
            <w:vAlign w:val="center"/>
          </w:tcPr>
          <w:p>
            <w:pPr>
              <w:spacing w:before="20" w:after="20" w:line="240" w:lineRule="auto"/>
            </w:pPr>
            <w:r>
              <w:rPr>
                <w:rFonts w:ascii="Times New Roman" w:eastAsia="Times New Roman" w:hAnsi="Times New Roman" w:cs="Times New Roman"/>
                <w:bCs/>
                <w:sz w:val="16"/>
                <w:szCs w:val="16"/>
                <w:lang w:val="en-US"/>
              </w:rPr>
              <w:t xml:space="preserve">released checkpoint, cross-subject, full fine-tuning</w:t>
            </w:r>
          </w:p>
        </w:tc>
      </w:tr>
    </w:tbl>
    <w:p>
      <w:pPr>
        <w:keepNext/>
        <w:spacing w:before="120" w:after="60"/>
      </w:pPr>
    </w:p>
    <w:p>
      <w:pPr>
        <w:spacing w:after="120" w:line="240" w:lineRule="auto"/>
        <w:ind w:left="720"/>
        <w:jc w:val="both"/>
      </w:pPr>
      <w:r>
        <w:rPr>
          <w:rFonts w:ascii="Times New Roman" w:eastAsia="Times New Roman" w:hAnsi="Times New Roman" w:cs="Times New Roman"/>
          <w:bCs/>
          <w:sz w:val="24"/>
          <w:szCs w:val="24"/>
          <w:lang w:val="en-US"/>
        </w:rPr>
        <w:t xml:space="preserve">TUAB reproduces in one benchmark and is 0.019 lower in the other. On TUEV, where the paper claims its largest margin over BIOT (0.6409 vs. 0.5281), both re-runs come out 0.045–0.050 lower. The benchmarks use their own preprocessing and splits, so this is supporting evidence, not a controlled reproduction. A direct check needs TUH access.</w:t>
      </w:r>
    </w:p>
    <w:p>
      <w:pPr>
        <w:keepNext/>
        <w:numPr>
          <w:ilvl w:val="0"/>
          <w:numId w:val="3"/>
        </w:numPr>
        <w:spacing w:after="60" w:line="240" w:lineRule="auto"/>
        <w:jc w:val="both"/>
        <w:rPr>
          <w:rFonts w:ascii="Times New Roman Bold" w:eastAsia="Times New Roman" w:hAnsi="Times New Roman Bold" w:cs="Times New Roman Bold"/>
          <w:b/>
          <w:sz w:val="24"/>
          <w:szCs w:val="24"/>
        </w:rPr>
      </w:pPr>
      <w:r>
        <w:rPr>
          <w:rFonts w:ascii="Times New Roman Bold" w:eastAsia="Times New Roman" w:hAnsi="Times New Roman Bold" w:cs="Times New Roman Bold"/>
          <w:b/>
          <w:sz w:val="24"/>
          <w:szCs w:val="24"/>
        </w:rPr>
        <w:t xml:space="preserve">Issues found in the paper and the code</w:t>
      </w:r>
    </w:p>
    <w:p>
      <w:pPr>
        <w:numPr>
          <w:ilvl w:val="1"/>
          <w:numId w:val="1"/>
        </w:numPr>
        <w:spacing w:after="40" w:line="240" w:lineRule="auto"/>
        <w:jc w:val="both"/>
        <w:rPr>
          <w:rFonts w:ascii="Times New Roman Bold" w:eastAsia="Times New Roman" w:hAnsi="Times New Roman Bold" w:cs="Times New Roman Bold"/>
          <w:b/>
          <w:sz w:val="24"/>
          <w:szCs w:val="24"/>
        </w:rPr>
      </w:pPr>
      <w:r>
        <w:rPr>
          <w:rFonts w:ascii="Times New Roman" w:eastAsia="Times New Roman" w:hAnsi="Times New Roman" w:cs="Times New Roman"/>
          <w:b/>
          <w:bCs/>
          <w:sz w:val="24"/>
          <w:szCs w:val="24"/>
          <w:lang w:val="en-US"/>
        </w:rPr>
        <w:t xml:space="preserve">The code does not use the checkpoint rule the paper states.</w:t>
      </w:r>
      <w:r>
        <w:rPr>
          <w:rFonts w:ascii="Times New Roman" w:eastAsia="Times New Roman" w:hAnsi="Times New Roman" w:cs="Times New Roman"/>
          <w:bCs/>
          <w:sz w:val="24"/>
          <w:szCs w:val="24"/>
          <w:lang w:val="en-US"/>
        </w:rPr>
        <w:t xml:space="preserve"> Sec. 3.2: “We set AUROC as the monitor score for binary classification and Cohen’s Kappa as the monitor score for multi-class classification.” run_class_finetuning.py (lines 499–505) keeps the epoch with the best validation accuracy instead. In my runs this changes nothing material (Table 2), but whoever runs the code is not running the paper’s protocol.</w:t>
      </w:r>
    </w:p>
    <w:p>
      <w:pPr>
        <w:numPr>
          <w:ilvl w:val="1"/>
          <w:numId w:val="1"/>
        </w:numPr>
        <w:spacing w:after="40" w:line="240" w:lineRule="auto"/>
        <w:jc w:val="both"/>
        <w:rPr>
          <w:rFonts w:ascii="Times New Roman Bold" w:eastAsia="Times New Roman" w:hAnsi="Times New Roman Bold" w:cs="Times New Roman Bold"/>
          <w:b/>
          <w:sz w:val="24"/>
          <w:szCs w:val="24"/>
        </w:rPr>
      </w:pPr>
      <w:r>
        <w:rPr>
          <w:rFonts w:ascii="Times New Roman" w:eastAsia="Times New Roman" w:hAnsi="Times New Roman" w:cs="Times New Roman"/>
          <w:b/>
          <w:bCs/>
          <w:sz w:val="24"/>
          <w:szCs w:val="24"/>
          <w:lang w:val="en-US"/>
        </w:rPr>
        <w:t xml:space="preserve">Single-GPU runs silently stop reshuffling.</w:t>
      </w:r>
      <w:r>
        <w:rPr>
          <w:rFonts w:ascii="Times New Roman" w:eastAsia="Times New Roman" w:hAnsi="Times New Roman" w:cs="Times New Roman"/>
          <w:bCs/>
          <w:sz w:val="24"/>
          <w:szCs w:val="24"/>
          <w:lang w:val="en-US"/>
        </w:rPr>
        <w:t xml:space="preserve"> The script always builds a DistributedSampler (line 258, “if True:  # args.distributed:”) but calls set_epoch() only for a distributed launch (line 476). A plain python launch therefore trains on the same sample order every epoch. I launched every run as a one-process distributed job to avoid this.</w:t>
      </w:r>
    </w:p>
    <w:p>
      <w:pPr>
        <w:numPr>
          <w:ilvl w:val="1"/>
          <w:numId w:val="1"/>
        </w:numPr>
        <w:spacing w:after="40" w:line="240" w:lineRule="auto"/>
        <w:jc w:val="both"/>
        <w:rPr>
          <w:rFonts w:ascii="Times New Roman Bold" w:eastAsia="Times New Roman" w:hAnsi="Times New Roman Bold" w:cs="Times New Roman Bold"/>
          <w:b/>
          <w:sz w:val="24"/>
          <w:szCs w:val="24"/>
        </w:rPr>
      </w:pPr>
      <w:r>
        <w:rPr>
          <w:rFonts w:ascii="Times New Roman" w:eastAsia="Times New Roman" w:hAnsi="Times New Roman" w:cs="Times New Roman"/>
          <w:b/>
          <w:bCs/>
          <w:sz w:val="24"/>
          <w:szCs w:val="24"/>
          <w:lang w:val="en-US"/>
        </w:rPr>
        <w:t xml:space="preserve">A 50 Hz notch filter is applied to US recordings.</w:t>
      </w:r>
      <w:r>
        <w:rPr>
          <w:rFonts w:ascii="Times New Roman" w:eastAsia="Times New Roman" w:hAnsi="Times New Roman" w:cs="Times New Roman"/>
          <w:bCs/>
          <w:sz w:val="24"/>
          <w:szCs w:val="24"/>
          <w:lang w:val="en-US"/>
        </w:rPr>
        <w:t xml:space="preserve"> make_TUAB.py (line 65) and make_TUEV.py (line 136) call notch_filter(50.0), but TUH data come from a US hospital with 60 Hz mains. Issue #67 raises this and was closed without a reply.</w:t>
      </w:r>
    </w:p>
    <w:p>
      <w:pPr>
        <w:numPr>
          <w:ilvl w:val="1"/>
          <w:numId w:val="1"/>
        </w:numPr>
        <w:spacing w:after="40" w:line="240" w:lineRule="auto"/>
        <w:jc w:val="both"/>
        <w:rPr>
          <w:rFonts w:ascii="Times New Roman Bold" w:eastAsia="Times New Roman" w:hAnsi="Times New Roman Bold" w:cs="Times New Roman Bold"/>
          <w:b/>
          <w:sz w:val="24"/>
          <w:szCs w:val="24"/>
        </w:rPr>
      </w:pPr>
      <w:r>
        <w:rPr>
          <w:rFonts w:ascii="Times New Roman" w:eastAsia="Times New Roman" w:hAnsi="Times New Roman" w:cs="Times New Roman"/>
          <w:b/>
          <w:bCs/>
          <w:sz w:val="24"/>
          <w:szCs w:val="24"/>
          <w:lang w:val="en-US"/>
        </w:rPr>
        <w:t xml:space="preserve">TUEV samples are probably duplicated.</w:t>
      </w:r>
      <w:r>
        <w:rPr>
          <w:rFonts w:ascii="Times New Roman" w:eastAsia="Times New Roman" w:hAnsi="Times New Roman" w:cs="Times New Roman"/>
          <w:bCs/>
          <w:sz w:val="24"/>
          <w:szCs w:val="24"/>
          <w:lang w:val="en-US"/>
        </w:rPr>
        <w:t xml:space="preserve"> make_TUEV.py makes one 5-s sample per row of each annotation file, and rows are per channel, so an event marked on several channels becomes several identical windows. TUEVLoader (utils.py, line 755) ignores the channel field it stores. The same windows would then be counted several times in the test score. Issue #46 raises this and is open with no reply. I could not verify it on the data without TUH access.</w:t>
      </w:r>
    </w:p>
    <w:p>
      <w:pPr>
        <w:numPr>
          <w:ilvl w:val="1"/>
          <w:numId w:val="1"/>
        </w:numPr>
        <w:spacing w:after="40" w:line="240" w:lineRule="auto"/>
        <w:jc w:val="both"/>
        <w:rPr>
          <w:rFonts w:ascii="Times New Roman Bold" w:eastAsia="Times New Roman" w:hAnsi="Times New Roman Bold" w:cs="Times New Roman Bold"/>
          <w:b/>
          <w:sz w:val="24"/>
          <w:szCs w:val="24"/>
        </w:rPr>
      </w:pPr>
      <w:r>
        <w:rPr>
          <w:rFonts w:ascii="Times New Roman" w:eastAsia="Times New Roman" w:hAnsi="Times New Roman" w:cs="Times New Roman"/>
          <w:b/>
          <w:bCs/>
          <w:sz w:val="24"/>
          <w:szCs w:val="24"/>
          <w:lang w:val="en-US"/>
        </w:rPr>
        <w:t xml:space="preserve">Seeds are not reported.</w:t>
      </w:r>
      <w:r>
        <w:rPr>
          <w:rFonts w:ascii="Times New Roman" w:eastAsia="Times New Roman" w:hAnsi="Times New Roman" w:cs="Times New Roman"/>
          <w:bCs/>
          <w:sz w:val="24"/>
          <w:szCs w:val="24"/>
          <w:lang w:val="en-US"/>
        </w:rPr>
        <w:t xml:space="preserve"> The paper reports mean ± std over “five different random seeds”; the README command uses --seed 0 only.</w:t>
      </w:r>
    </w:p>
    <w:p>
      <w:pPr>
        <w:spacing w:after="60" w:line="240" w:lineRule="auto"/>
        <w:ind w:left="720"/>
        <w:jc w:val="both"/>
      </w:pPr>
    </w:p>
    <w:p>
      <w:pPr>
        <w:keepNext/>
        <w:numPr>
          <w:ilvl w:val="0"/>
          <w:numId w:val="3"/>
        </w:numPr>
        <w:spacing w:after="60" w:line="240" w:lineRule="auto"/>
        <w:jc w:val="both"/>
        <w:rPr>
          <w:rFonts w:ascii="Times New Roman Bold" w:eastAsia="Times New Roman" w:hAnsi="Times New Roman Bold" w:cs="Times New Roman Bold"/>
          <w:b/>
          <w:sz w:val="24"/>
          <w:szCs w:val="24"/>
        </w:rPr>
      </w:pPr>
      <w:r>
        <w:rPr>
          <w:rFonts w:ascii="Times New Roman Bold" w:eastAsia="Times New Roman" w:hAnsi="Times New Roman Bold" w:cs="Times New Roman Bold"/>
          <w:b/>
          <w:sz w:val="24"/>
          <w:szCs w:val="24"/>
        </w:rPr>
        <w:t xml:space="preserve">Review papers: do they reproduce results or cite them?</w:t>
      </w:r>
    </w:p>
    <w:p>
      <w:pPr>
        <w:spacing w:after="120" w:line="240" w:lineRule="auto"/>
        <w:ind w:left="720"/>
        <w:jc w:val="both"/>
      </w:pPr>
      <w:r>
        <w:rPr>
          <w:rFonts w:ascii="Times New Roman" w:eastAsia="Times New Roman" w:hAnsi="Times New Roman" w:cs="Times New Roman"/>
          <w:bCs/>
          <w:sz w:val="24"/>
          <w:szCs w:val="24"/>
          <w:lang w:val="en-US"/>
        </w:rPr>
        <w:t xml:space="preserve">Our review rests on re-running methods before comparing them, so I checked whether existing review papers already do this. For each paper I recorded where the performance numbers it presents come from, with the sentence or table that shows it. Table 4 summarizes 21 papers. The full quotes and links are in docs/literature/review-papers-reproduction-vs-citation.md. Four relevant reviews are paywalled and were not classified: Craik et al. 2019, Lotte et al. 2018 and Yao et al. 2025 (J. Neural Eng.), and Altaheri et al. 2023 (Neural Comput. Appl.).</w:t>
      </w:r>
    </w:p>
    <w:p>
      <w:pPr>
        <w:spacing w:after="60" w:line="240" w:lineRule="auto"/>
        <w:ind w:left="720"/>
        <w:jc w:val="both"/>
      </w:pPr>
    </w:p>
    <w:p>
      <w:pPr>
        <w:spacing w:before="60" w:after="60" w:line="240" w:lineRule="auto"/>
        <w:ind w:left="720"/>
        <w:jc w:val="both"/>
      </w:pPr>
      <w:r>
        <w:rPr>
          <w:rFonts w:ascii="Times New Roman" w:eastAsia="Times New Roman" w:hAnsi="Times New Roman" w:cs="Times New Roman"/>
          <w:bCs/>
          <w:sz w:val="20"/>
          <w:szCs w:val="20"/>
          <w:lang w:val="en-US"/>
        </w:rPr>
        <w:t xml:space="preserve">Table 4. How 21 papers obtain the results they present. Links go to the arXiv version that was read; page numbers are PDF pages.</w:t>
      </w:r>
    </w:p>
    <w:tbl>
      <w:tblPr>
        <w:tblW w:w="9000" w:type="dxa"/>
        <w:tblInd w:w="7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60" w:type="dxa"/>
          <w:right w:w="60" w:type="dxa"/>
        </w:tblCellMar>
        <w:tblLook w:val="04A0" w:firstRow="1" w:lastRow="0" w:firstColumn="1" w:lastColumn="0" w:noHBand="0" w:noVBand="1"/>
      </w:tblPr>
      <w:tblGrid>
        <w:gridCol w:w="1000"/>
        <w:gridCol w:w="1750"/>
        <w:gridCol w:w="1350"/>
        <w:gridCol w:w="1600"/>
        <w:gridCol w:w="3300"/>
      </w:tblGrid>
      <w:tr>
        <w:trPr>
          <w:cantSplit/>
          <w:tblHeader/>
        </w:trPr>
        <w:tc>
          <w:tcPr>
            <w:tcW w:w="1000" w:type="dxa"/>
            <w:shd w:val="clear" w:color="auto" w:fill="F2F2F2"/>
            <w:vAlign w:val="center"/>
          </w:tcPr>
          <w:p>
            <w:pPr>
              <w:spacing w:before="20" w:after="20" w:line="240" w:lineRule="auto"/>
              <w:jc w:val="center"/>
            </w:pPr>
            <w:r>
              <w:rPr>
                <w:rFonts w:ascii="Times New Roman" w:eastAsia="Times New Roman" w:hAnsi="Times New Roman" w:cs="Times New Roman"/>
                <w:b/>
                <w:bCs/>
                <w:sz w:val="15"/>
                <w:szCs w:val="15"/>
                <w:lang w:val="en-US"/>
              </w:rPr>
              <w:t xml:space="preserve">Group</w:t>
            </w:r>
          </w:p>
        </w:tc>
        <w:tc>
          <w:tcPr>
            <w:tcW w:w="1750" w:type="dxa"/>
            <w:shd w:val="clear" w:color="auto" w:fill="F2F2F2"/>
            <w:vAlign w:val="center"/>
          </w:tcPr>
          <w:p>
            <w:pPr>
              <w:spacing w:before="20" w:after="20" w:line="240" w:lineRule="auto"/>
              <w:jc w:val="center"/>
            </w:pPr>
            <w:r>
              <w:rPr>
                <w:rFonts w:ascii="Times New Roman" w:eastAsia="Times New Roman" w:hAnsi="Times New Roman" w:cs="Times New Roman"/>
                <w:b/>
                <w:bCs/>
                <w:sz w:val="15"/>
                <w:szCs w:val="15"/>
                <w:lang w:val="en-US"/>
              </w:rPr>
              <w:t xml:space="preserve">Paper</w:t>
            </w:r>
          </w:p>
        </w:tc>
        <w:tc>
          <w:tcPr>
            <w:tcW w:w="1350" w:type="dxa"/>
            <w:shd w:val="clear" w:color="auto" w:fill="F2F2F2"/>
            <w:vAlign w:val="center"/>
          </w:tcPr>
          <w:p>
            <w:pPr>
              <w:spacing w:before="20" w:after="20" w:line="240" w:lineRule="auto"/>
              <w:jc w:val="center"/>
            </w:pPr>
            <w:r>
              <w:rPr>
                <w:rFonts w:ascii="Times New Roman" w:eastAsia="Times New Roman" w:hAnsi="Times New Roman" w:cs="Times New Roman"/>
                <w:b/>
                <w:bCs/>
                <w:sz w:val="15"/>
                <w:szCs w:val="15"/>
                <w:lang w:val="en-US"/>
              </w:rPr>
              <w:t xml:space="preserve">Type</w:t>
            </w:r>
          </w:p>
        </w:tc>
        <w:tc>
          <w:tcPr>
            <w:tcW w:w="1600" w:type="dxa"/>
            <w:shd w:val="clear" w:color="auto" w:fill="F2F2F2"/>
            <w:vAlign w:val="center"/>
          </w:tcPr>
          <w:p>
            <w:pPr>
              <w:spacing w:before="20" w:after="20" w:line="240" w:lineRule="auto"/>
              <w:jc w:val="center"/>
            </w:pPr>
            <w:r>
              <w:rPr>
                <w:rFonts w:ascii="Times New Roman" w:eastAsia="Times New Roman" w:hAnsi="Times New Roman" w:cs="Times New Roman"/>
                <w:b/>
                <w:bCs/>
                <w:sz w:val="15"/>
                <w:szCs w:val="15"/>
                <w:lang w:val="en-US"/>
              </w:rPr>
              <w:t xml:space="preserve">Results: reproduced or cited?</w:t>
            </w:r>
          </w:p>
        </w:tc>
        <w:tc>
          <w:tcPr>
            <w:tcW w:w="3300" w:type="dxa"/>
            <w:shd w:val="clear" w:color="auto" w:fill="F2F2F2"/>
            <w:vAlign w:val="center"/>
          </w:tcPr>
          <w:p>
            <w:pPr>
              <w:spacing w:before="20" w:after="20" w:line="240" w:lineRule="auto"/>
              <w:jc w:val="center"/>
            </w:pPr>
            <w:r>
              <w:rPr>
                <w:rFonts w:ascii="Times New Roman" w:eastAsia="Times New Roman" w:hAnsi="Times New Roman" w:cs="Times New Roman"/>
                <w:b/>
                <w:bCs/>
                <w:sz w:val="15"/>
                <w:szCs w:val="15"/>
                <w:lang w:val="en-US"/>
              </w:rPr>
              <w:t xml:space="preserve">Evidence (quote, page / table)</w:t>
            </w:r>
          </w:p>
        </w:tc>
      </w:tr>
      <w:tr>
        <w:trPr>
          <w:cantSplit/>
        </w:trPr>
        <w:tc>
          <w:tcPr>
            <w:tcW w:w="1000" w:type="dxa"/>
            <w:vMerge w:val="restart"/>
            <w:vAlign w:val="center"/>
          </w:tcPr>
          <w:p>
            <w:pPr>
              <w:spacing w:before="20" w:after="20" w:line="240" w:lineRule="auto"/>
              <w:jc w:val="center"/>
            </w:pPr>
            <w:r>
              <w:rPr>
                <w:rFonts w:ascii="Times New Roman" w:eastAsia="Times New Roman" w:hAnsi="Times New Roman" w:cs="Times New Roman"/>
                <w:b/>
                <w:bCs/>
                <w:sz w:val="15"/>
                <w:szCs w:val="15"/>
                <w:lang w:val="en-US"/>
              </w:rPr>
              <w:t xml:space="preserve">Reviews &amp; surveys</w:t>
            </w:r>
          </w:p>
        </w:tc>
        <w:tc>
          <w:tcPr>
            <w:tcW w:w="1750" w:type="dxa"/>
            <w:vAlign w:val="center"/>
          </w:tcPr>
          <w:p>
            <w:pPr>
              <w:spacing w:before="20" w:after="20" w:line="240" w:lineRule="auto"/>
            </w:pPr>
            <w:hyperlink r:id="rId13">
              <w:r>
                <w:rPr>
                  <w:rStyle w:val="Hyperlink"/>
                  <w:rFonts w:ascii="Times New Roman" w:eastAsia="Times New Roman" w:hAnsi="Times New Roman" w:cs="Times New Roman"/>
                  <w:bCs/>
                  <w:color w:val="0563C1"/>
                  <w:u w:val="single"/>
                  <w:sz w:val="15"/>
                  <w:szCs w:val="15"/>
                  <w:lang w:val="en-US"/>
                </w:rPr>
                <w:t xml:space="preserve">Roy et al. 2019</w:t>
              </w:r>
            </w:hyperlink>
            <w:r>
              <w:rPr>
                <w:rFonts w:ascii="Times New Roman" w:eastAsia="Times New Roman" w:hAnsi="Times New Roman" w:cs="Times New Roman"/>
                <w:bCs/>
                <w:sz w:val="15"/>
                <w:szCs w:val="15"/>
                <w:lang w:val="en-US"/>
              </w:rPr>
              <w:t xml:space="preserve">, J. Neural Eng.</w:t>
            </w:r>
          </w:p>
        </w:tc>
        <w:tc>
          <w:tcPr>
            <w:tcW w:w="1350" w:type="dxa"/>
            <w:vAlign w:val="center"/>
          </w:tcPr>
          <w:p>
            <w:pPr>
              <w:spacing w:before="20" w:after="20" w:line="240" w:lineRule="auto"/>
            </w:pPr>
            <w:r>
              <w:rPr>
                <w:rFonts w:ascii="Times New Roman" w:eastAsia="Times New Roman" w:hAnsi="Times New Roman" w:cs="Times New Roman"/>
                <w:bCs/>
                <w:sz w:val="15"/>
                <w:szCs w:val="15"/>
                <w:lang w:val="en-US"/>
              </w:rPr>
              <w:t xml:space="preserve">Systematic review, 156 papers</w:t>
            </w:r>
          </w:p>
        </w:tc>
        <w:tc>
          <w:tcPr>
            <w:tcW w:w="1600" w:type="dxa"/>
            <w:vAlign w:val="center"/>
          </w:tcPr>
          <w:p>
            <w:pPr>
              <w:spacing w:before="20" w:after="20" w:line="240" w:lineRule="auto"/>
            </w:pPr>
            <w:r>
              <w:rPr>
                <w:rFonts w:ascii="Times New Roman" w:eastAsia="Times New Roman" w:hAnsi="Times New Roman" w:cs="Times New Roman"/>
                <w:b/>
                <w:bCs/>
                <w:sz w:val="15"/>
                <w:szCs w:val="15"/>
                <w:lang w:val="en-US"/>
              </w:rPr>
              <w:t xml:space="preserve">Cited</w:t>
            </w:r>
            <w:r>
              <w:rPr>
                <w:rFonts w:ascii="Times New Roman" w:eastAsia="Times New Roman" w:hAnsi="Times New Roman" w:cs="Times New Roman"/>
                <w:bCs/>
                <w:sz w:val="15"/>
                <w:szCs w:val="15"/>
                <w:lang w:val="en-US"/>
              </w:rPr>
              <w:t xml:space="preserve">: meta-analysis of each paper’s self-reported gain</w:t>
            </w:r>
          </w:p>
        </w:tc>
        <w:tc>
          <w:tcPr>
            <w:tcW w:w="3300" w:type="dxa"/>
            <w:vAlign w:val="center"/>
          </w:tcPr>
          <w:p>
            <w:pPr>
              <w:spacing w:before="20" w:after="20" w:line="240" w:lineRule="auto"/>
            </w:pPr>
            <w:r>
              <w:rPr>
                <w:rFonts w:ascii="Times New Roman" w:eastAsia="Times New Roman" w:hAnsi="Times New Roman" w:cs="Times New Roman"/>
                <w:bCs/>
                <w:sz w:val="15"/>
                <w:szCs w:val="15"/>
                <w:lang w:val="en-US"/>
              </w:rPr>
              <w:t xml:space="preserve">Fig. 14 (p. 24): accuracy difference “between each proposed DL model and corresponding baseline”; p. 28: the pooled gain “might be biased positively”; p. 25: only 11/156 “could easily be reproduced”.</w:t>
            </w:r>
          </w:p>
        </w:tc>
      </w:tr>
      <w:tr>
        <w:trPr>
          <w:cantSplit/>
        </w:trPr>
        <w:tc>
          <w:tcPr>
            <w:tcW w:w="1000" w:type="dxa"/>
            <w:vMerge/>
            <w:vAlign w:val="center"/>
          </w:tcPr>
          <w:p>
            <w:pPr>
              <w:spacing w:before="20" w:after="20" w:line="240" w:lineRule="auto"/>
              <w:jc w:val="center"/>
            </w:pPr>
          </w:p>
        </w:tc>
        <w:tc>
          <w:tcPr>
            <w:tcW w:w="1750" w:type="dxa"/>
            <w:vAlign w:val="center"/>
          </w:tcPr>
          <w:p>
            <w:pPr>
              <w:spacing w:before="20" w:after="20" w:line="240" w:lineRule="auto"/>
            </w:pPr>
            <w:hyperlink r:id="rId14">
              <w:r>
                <w:rPr>
                  <w:rStyle w:val="Hyperlink"/>
                  <w:rFonts w:ascii="Times New Roman" w:eastAsia="Times New Roman" w:hAnsi="Times New Roman" w:cs="Times New Roman"/>
                  <w:bCs/>
                  <w:color w:val="0563C1"/>
                  <w:u w:val="single"/>
                  <w:sz w:val="15"/>
                  <w:szCs w:val="15"/>
                  <w:lang w:val="en-US"/>
                </w:rPr>
                <w:t xml:space="preserve">Zhang et al. 2021</w:t>
              </w:r>
            </w:hyperlink>
            <w:r>
              <w:rPr>
                <w:rFonts w:ascii="Times New Roman" w:eastAsia="Times New Roman" w:hAnsi="Times New Roman" w:cs="Times New Roman"/>
                <w:bCs/>
                <w:sz w:val="15"/>
                <w:szCs w:val="15"/>
                <w:lang w:val="en-US"/>
              </w:rPr>
              <w:t xml:space="preserve">, J. Neural Eng.</w:t>
            </w:r>
          </w:p>
        </w:tc>
        <w:tc>
          <w:tcPr>
            <w:tcW w:w="1350" w:type="dxa"/>
            <w:vAlign w:val="center"/>
          </w:tcPr>
          <w:p>
            <w:pPr>
              <w:spacing w:before="20" w:after="20" w:line="240" w:lineRule="auto"/>
            </w:pPr>
            <w:r>
              <w:rPr>
                <w:rFonts w:ascii="Times New Roman" w:eastAsia="Times New Roman" w:hAnsi="Times New Roman" w:cs="Times New Roman"/>
                <w:bCs/>
                <w:sz w:val="15"/>
                <w:szCs w:val="15"/>
                <w:lang w:val="en-US"/>
              </w:rPr>
              <w:t xml:space="preserve">Survey</w:t>
            </w:r>
          </w:p>
        </w:tc>
        <w:tc>
          <w:tcPr>
            <w:tcW w:w="1600" w:type="dxa"/>
            <w:vAlign w:val="center"/>
          </w:tcPr>
          <w:p>
            <w:pPr>
              <w:spacing w:before="20" w:after="20" w:line="240" w:lineRule="auto"/>
            </w:pPr>
            <w:r>
              <w:rPr>
                <w:rFonts w:ascii="Times New Roman" w:eastAsia="Times New Roman" w:hAnsi="Times New Roman" w:cs="Times New Roman"/>
                <w:b/>
                <w:bCs/>
                <w:sz w:val="15"/>
                <w:szCs w:val="15"/>
                <w:lang w:val="en-US"/>
              </w:rPr>
              <w:t xml:space="preserve">Cited</w:t>
            </w:r>
            <w:r>
              <w:rPr>
                <w:rFonts w:ascii="Times New Roman" w:eastAsia="Times New Roman" w:hAnsi="Times New Roman" w:cs="Times New Roman"/>
                <w:bCs/>
                <w:sz w:val="15"/>
                <w:szCs w:val="15"/>
                <w:lang w:val="en-US"/>
              </w:rPr>
              <w:t xml:space="preserve">: accuracies quoted in the text</w:t>
            </w:r>
          </w:p>
        </w:tc>
        <w:tc>
          <w:tcPr>
            <w:tcW w:w="3300" w:type="dxa"/>
            <w:vAlign w:val="center"/>
          </w:tcPr>
          <w:p>
            <w:pPr>
              <w:spacing w:before="20" w:after="20" w:line="240" w:lineRule="auto"/>
            </w:pPr>
            <w:r>
              <w:rPr>
                <w:rFonts w:ascii="Times New Roman" w:eastAsia="Times New Roman" w:hAnsi="Times New Roman" w:cs="Times New Roman"/>
                <w:bCs/>
                <w:sz w:val="15"/>
                <w:szCs w:val="15"/>
                <w:lang w:val="en-US"/>
              </w:rPr>
              <w:t xml:space="preserve">p. 7: “achieved an accuracy of 86%”; Table 4 lists references only.</w:t>
            </w:r>
          </w:p>
        </w:tc>
      </w:tr>
      <w:tr>
        <w:trPr>
          <w:cantSplit/>
        </w:trPr>
        <w:tc>
          <w:tcPr>
            <w:tcW w:w="1000" w:type="dxa"/>
            <w:vMerge/>
            <w:vAlign w:val="center"/>
          </w:tcPr>
          <w:p>
            <w:pPr>
              <w:spacing w:before="20" w:after="20" w:line="240" w:lineRule="auto"/>
              <w:jc w:val="center"/>
            </w:pPr>
          </w:p>
        </w:tc>
        <w:tc>
          <w:tcPr>
            <w:tcW w:w="1750" w:type="dxa"/>
            <w:vAlign w:val="center"/>
          </w:tcPr>
          <w:p>
            <w:pPr>
              <w:spacing w:before="20" w:after="20" w:line="240" w:lineRule="auto"/>
            </w:pPr>
            <w:hyperlink r:id="rId15">
              <w:r>
                <w:rPr>
                  <w:rStyle w:val="Hyperlink"/>
                  <w:rFonts w:ascii="Times New Roman" w:eastAsia="Times New Roman" w:hAnsi="Times New Roman" w:cs="Times New Roman"/>
                  <w:bCs/>
                  <w:color w:val="0563C1"/>
                  <w:u w:val="single"/>
                  <w:sz w:val="15"/>
                  <w:szCs w:val="15"/>
                  <w:lang w:val="en-US"/>
                </w:rPr>
                <w:t xml:space="preserve">Gu et al. 2021</w:t>
              </w:r>
            </w:hyperlink>
            <w:r>
              <w:rPr>
                <w:rFonts w:ascii="Times New Roman" w:eastAsia="Times New Roman" w:hAnsi="Times New Roman" w:cs="Times New Roman"/>
                <w:bCs/>
                <w:sz w:val="15"/>
                <w:szCs w:val="15"/>
                <w:lang w:val="en-US"/>
              </w:rPr>
              <w:t xml:space="preserve">, IEEE/ACM TCBB</w:t>
            </w:r>
          </w:p>
        </w:tc>
        <w:tc>
          <w:tcPr>
            <w:tcW w:w="1350" w:type="dxa"/>
            <w:vAlign w:val="center"/>
          </w:tcPr>
          <w:p>
            <w:pPr>
              <w:spacing w:before="20" w:after="20" w:line="240" w:lineRule="auto"/>
            </w:pPr>
            <w:r>
              <w:rPr>
                <w:rFonts w:ascii="Times New Roman" w:eastAsia="Times New Roman" w:hAnsi="Times New Roman" w:cs="Times New Roman"/>
                <w:bCs/>
                <w:sz w:val="15"/>
                <w:szCs w:val="15"/>
                <w:lang w:val="en-US"/>
              </w:rPr>
              <w:t xml:space="preserve">Survey</w:t>
            </w:r>
          </w:p>
        </w:tc>
        <w:tc>
          <w:tcPr>
            <w:tcW w:w="1600" w:type="dxa"/>
            <w:vAlign w:val="center"/>
          </w:tcPr>
          <w:p>
            <w:pPr>
              <w:spacing w:before="20" w:after="20" w:line="240" w:lineRule="auto"/>
            </w:pPr>
            <w:r>
              <w:rPr>
                <w:rFonts w:ascii="Times New Roman" w:eastAsia="Times New Roman" w:hAnsi="Times New Roman" w:cs="Times New Roman"/>
                <w:b/>
                <w:bCs/>
                <w:sz w:val="15"/>
                <w:szCs w:val="15"/>
                <w:lang w:val="en-US"/>
              </w:rPr>
              <w:t xml:space="preserve">Cited</w:t>
            </w:r>
            <w:r>
              <w:rPr>
                <w:rFonts w:ascii="Times New Roman" w:eastAsia="Times New Roman" w:hAnsi="Times New Roman" w:cs="Times New Roman"/>
                <w:bCs/>
                <w:sz w:val="15"/>
                <w:szCs w:val="15"/>
                <w:lang w:val="en-US"/>
              </w:rPr>
              <w:t xml:space="preserve">: accuracies quoted in the text</w:t>
            </w:r>
          </w:p>
        </w:tc>
        <w:tc>
          <w:tcPr>
            <w:tcW w:w="3300" w:type="dxa"/>
            <w:vAlign w:val="center"/>
          </w:tcPr>
          <w:p>
            <w:pPr>
              <w:spacing w:before="20" w:after="20" w:line="240" w:lineRule="auto"/>
            </w:pPr>
            <w:r>
              <w:rPr>
                <w:rFonts w:ascii="Times New Roman" w:eastAsia="Times New Roman" w:hAnsi="Times New Roman" w:cs="Times New Roman"/>
                <w:bCs/>
                <w:sz w:val="15"/>
                <w:szCs w:val="15"/>
                <w:lang w:val="en-US"/>
              </w:rPr>
              <w:t xml:space="preserve">p. 11: “reached an accuracy rate of 97.37%”.</w:t>
            </w:r>
          </w:p>
        </w:tc>
      </w:tr>
      <w:tr>
        <w:trPr>
          <w:cantSplit/>
        </w:trPr>
        <w:tc>
          <w:tcPr>
            <w:tcW w:w="1000" w:type="dxa"/>
            <w:vMerge/>
            <w:vAlign w:val="center"/>
          </w:tcPr>
          <w:p>
            <w:pPr>
              <w:spacing w:before="20" w:after="20" w:line="240" w:lineRule="auto"/>
              <w:jc w:val="center"/>
            </w:pPr>
          </w:p>
        </w:tc>
        <w:tc>
          <w:tcPr>
            <w:tcW w:w="1750" w:type="dxa"/>
            <w:vAlign w:val="center"/>
          </w:tcPr>
          <w:p>
            <w:pPr>
              <w:spacing w:before="20" w:after="20" w:line="240" w:lineRule="auto"/>
            </w:pPr>
            <w:hyperlink r:id="rId16">
              <w:r>
                <w:rPr>
                  <w:rStyle w:val="Hyperlink"/>
                  <w:rFonts w:ascii="Times New Roman" w:eastAsia="Times New Roman" w:hAnsi="Times New Roman" w:cs="Times New Roman"/>
                  <w:bCs/>
                  <w:color w:val="0563C1"/>
                  <w:u w:val="single"/>
                  <w:sz w:val="15"/>
                  <w:szCs w:val="15"/>
                  <w:lang w:val="en-US"/>
                </w:rPr>
                <w:t xml:space="preserve">Kuruppu et al. 2025</w:t>
              </w:r>
            </w:hyperlink>
          </w:p>
        </w:tc>
        <w:tc>
          <w:tcPr>
            <w:tcW w:w="1350" w:type="dxa"/>
            <w:vAlign w:val="center"/>
          </w:tcPr>
          <w:p>
            <w:pPr>
              <w:spacing w:before="20" w:after="20" w:line="240" w:lineRule="auto"/>
            </w:pPr>
            <w:r>
              <w:rPr>
                <w:rFonts w:ascii="Times New Roman" w:eastAsia="Times New Roman" w:hAnsi="Times New Roman" w:cs="Times New Roman"/>
                <w:bCs/>
                <w:sz w:val="15"/>
                <w:szCs w:val="15"/>
                <w:lang w:val="en-US"/>
              </w:rPr>
              <w:t xml:space="preserve">Critical review, 10 EEG-FMs</w:t>
            </w:r>
          </w:p>
        </w:tc>
        <w:tc>
          <w:tcPr>
            <w:tcW w:w="1600" w:type="dxa"/>
            <w:vAlign w:val="center"/>
          </w:tcPr>
          <w:p>
            <w:pPr>
              <w:spacing w:before="20" w:after="20" w:line="240" w:lineRule="auto"/>
            </w:pPr>
            <w:r>
              <w:rPr>
                <w:rFonts w:ascii="Times New Roman" w:eastAsia="Times New Roman" w:hAnsi="Times New Roman" w:cs="Times New Roman"/>
                <w:b/>
                <w:bCs/>
                <w:sz w:val="15"/>
                <w:szCs w:val="15"/>
                <w:lang w:val="en-US"/>
              </w:rPr>
              <w:t xml:space="preserve">Cited</w:t>
            </w:r>
            <w:r>
              <w:rPr>
                <w:rFonts w:ascii="Times New Roman" w:eastAsia="Times New Roman" w:hAnsi="Times New Roman" w:cs="Times New Roman"/>
                <w:bCs/>
                <w:sz w:val="15"/>
                <w:szCs w:val="15"/>
                <w:lang w:val="en-US"/>
              </w:rPr>
              <w:t xml:space="preserve">: some values read off other papers’ plots</w:t>
            </w:r>
          </w:p>
        </w:tc>
        <w:tc>
          <w:tcPr>
            <w:tcW w:w="3300" w:type="dxa"/>
            <w:vAlign w:val="center"/>
          </w:tcPr>
          <w:p>
            <w:pPr>
              <w:spacing w:before="20" w:after="20" w:line="240" w:lineRule="auto"/>
            </w:pPr>
            <w:r>
              <w:rPr>
                <w:rFonts w:ascii="Times New Roman" w:eastAsia="Times New Roman" w:hAnsi="Times New Roman" w:cs="Times New Roman"/>
                <w:bCs/>
                <w:sz w:val="15"/>
                <w:szCs w:val="15"/>
                <w:lang w:val="en-US"/>
              </w:rPr>
              <w:t xml:space="preserve">Fig. 3 (p. 14): “we compare the performances reported on these common tasks”; Suppl. Table 2 (p. 35): scores “estimated based on the graphics in the paper”.</w:t>
            </w:r>
          </w:p>
        </w:tc>
      </w:tr>
      <w:tr>
        <w:trPr>
          <w:cantSplit/>
        </w:trPr>
        <w:tc>
          <w:tcPr>
            <w:tcW w:w="1000" w:type="dxa"/>
            <w:vMerge/>
            <w:vAlign w:val="center"/>
          </w:tcPr>
          <w:p>
            <w:pPr>
              <w:spacing w:before="20" w:after="20" w:line="240" w:lineRule="auto"/>
              <w:jc w:val="center"/>
            </w:pPr>
          </w:p>
        </w:tc>
        <w:tc>
          <w:tcPr>
            <w:tcW w:w="1750" w:type="dxa"/>
            <w:vAlign w:val="center"/>
          </w:tcPr>
          <w:p>
            <w:pPr>
              <w:spacing w:before="20" w:after="20" w:line="240" w:lineRule="auto"/>
            </w:pPr>
            <w:hyperlink r:id="rId17">
              <w:r>
                <w:rPr>
                  <w:rStyle w:val="Hyperlink"/>
                  <w:rFonts w:ascii="Times New Roman" w:eastAsia="Times New Roman" w:hAnsi="Times New Roman" w:cs="Times New Roman"/>
                  <w:bCs/>
                  <w:color w:val="0563C1"/>
                  <w:u w:val="single"/>
                  <w:sz w:val="15"/>
                  <w:szCs w:val="15"/>
                  <w:lang w:val="en-US"/>
                </w:rPr>
                <w:t xml:space="preserve">Zhou et al. 2025</w:t>
              </w:r>
            </w:hyperlink>
          </w:p>
        </w:tc>
        <w:tc>
          <w:tcPr>
            <w:tcW w:w="1350" w:type="dxa"/>
            <w:vAlign w:val="center"/>
          </w:tcPr>
          <w:p>
            <w:pPr>
              <w:spacing w:before="20" w:after="20" w:line="240" w:lineRule="auto"/>
            </w:pPr>
            <w:r>
              <w:rPr>
                <w:rFonts w:ascii="Times New Roman" w:eastAsia="Times New Roman" w:hAnsi="Times New Roman" w:cs="Times New Roman"/>
                <w:bCs/>
                <w:sz w:val="15"/>
                <w:szCs w:val="15"/>
                <w:lang w:val="en-US"/>
              </w:rPr>
              <w:t xml:space="preserve">Survey, brain FMs</w:t>
            </w:r>
          </w:p>
        </w:tc>
        <w:tc>
          <w:tcPr>
            <w:tcW w:w="1600" w:type="dxa"/>
            <w:vAlign w:val="center"/>
          </w:tcPr>
          <w:p>
            <w:pPr>
              <w:spacing w:before="20" w:after="20" w:line="240" w:lineRule="auto"/>
            </w:pPr>
            <w:r>
              <w:rPr>
                <w:rFonts w:ascii="Times New Roman" w:eastAsia="Times New Roman" w:hAnsi="Times New Roman" w:cs="Times New Roman"/>
                <w:b/>
                <w:bCs/>
                <w:sz w:val="15"/>
                <w:szCs w:val="15"/>
                <w:lang w:val="en-US"/>
              </w:rPr>
              <w:t xml:space="preserve">Cited</w:t>
            </w:r>
            <w:r>
              <w:rPr>
                <w:rFonts w:ascii="Times New Roman" w:eastAsia="Times New Roman" w:hAnsi="Times New Roman" w:cs="Times New Roman"/>
                <w:bCs/>
                <w:sz w:val="15"/>
                <w:szCs w:val="15"/>
                <w:lang w:val="en-US"/>
              </w:rPr>
              <w:t xml:space="preserve">: copied, metric relabeled</w:t>
            </w:r>
          </w:p>
        </w:tc>
        <w:tc>
          <w:tcPr>
            <w:tcW w:w="3300" w:type="dxa"/>
            <w:vAlign w:val="center"/>
          </w:tcPr>
          <w:p>
            <w:pPr>
              <w:spacing w:before="20" w:after="20" w:line="240" w:lineRule="auto"/>
            </w:pPr>
            <w:r>
              <w:rPr>
                <w:rFonts w:ascii="Times New Roman" w:eastAsia="Times New Roman" w:hAnsi="Times New Roman" w:cs="Times New Roman"/>
                <w:bCs/>
                <w:sz w:val="15"/>
                <w:szCs w:val="15"/>
                <w:lang w:val="en-US"/>
              </w:rPr>
              <w:t xml:space="preserve">Table III (p. 19): LaBraM 0.8140 / 0.9022 / 0.6409 / 0.8312 = LaBraM Tables 1–2; NeuroLM values = NeuroLM Tables 2–3; balanced accuracy printed as “ACC”.</w:t>
            </w:r>
          </w:p>
        </w:tc>
      </w:tr>
      <w:tr>
        <w:trPr>
          <w:cantSplit/>
        </w:trPr>
        <w:tc>
          <w:tcPr>
            <w:tcW w:w="1000" w:type="dxa"/>
            <w:vMerge/>
            <w:vAlign w:val="center"/>
          </w:tcPr>
          <w:p>
            <w:pPr>
              <w:spacing w:before="20" w:after="20" w:line="240" w:lineRule="auto"/>
              <w:jc w:val="center"/>
            </w:pPr>
          </w:p>
        </w:tc>
        <w:tc>
          <w:tcPr>
            <w:tcW w:w="1750" w:type="dxa"/>
            <w:vAlign w:val="center"/>
          </w:tcPr>
          <w:p>
            <w:pPr>
              <w:spacing w:before="20" w:after="20" w:line="240" w:lineRule="auto"/>
            </w:pPr>
            <w:hyperlink r:id="rId18">
              <w:r>
                <w:rPr>
                  <w:rStyle w:val="Hyperlink"/>
                  <w:rFonts w:ascii="Times New Roman" w:eastAsia="Times New Roman" w:hAnsi="Times New Roman" w:cs="Times New Roman"/>
                  <w:bCs/>
                  <w:color w:val="0563C1"/>
                  <w:u w:val="single"/>
                  <w:sz w:val="15"/>
                  <w:szCs w:val="15"/>
                  <w:lang w:val="en-US"/>
                </w:rPr>
                <w:t xml:space="preserve">Lai et al. 2025</w:t>
              </w:r>
            </w:hyperlink>
          </w:p>
        </w:tc>
        <w:tc>
          <w:tcPr>
            <w:tcW w:w="1350" w:type="dxa"/>
            <w:vAlign w:val="center"/>
          </w:tcPr>
          <w:p>
            <w:pPr>
              <w:spacing w:before="20" w:after="20" w:line="240" w:lineRule="auto"/>
            </w:pPr>
            <w:r>
              <w:rPr>
                <w:rFonts w:ascii="Times New Roman" w:eastAsia="Times New Roman" w:hAnsi="Times New Roman" w:cs="Times New Roman"/>
                <w:bCs/>
                <w:sz w:val="15"/>
                <w:szCs w:val="15"/>
                <w:lang w:val="en-US"/>
              </w:rPr>
              <w:t xml:space="preserve">Review, EEG-FMs</w:t>
            </w:r>
          </w:p>
        </w:tc>
        <w:tc>
          <w:tcPr>
            <w:tcW w:w="1600" w:type="dxa"/>
            <w:vAlign w:val="center"/>
          </w:tcPr>
          <w:p>
            <w:pPr>
              <w:spacing w:before="20" w:after="20" w:line="240" w:lineRule="auto"/>
            </w:pPr>
            <w:r>
              <w:rPr>
                <w:rFonts w:ascii="Times New Roman" w:eastAsia="Times New Roman" w:hAnsi="Times New Roman" w:cs="Times New Roman"/>
                <w:b/>
                <w:bCs/>
                <w:sz w:val="15"/>
                <w:szCs w:val="15"/>
                <w:lang w:val="en-US"/>
              </w:rPr>
              <w:t xml:space="preserve">No numbers</w:t>
            </w:r>
            <w:r>
              <w:rPr>
                <w:rFonts w:ascii="Times New Roman" w:eastAsia="Times New Roman" w:hAnsi="Times New Roman" w:cs="Times New Roman"/>
                <w:bCs/>
                <w:sz w:val="15"/>
                <w:szCs w:val="15"/>
                <w:lang w:val="en-US"/>
              </w:rPr>
              <w:t xml:space="preserve">: calls them incomparable</w:t>
            </w:r>
          </w:p>
        </w:tc>
        <w:tc>
          <w:tcPr>
            <w:tcW w:w="3300" w:type="dxa"/>
            <w:vAlign w:val="center"/>
          </w:tcPr>
          <w:p>
            <w:pPr>
              <w:spacing w:before="20" w:after="20" w:line="240" w:lineRule="auto"/>
            </w:pPr>
            <w:r>
              <w:rPr>
                <w:rFonts w:ascii="Times New Roman" w:eastAsia="Times New Roman" w:hAnsi="Times New Roman" w:cs="Times New Roman"/>
                <w:bCs/>
                <w:sz w:val="15"/>
                <w:szCs w:val="15"/>
                <w:lang w:val="en-US"/>
              </w:rPr>
              <w:t xml:space="preserve">p. 10: protocols vary, “making performance results incomparable”.</w:t>
            </w:r>
          </w:p>
        </w:tc>
      </w:tr>
      <w:tr>
        <w:trPr>
          <w:cantSplit/>
        </w:trPr>
        <w:tc>
          <w:tcPr>
            <w:tcW w:w="1000" w:type="dxa"/>
            <w:vMerge/>
            <w:vAlign w:val="center"/>
          </w:tcPr>
          <w:p>
            <w:pPr>
              <w:spacing w:before="20" w:after="20" w:line="240" w:lineRule="auto"/>
              <w:jc w:val="center"/>
            </w:pPr>
          </w:p>
        </w:tc>
        <w:tc>
          <w:tcPr>
            <w:tcW w:w="1750" w:type="dxa"/>
            <w:vAlign w:val="center"/>
          </w:tcPr>
          <w:p>
            <w:pPr>
              <w:spacing w:before="20" w:after="20" w:line="240" w:lineRule="auto"/>
            </w:pPr>
            <w:hyperlink r:id="rId19">
              <w:r>
                <w:rPr>
                  <w:rStyle w:val="Hyperlink"/>
                  <w:rFonts w:ascii="Times New Roman" w:eastAsia="Times New Roman" w:hAnsi="Times New Roman" w:cs="Times New Roman"/>
                  <w:bCs/>
                  <w:color w:val="0563C1"/>
                  <w:u w:val="single"/>
                  <w:sz w:val="15"/>
                  <w:szCs w:val="15"/>
                  <w:lang w:val="en-US"/>
                </w:rPr>
                <w:t xml:space="preserve">EEG-FM-Compass 2026</w:t>
              </w:r>
            </w:hyperlink>
            <w:r>
              <w:rPr>
                <w:rFonts w:ascii="Times New Roman" w:eastAsia="Times New Roman" w:hAnsi="Times New Roman" w:cs="Times New Roman"/>
                <w:bCs/>
                <w:sz w:val="15"/>
                <w:szCs w:val="15"/>
                <w:lang w:val="en-US"/>
              </w:rPr>
              <w:t xml:space="preserve">, Natl. Sci. Rev.</w:t>
            </w:r>
          </w:p>
        </w:tc>
        <w:tc>
          <w:tcPr>
            <w:tcW w:w="1350" w:type="dxa"/>
            <w:vAlign w:val="center"/>
          </w:tcPr>
          <w:p>
            <w:pPr>
              <w:spacing w:before="20" w:after="20" w:line="240" w:lineRule="auto"/>
            </w:pPr>
            <w:r>
              <w:rPr>
                <w:rFonts w:ascii="Times New Roman" w:eastAsia="Times New Roman" w:hAnsi="Times New Roman" w:cs="Times New Roman"/>
                <w:bCs/>
                <w:sz w:val="15"/>
                <w:szCs w:val="15"/>
                <w:lang w:val="en-US"/>
              </w:rPr>
              <w:t xml:space="preserve">Survey (55 FMs) + benchmark (12 FMs)</w:t>
            </w:r>
          </w:p>
        </w:tc>
        <w:tc>
          <w:tcPr>
            <w:tcW w:w="1600" w:type="dxa"/>
            <w:vAlign w:val="center"/>
          </w:tcPr>
          <w:p>
            <w:pPr>
              <w:spacing w:before="20" w:after="20" w:line="240" w:lineRule="auto"/>
            </w:pPr>
            <w:r>
              <w:rPr>
                <w:rFonts w:ascii="Times New Roman" w:eastAsia="Times New Roman" w:hAnsi="Times New Roman" w:cs="Times New Roman"/>
                <w:b/>
                <w:bCs/>
                <w:sz w:val="15"/>
                <w:szCs w:val="15"/>
                <w:lang w:val="en-US"/>
              </w:rPr>
              <w:t xml:space="preserve">Both, kept apart</w:t>
            </w:r>
            <w:r>
              <w:rPr>
                <w:rFonts w:ascii="Times New Roman" w:eastAsia="Times New Roman" w:hAnsi="Times New Roman" w:cs="Times New Roman"/>
                <w:bCs/>
                <w:sz w:val="15"/>
                <w:szCs w:val="15"/>
                <w:lang w:val="en-US"/>
              </w:rPr>
              <w:t xml:space="preserve">: survey tables cite; benchmark re-runs</w:t>
            </w:r>
          </w:p>
        </w:tc>
        <w:tc>
          <w:tcPr>
            <w:tcW w:w="3300" w:type="dxa"/>
            <w:vAlign w:val="center"/>
          </w:tcPr>
          <w:p>
            <w:pPr>
              <w:spacing w:before="20" w:after="20" w:line="240" w:lineRule="auto"/>
            </w:pPr>
            <w:r>
              <w:rPr>
                <w:rFonts w:ascii="Times New Roman" w:eastAsia="Times New Roman" w:hAnsi="Times New Roman" w:cs="Times New Roman"/>
                <w:bCs/>
                <w:sz w:val="15"/>
                <w:szCs w:val="15"/>
                <w:lang w:val="en-US"/>
              </w:rPr>
              <w:t xml:space="preserve">Abstract: “We then evaluate 12 open source FMs”; Suppl. Table 59 (p. 86) marks Lai, Zhou, Kuruppu and 4 other surveys as having no benchmark.</w:t>
            </w:r>
          </w:p>
        </w:tc>
      </w:tr>
      <w:tr>
        <w:trPr>
          <w:cantSplit/>
        </w:trPr>
        <w:tc>
          <w:tcPr>
            <w:tcW w:w="1000" w:type="dxa"/>
            <w:vMerge w:val="restart"/>
            <w:vAlign w:val="center"/>
          </w:tcPr>
          <w:p>
            <w:pPr>
              <w:spacing w:before="20" w:after="20" w:line="240" w:lineRule="auto"/>
              <w:jc w:val="center"/>
            </w:pPr>
            <w:r>
              <w:rPr>
                <w:rFonts w:ascii="Times New Roman" w:eastAsia="Times New Roman" w:hAnsi="Times New Roman" w:cs="Times New Roman"/>
                <w:b/>
                <w:bCs/>
                <w:sz w:val="15"/>
                <w:szCs w:val="15"/>
                <w:lang w:val="en-US"/>
              </w:rPr>
              <w:t xml:space="preserve">Method papers</w:t>
            </w:r>
          </w:p>
        </w:tc>
        <w:tc>
          <w:tcPr>
            <w:tcW w:w="1750" w:type="dxa"/>
            <w:vAlign w:val="center"/>
          </w:tcPr>
          <w:p>
            <w:pPr>
              <w:spacing w:before="20" w:after="20" w:line="240" w:lineRule="auto"/>
            </w:pPr>
            <w:hyperlink r:id="rId20">
              <w:r>
                <w:rPr>
                  <w:rStyle w:val="Hyperlink"/>
                  <w:rFonts w:ascii="Times New Roman" w:eastAsia="Times New Roman" w:hAnsi="Times New Roman" w:cs="Times New Roman"/>
                  <w:bCs/>
                  <w:color w:val="0563C1"/>
                  <w:u w:val="single"/>
                  <w:sz w:val="15"/>
                  <w:szCs w:val="15"/>
                  <w:lang w:val="en-US"/>
                </w:rPr>
                <w:t xml:space="preserve">BIOT</w:t>
              </w:r>
            </w:hyperlink>
            <w:r>
              <w:rPr>
                <w:rFonts w:ascii="Times New Roman" w:eastAsia="Times New Roman" w:hAnsi="Times New Roman" w:cs="Times New Roman"/>
                <w:bCs/>
                <w:sz w:val="15"/>
                <w:szCs w:val="15"/>
                <w:lang w:val="en-US"/>
              </w:rPr>
              <w:t xml:space="preserve">, NeurIPS 2023</w:t>
            </w:r>
          </w:p>
        </w:tc>
        <w:tc>
          <w:tcPr>
            <w:tcW w:w="1350" w:type="dxa"/>
            <w:vAlign w:val="center"/>
          </w:tcPr>
          <w:p>
            <w:pPr>
              <w:spacing w:before="20" w:after="20" w:line="240" w:lineRule="auto"/>
            </w:pPr>
            <w:r>
              <w:rPr>
                <w:rFonts w:ascii="Times New Roman" w:eastAsia="Times New Roman" w:hAnsi="Times New Roman" w:cs="Times New Roman"/>
                <w:bCs/>
                <w:sz w:val="15"/>
                <w:szCs w:val="15"/>
                <w:lang w:val="en-US"/>
              </w:rPr>
              <w:t xml:space="preserve">Method</w:t>
            </w:r>
          </w:p>
        </w:tc>
        <w:tc>
          <w:tcPr>
            <w:tcW w:w="1600" w:type="dxa"/>
            <w:vAlign w:val="center"/>
          </w:tcPr>
          <w:p>
            <w:pPr>
              <w:spacing w:before="20" w:after="20" w:line="240" w:lineRule="auto"/>
            </w:pPr>
            <w:r>
              <w:rPr>
                <w:rFonts w:ascii="Times New Roman" w:eastAsia="Times New Roman" w:hAnsi="Times New Roman" w:cs="Times New Roman"/>
                <w:b/>
                <w:bCs/>
                <w:sz w:val="15"/>
                <w:szCs w:val="15"/>
                <w:lang w:val="en-US"/>
              </w:rPr>
              <w:t xml:space="preserve">Reproduced</w:t>
            </w:r>
            <w:r>
              <w:rPr>
                <w:rFonts w:ascii="Times New Roman" w:eastAsia="Times New Roman" w:hAnsi="Times New Roman" w:cs="Times New Roman"/>
                <w:bCs/>
                <w:sz w:val="15"/>
                <w:szCs w:val="15"/>
                <w:lang w:val="en-US"/>
              </w:rPr>
              <w:t xml:space="preserve">: baselines re-implemented</w:t>
            </w:r>
          </w:p>
        </w:tc>
        <w:tc>
          <w:tcPr>
            <w:tcW w:w="3300" w:type="dxa"/>
            <w:vAlign w:val="center"/>
          </w:tcPr>
          <w:p>
            <w:pPr>
              <w:spacing w:before="20" w:after="20" w:line="240" w:lineRule="auto"/>
            </w:pPr>
            <w:r>
              <w:rPr>
                <w:rFonts w:ascii="Times New Roman" w:eastAsia="Times New Roman" w:hAnsi="Times New Roman" w:cs="Times New Roman"/>
                <w:bCs/>
                <w:sz w:val="15"/>
                <w:szCs w:val="15"/>
                <w:lang w:val="en-US"/>
              </w:rPr>
              <w:t xml:space="preserve">App. A.2 (p. 15): “the SPaRCNet code is requested from the authors”; CNN-Transformer “implemented following the Fig. 3 of the original paper”.</w:t>
            </w:r>
          </w:p>
        </w:tc>
      </w:tr>
      <w:tr>
        <w:trPr>
          <w:cantSplit/>
        </w:trPr>
        <w:tc>
          <w:tcPr>
            <w:tcW w:w="1000" w:type="dxa"/>
            <w:vMerge/>
            <w:vAlign w:val="center"/>
          </w:tcPr>
          <w:p>
            <w:pPr>
              <w:spacing w:before="20" w:after="20" w:line="240" w:lineRule="auto"/>
              <w:jc w:val="center"/>
            </w:pPr>
          </w:p>
        </w:tc>
        <w:tc>
          <w:tcPr>
            <w:tcW w:w="1750" w:type="dxa"/>
            <w:vAlign w:val="center"/>
          </w:tcPr>
          <w:p>
            <w:pPr>
              <w:spacing w:before="20" w:after="20" w:line="240" w:lineRule="auto"/>
            </w:pPr>
            <w:hyperlink r:id="rId21">
              <w:r>
                <w:rPr>
                  <w:rStyle w:val="Hyperlink"/>
                  <w:rFonts w:ascii="Times New Roman" w:eastAsia="Times New Roman" w:hAnsi="Times New Roman" w:cs="Times New Roman"/>
                  <w:bCs/>
                  <w:color w:val="0563C1"/>
                  <w:u w:val="single"/>
                  <w:sz w:val="15"/>
                  <w:szCs w:val="15"/>
                  <w:lang w:val="en-US"/>
                </w:rPr>
                <w:t xml:space="preserve">LaBraM</w:t>
              </w:r>
            </w:hyperlink>
            <w:r>
              <w:rPr>
                <w:rFonts w:ascii="Times New Roman" w:eastAsia="Times New Roman" w:hAnsi="Times New Roman" w:cs="Times New Roman"/>
                <w:bCs/>
                <w:sz w:val="15"/>
                <w:szCs w:val="15"/>
                <w:lang w:val="en-US"/>
              </w:rPr>
              <w:t xml:space="preserve">, ICLR 2024</w:t>
            </w:r>
          </w:p>
        </w:tc>
        <w:tc>
          <w:tcPr>
            <w:tcW w:w="1350" w:type="dxa"/>
            <w:vAlign w:val="center"/>
          </w:tcPr>
          <w:p>
            <w:pPr>
              <w:spacing w:before="20" w:after="20" w:line="240" w:lineRule="auto"/>
            </w:pPr>
            <w:r>
              <w:rPr>
                <w:rFonts w:ascii="Times New Roman" w:eastAsia="Times New Roman" w:hAnsi="Times New Roman" w:cs="Times New Roman"/>
                <w:bCs/>
                <w:sz w:val="15"/>
                <w:szCs w:val="15"/>
                <w:lang w:val="en-US"/>
              </w:rPr>
              <w:t xml:space="preserve">Method</w:t>
            </w:r>
          </w:p>
        </w:tc>
        <w:tc>
          <w:tcPr>
            <w:tcW w:w="1600" w:type="dxa"/>
            <w:vAlign w:val="center"/>
          </w:tcPr>
          <w:p>
            <w:pPr>
              <w:spacing w:before="20" w:after="20" w:line="240" w:lineRule="auto"/>
            </w:pPr>
            <w:r>
              <w:rPr>
                <w:rFonts w:ascii="Times New Roman" w:eastAsia="Times New Roman" w:hAnsi="Times New Roman" w:cs="Times New Roman"/>
                <w:b/>
                <w:bCs/>
                <w:sz w:val="15"/>
                <w:szCs w:val="15"/>
                <w:lang w:val="en-US"/>
              </w:rPr>
              <w:t xml:space="preserve">Cited</w:t>
            </w:r>
            <w:r>
              <w:rPr>
                <w:rFonts w:ascii="Times New Roman" w:eastAsia="Times New Roman" w:hAnsi="Times New Roman" w:cs="Times New Roman"/>
                <w:bCs/>
                <w:sz w:val="15"/>
                <w:szCs w:val="15"/>
                <w:lang w:val="en-US"/>
              </w:rPr>
              <w:t xml:space="preserve">: all baselines copied from BIOT</w:t>
            </w:r>
          </w:p>
        </w:tc>
        <w:tc>
          <w:tcPr>
            <w:tcW w:w="3300" w:type="dxa"/>
            <w:vAlign w:val="center"/>
          </w:tcPr>
          <w:p>
            <w:pPr>
              <w:spacing w:before="20" w:after="20" w:line="240" w:lineRule="auto"/>
            </w:pPr>
            <w:r>
              <w:rPr>
                <w:rFonts w:ascii="Times New Roman" w:eastAsia="Times New Roman" w:hAnsi="Times New Roman" w:cs="Times New Roman"/>
                <w:bCs/>
                <w:sz w:val="15"/>
                <w:szCs w:val="15"/>
                <w:lang w:val="en-US"/>
              </w:rPr>
              <w:t xml:space="preserve">Sec. 3.2 (p. 7): “The baselines are from Yang et al. (2023a), where we choose the best results”; Tables 1–2 = BIOT Tables 4–5.</w:t>
            </w:r>
          </w:p>
        </w:tc>
      </w:tr>
      <w:tr>
        <w:trPr>
          <w:cantSplit/>
        </w:trPr>
        <w:tc>
          <w:tcPr>
            <w:tcW w:w="1000" w:type="dxa"/>
            <w:vMerge/>
            <w:vAlign w:val="center"/>
          </w:tcPr>
          <w:p>
            <w:pPr>
              <w:spacing w:before="20" w:after="20" w:line="240" w:lineRule="auto"/>
              <w:jc w:val="center"/>
            </w:pPr>
          </w:p>
        </w:tc>
        <w:tc>
          <w:tcPr>
            <w:tcW w:w="1750" w:type="dxa"/>
            <w:vAlign w:val="center"/>
          </w:tcPr>
          <w:p>
            <w:pPr>
              <w:spacing w:before="20" w:after="20" w:line="240" w:lineRule="auto"/>
            </w:pPr>
            <w:hyperlink r:id="rId22">
              <w:r>
                <w:rPr>
                  <w:rStyle w:val="Hyperlink"/>
                  <w:rFonts w:ascii="Times New Roman" w:eastAsia="Times New Roman" w:hAnsi="Times New Roman" w:cs="Times New Roman"/>
                  <w:bCs/>
                  <w:color w:val="0563C1"/>
                  <w:u w:val="single"/>
                  <w:sz w:val="15"/>
                  <w:szCs w:val="15"/>
                  <w:lang w:val="en-US"/>
                </w:rPr>
                <w:t xml:space="preserve">NeuroLM</w:t>
              </w:r>
            </w:hyperlink>
            <w:r>
              <w:rPr>
                <w:rFonts w:ascii="Times New Roman" w:eastAsia="Times New Roman" w:hAnsi="Times New Roman" w:cs="Times New Roman"/>
                <w:bCs/>
                <w:sz w:val="15"/>
                <w:szCs w:val="15"/>
                <w:lang w:val="en-US"/>
              </w:rPr>
              <w:t xml:space="preserve">, ICLR 2025</w:t>
            </w:r>
          </w:p>
        </w:tc>
        <w:tc>
          <w:tcPr>
            <w:tcW w:w="1350" w:type="dxa"/>
            <w:vAlign w:val="center"/>
          </w:tcPr>
          <w:p>
            <w:pPr>
              <w:spacing w:before="20" w:after="20" w:line="240" w:lineRule="auto"/>
            </w:pPr>
            <w:r>
              <w:rPr>
                <w:rFonts w:ascii="Times New Roman" w:eastAsia="Times New Roman" w:hAnsi="Times New Roman" w:cs="Times New Roman"/>
                <w:bCs/>
                <w:sz w:val="15"/>
                <w:szCs w:val="15"/>
                <w:lang w:val="en-US"/>
              </w:rPr>
              <w:t xml:space="preserve">Method</w:t>
            </w:r>
          </w:p>
        </w:tc>
        <w:tc>
          <w:tcPr>
            <w:tcW w:w="1600" w:type="dxa"/>
            <w:vAlign w:val="center"/>
          </w:tcPr>
          <w:p>
            <w:pPr>
              <w:spacing w:before="20" w:after="20" w:line="240" w:lineRule="auto"/>
            </w:pPr>
            <w:r>
              <w:rPr>
                <w:rFonts w:ascii="Times New Roman" w:eastAsia="Times New Roman" w:hAnsi="Times New Roman" w:cs="Times New Roman"/>
                <w:b/>
                <w:bCs/>
                <w:sz w:val="15"/>
                <w:szCs w:val="15"/>
                <w:lang w:val="en-US"/>
              </w:rPr>
              <w:t xml:space="preserve">Cited, unmarked</w:t>
            </w:r>
          </w:p>
        </w:tc>
        <w:tc>
          <w:tcPr>
            <w:tcW w:w="3300" w:type="dxa"/>
            <w:vAlign w:val="center"/>
          </w:tcPr>
          <w:p>
            <w:pPr>
              <w:spacing w:before="20" w:after="20" w:line="240" w:lineRule="auto"/>
            </w:pPr>
            <w:r>
              <w:rPr>
                <w:rFonts w:ascii="Times New Roman" w:eastAsia="Times New Roman" w:hAnsi="Times New Roman" w:cs="Times New Roman"/>
                <w:bCs/>
                <w:sz w:val="15"/>
                <w:szCs w:val="15"/>
                <w:lang w:val="en-US"/>
              </w:rPr>
              <w:t xml:space="preserve">p. 7: results “reported using three random seeds”; Table 2 (p. 8) TUAB/TUEV rows are LaBraM’s five-seed numbers.</w:t>
            </w:r>
          </w:p>
        </w:tc>
      </w:tr>
      <w:tr>
        <w:trPr>
          <w:cantSplit/>
        </w:trPr>
        <w:tc>
          <w:tcPr>
            <w:tcW w:w="1000" w:type="dxa"/>
            <w:vMerge/>
            <w:vAlign w:val="center"/>
          </w:tcPr>
          <w:p>
            <w:pPr>
              <w:spacing w:before="20" w:after="20" w:line="240" w:lineRule="auto"/>
              <w:jc w:val="center"/>
            </w:pPr>
          </w:p>
        </w:tc>
        <w:tc>
          <w:tcPr>
            <w:tcW w:w="1750" w:type="dxa"/>
            <w:vAlign w:val="center"/>
          </w:tcPr>
          <w:p>
            <w:pPr>
              <w:spacing w:before="20" w:after="20" w:line="240" w:lineRule="auto"/>
            </w:pPr>
            <w:hyperlink r:id="rId23">
              <w:r>
                <w:rPr>
                  <w:rStyle w:val="Hyperlink"/>
                  <w:rFonts w:ascii="Times New Roman" w:eastAsia="Times New Roman" w:hAnsi="Times New Roman" w:cs="Times New Roman"/>
                  <w:bCs/>
                  <w:color w:val="0563C1"/>
                  <w:u w:val="single"/>
                  <w:sz w:val="15"/>
                  <w:szCs w:val="15"/>
                  <w:lang w:val="en-US"/>
                </w:rPr>
                <w:t xml:space="preserve">CBraMod</w:t>
              </w:r>
            </w:hyperlink>
            <w:r>
              <w:rPr>
                <w:rFonts w:ascii="Times New Roman" w:eastAsia="Times New Roman" w:hAnsi="Times New Roman" w:cs="Times New Roman"/>
                <w:bCs/>
                <w:sz w:val="15"/>
                <w:szCs w:val="15"/>
                <w:lang w:val="en-US"/>
              </w:rPr>
              <w:t xml:space="preserve">, ICLR 2025</w:t>
            </w:r>
          </w:p>
        </w:tc>
        <w:tc>
          <w:tcPr>
            <w:tcW w:w="1350" w:type="dxa"/>
            <w:vAlign w:val="center"/>
          </w:tcPr>
          <w:p>
            <w:pPr>
              <w:spacing w:before="20" w:after="20" w:line="240" w:lineRule="auto"/>
            </w:pPr>
            <w:r>
              <w:rPr>
                <w:rFonts w:ascii="Times New Roman" w:eastAsia="Times New Roman" w:hAnsi="Times New Roman" w:cs="Times New Roman"/>
                <w:bCs/>
                <w:sz w:val="15"/>
                <w:szCs w:val="15"/>
                <w:lang w:val="en-US"/>
              </w:rPr>
              <w:t xml:space="preserve">Method</w:t>
            </w:r>
          </w:p>
        </w:tc>
        <w:tc>
          <w:tcPr>
            <w:tcW w:w="1600" w:type="dxa"/>
            <w:vAlign w:val="center"/>
          </w:tcPr>
          <w:p>
            <w:pPr>
              <w:spacing w:before="20" w:after="20" w:line="240" w:lineRule="auto"/>
            </w:pPr>
            <w:r>
              <w:rPr>
                <w:rFonts w:ascii="Times New Roman" w:eastAsia="Times New Roman" w:hAnsi="Times New Roman" w:cs="Times New Roman"/>
                <w:b/>
                <w:bCs/>
                <w:sz w:val="15"/>
                <w:szCs w:val="15"/>
                <w:lang w:val="en-US"/>
              </w:rPr>
              <w:t xml:space="preserve">Mixed in one table, unmarked</w:t>
            </w:r>
          </w:p>
        </w:tc>
        <w:tc>
          <w:tcPr>
            <w:tcW w:w="3300" w:type="dxa"/>
            <w:vAlign w:val="center"/>
          </w:tcPr>
          <w:p>
            <w:pPr>
              <w:spacing w:before="20" w:after="20" w:line="240" w:lineRule="auto"/>
            </w:pPr>
            <w:r>
              <w:rPr>
                <w:rFonts w:ascii="Times New Roman" w:eastAsia="Times New Roman" w:hAnsi="Times New Roman" w:cs="Times New Roman"/>
                <w:bCs/>
                <w:sz w:val="15"/>
                <w:szCs w:val="15"/>
                <w:lang w:val="en-US"/>
              </w:rPr>
              <w:t xml:space="preserve">p. 7: fine-tunes LaBraM “unless their experimental results have already been reported”; Tables 13–14 (p. 26): 2 baseline rows new, 9 copied from LaBraM (incl. LaBraM-Large/Huge).</w:t>
            </w:r>
          </w:p>
        </w:tc>
      </w:tr>
      <w:tr>
        <w:trPr>
          <w:cantSplit/>
        </w:trPr>
        <w:tc>
          <w:tcPr>
            <w:tcW w:w="1000" w:type="dxa"/>
            <w:vMerge w:val="restart"/>
            <w:vAlign w:val="center"/>
          </w:tcPr>
          <w:p>
            <w:pPr>
              <w:spacing w:before="20" w:after="20" w:line="240" w:lineRule="auto"/>
              <w:jc w:val="center"/>
            </w:pPr>
            <w:r>
              <w:rPr>
                <w:rFonts w:ascii="Times New Roman" w:eastAsia="Times New Roman" w:hAnsi="Times New Roman" w:cs="Times New Roman"/>
                <w:b/>
                <w:bCs/>
                <w:sz w:val="15"/>
                <w:szCs w:val="15"/>
                <w:lang w:val="en-US"/>
              </w:rPr>
              <w:t xml:space="preserve">Benchmarks</w:t>
            </w:r>
          </w:p>
        </w:tc>
        <w:tc>
          <w:tcPr>
            <w:tcW w:w="1750" w:type="dxa"/>
            <w:vAlign w:val="center"/>
          </w:tcPr>
          <w:p>
            <w:pPr>
              <w:spacing w:before="20" w:after="20" w:line="240" w:lineRule="auto"/>
            </w:pPr>
            <w:hyperlink r:id="rId24">
              <w:r>
                <w:rPr>
                  <w:rStyle w:val="Hyperlink"/>
                  <w:rFonts w:ascii="Times New Roman" w:eastAsia="Times New Roman" w:hAnsi="Times New Roman" w:cs="Times New Roman"/>
                  <w:bCs/>
                  <w:color w:val="0563C1"/>
                  <w:u w:val="single"/>
                  <w:sz w:val="15"/>
                  <w:szCs w:val="15"/>
                  <w:lang w:val="en-US"/>
                </w:rPr>
                <w:t xml:space="preserve">MOABB 2018</w:t>
              </w:r>
            </w:hyperlink>
            <w:r>
              <w:rPr>
                <w:rFonts w:ascii="Times New Roman" w:eastAsia="Times New Roman" w:hAnsi="Times New Roman" w:cs="Times New Roman"/>
                <w:bCs/>
                <w:sz w:val="15"/>
                <w:szCs w:val="15"/>
                <w:lang w:val="en-US"/>
              </w:rPr>
              <w:t xml:space="preserve">, J. Neural Eng.</w:t>
            </w:r>
          </w:p>
        </w:tc>
        <w:tc>
          <w:tcPr>
            <w:tcW w:w="1350" w:type="dxa"/>
            <w:vAlign w:val="center"/>
          </w:tcPr>
          <w:p>
            <w:pPr>
              <w:spacing w:before="20" w:after="20" w:line="240" w:lineRule="auto"/>
            </w:pPr>
            <w:r>
              <w:rPr>
                <w:rFonts w:ascii="Times New Roman" w:eastAsia="Times New Roman" w:hAnsi="Times New Roman" w:cs="Times New Roman"/>
                <w:bCs/>
                <w:sz w:val="15"/>
                <w:szCs w:val="15"/>
                <w:lang w:val="en-US"/>
              </w:rPr>
              <w:t xml:space="preserve">Benchmark, 12 datasets</w:t>
            </w:r>
          </w:p>
        </w:tc>
        <w:tc>
          <w:tcPr>
            <w:tcW w:w="1600" w:type="dxa"/>
            <w:vAlign w:val="center"/>
          </w:tcPr>
          <w:p>
            <w:pPr>
              <w:spacing w:before="20" w:after="20" w:line="240" w:lineRule="auto"/>
            </w:pPr>
            <w:r>
              <w:rPr>
                <w:rFonts w:ascii="Times New Roman" w:eastAsia="Times New Roman" w:hAnsi="Times New Roman" w:cs="Times New Roman"/>
                <w:b/>
                <w:bCs/>
                <w:sz w:val="15"/>
                <w:szCs w:val="15"/>
                <w:lang w:val="en-US"/>
              </w:rPr>
              <w:t xml:space="preserve">Reproduced</w:t>
            </w:r>
          </w:p>
        </w:tc>
        <w:tc>
          <w:tcPr>
            <w:tcW w:w="3300" w:type="dxa"/>
            <w:vAlign w:val="center"/>
          </w:tcPr>
          <w:p>
            <w:pPr>
              <w:spacing w:before="20" w:after="20" w:line="240" w:lineRule="auto"/>
            </w:pPr>
            <w:r>
              <w:rPr>
                <w:rFonts w:ascii="Times New Roman" w:eastAsia="Times New Roman" w:hAnsi="Times New Roman" w:cs="Times New Roman"/>
                <w:bCs/>
                <w:sz w:val="15"/>
                <w:szCs w:val="15"/>
                <w:lang w:val="en-US"/>
              </w:rPr>
              <w:t xml:space="preserve">p. 4: CSP regularization “does not appear to have the effect that was originally claimed”.</w:t>
            </w:r>
          </w:p>
        </w:tc>
      </w:tr>
      <w:tr>
        <w:trPr>
          <w:cantSplit/>
        </w:trPr>
        <w:tc>
          <w:tcPr>
            <w:tcW w:w="1000" w:type="dxa"/>
            <w:vMerge/>
            <w:vAlign w:val="center"/>
          </w:tcPr>
          <w:p>
            <w:pPr>
              <w:spacing w:before="20" w:after="20" w:line="240" w:lineRule="auto"/>
              <w:jc w:val="center"/>
            </w:pPr>
          </w:p>
        </w:tc>
        <w:tc>
          <w:tcPr>
            <w:tcW w:w="1750" w:type="dxa"/>
            <w:vAlign w:val="center"/>
          </w:tcPr>
          <w:p>
            <w:pPr>
              <w:spacing w:before="20" w:after="20" w:line="240" w:lineRule="auto"/>
            </w:pPr>
            <w:hyperlink r:id="rId25">
              <w:r>
                <w:rPr>
                  <w:rStyle w:val="Hyperlink"/>
                  <w:rFonts w:ascii="Times New Roman" w:eastAsia="Times New Roman" w:hAnsi="Times New Roman" w:cs="Times New Roman"/>
                  <w:bCs/>
                  <w:color w:val="0563C1"/>
                  <w:u w:val="single"/>
                  <w:sz w:val="15"/>
                  <w:szCs w:val="15"/>
                  <w:lang w:val="en-US"/>
                </w:rPr>
                <w:t xml:space="preserve">MOABB 2024</w:t>
              </w:r>
            </w:hyperlink>
          </w:p>
        </w:tc>
        <w:tc>
          <w:tcPr>
            <w:tcW w:w="1350" w:type="dxa"/>
            <w:vAlign w:val="center"/>
          </w:tcPr>
          <w:p>
            <w:pPr>
              <w:spacing w:before="20" w:after="20" w:line="240" w:lineRule="auto"/>
            </w:pPr>
            <w:r>
              <w:rPr>
                <w:rFonts w:ascii="Times New Roman" w:eastAsia="Times New Roman" w:hAnsi="Times New Roman" w:cs="Times New Roman"/>
                <w:bCs/>
                <w:sz w:val="15"/>
                <w:szCs w:val="15"/>
                <w:lang w:val="en-US"/>
              </w:rPr>
              <w:t xml:space="preserve">Reproducibility study, 36 datasets</w:t>
            </w:r>
          </w:p>
        </w:tc>
        <w:tc>
          <w:tcPr>
            <w:tcW w:w="1600" w:type="dxa"/>
            <w:vAlign w:val="center"/>
          </w:tcPr>
          <w:p>
            <w:pPr>
              <w:spacing w:before="20" w:after="20" w:line="240" w:lineRule="auto"/>
            </w:pPr>
            <w:r>
              <w:rPr>
                <w:rFonts w:ascii="Times New Roman" w:eastAsia="Times New Roman" w:hAnsi="Times New Roman" w:cs="Times New Roman"/>
                <w:b/>
                <w:bCs/>
                <w:sz w:val="15"/>
                <w:szCs w:val="15"/>
                <w:lang w:val="en-US"/>
              </w:rPr>
              <w:t xml:space="preserve">Reproduced</w:t>
            </w:r>
          </w:p>
        </w:tc>
        <w:tc>
          <w:tcPr>
            <w:tcW w:w="3300" w:type="dxa"/>
            <w:vAlign w:val="center"/>
          </w:tcPr>
          <w:p>
            <w:pPr>
              <w:spacing w:before="20" w:after="20" w:line="240" w:lineRule="auto"/>
            </w:pPr>
            <w:r>
              <w:rPr>
                <w:rFonts w:ascii="Times New Roman" w:eastAsia="Times New Roman" w:hAnsi="Times New Roman" w:cs="Times New Roman"/>
                <w:bCs/>
                <w:sz w:val="15"/>
                <w:szCs w:val="15"/>
                <w:lang w:val="en-US"/>
              </w:rPr>
              <w:t xml:space="preserve">Abstract: “30 machine learning pipelines … are meticulously re-implemented and evaluated”.</w:t>
            </w:r>
          </w:p>
        </w:tc>
      </w:tr>
      <w:tr>
        <w:trPr>
          <w:cantSplit/>
        </w:trPr>
        <w:tc>
          <w:tcPr>
            <w:tcW w:w="1000" w:type="dxa"/>
            <w:vMerge/>
            <w:vAlign w:val="center"/>
          </w:tcPr>
          <w:p>
            <w:pPr>
              <w:spacing w:before="20" w:after="20" w:line="240" w:lineRule="auto"/>
              <w:jc w:val="center"/>
            </w:pPr>
          </w:p>
        </w:tc>
        <w:tc>
          <w:tcPr>
            <w:tcW w:w="1750" w:type="dxa"/>
            <w:vAlign w:val="center"/>
          </w:tcPr>
          <w:p>
            <w:pPr>
              <w:spacing w:before="20" w:after="20" w:line="240" w:lineRule="auto"/>
            </w:pPr>
            <w:hyperlink r:id="rId26">
              <w:r>
                <w:rPr>
                  <w:rStyle w:val="Hyperlink"/>
                  <w:rFonts w:ascii="Times New Roman" w:eastAsia="Times New Roman" w:hAnsi="Times New Roman" w:cs="Times New Roman"/>
                  <w:bCs/>
                  <w:color w:val="0563C1"/>
                  <w:u w:val="single"/>
                  <w:sz w:val="15"/>
                  <w:szCs w:val="15"/>
                  <w:lang w:val="en-US"/>
                </w:rPr>
                <w:t xml:space="preserve">Gemein et al. 2020</w:t>
              </w:r>
            </w:hyperlink>
            <w:r>
              <w:rPr>
                <w:rFonts w:ascii="Times New Roman" w:eastAsia="Times New Roman" w:hAnsi="Times New Roman" w:cs="Times New Roman"/>
                <w:bCs/>
                <w:sz w:val="15"/>
                <w:szCs w:val="15"/>
                <w:lang w:val="en-US"/>
              </w:rPr>
              <w:t xml:space="preserve">, NeuroImage</w:t>
            </w:r>
          </w:p>
        </w:tc>
        <w:tc>
          <w:tcPr>
            <w:tcW w:w="1350" w:type="dxa"/>
            <w:vAlign w:val="center"/>
          </w:tcPr>
          <w:p>
            <w:pPr>
              <w:spacing w:before="20" w:after="20" w:line="240" w:lineRule="auto"/>
            </w:pPr>
            <w:r>
              <w:rPr>
                <w:rFonts w:ascii="Times New Roman" w:eastAsia="Times New Roman" w:hAnsi="Times New Roman" w:cs="Times New Roman"/>
                <w:bCs/>
                <w:sz w:val="15"/>
                <w:szCs w:val="15"/>
                <w:lang w:val="en-US"/>
              </w:rPr>
              <w:t xml:space="preserve">Comparison study, TUAB</w:t>
            </w:r>
          </w:p>
        </w:tc>
        <w:tc>
          <w:tcPr>
            <w:tcW w:w="1600" w:type="dxa"/>
            <w:vAlign w:val="center"/>
          </w:tcPr>
          <w:p>
            <w:pPr>
              <w:spacing w:before="20" w:after="20" w:line="240" w:lineRule="auto"/>
            </w:pPr>
            <w:r>
              <w:rPr>
                <w:rFonts w:ascii="Times New Roman" w:eastAsia="Times New Roman" w:hAnsi="Times New Roman" w:cs="Times New Roman"/>
                <w:b/>
                <w:bCs/>
                <w:sz w:val="15"/>
                <w:szCs w:val="15"/>
                <w:lang w:val="en-US"/>
              </w:rPr>
              <w:t xml:space="preserve">Both, labelled</w:t>
            </w:r>
          </w:p>
        </w:tc>
        <w:tc>
          <w:tcPr>
            <w:tcW w:w="3300" w:type="dxa"/>
            <w:vAlign w:val="center"/>
          </w:tcPr>
          <w:p>
            <w:pPr>
              <w:spacing w:before="20" w:after="20" w:line="240" w:lineRule="auto"/>
            </w:pPr>
            <w:r>
              <w:rPr>
                <w:rFonts w:ascii="Times New Roman" w:eastAsia="Times New Roman" w:hAnsi="Times New Roman" w:cs="Times New Roman"/>
                <w:bCs/>
                <w:sz w:val="15"/>
                <w:szCs w:val="15"/>
                <w:lang w:val="en-US"/>
              </w:rPr>
              <w:t xml:space="preserve">Table 1 (p. 5): literature results; p. 15: own runs vs. “86.57% accuracy previously reported using ChronoNet”.</w:t>
            </w:r>
          </w:p>
        </w:tc>
      </w:tr>
      <w:tr>
        <w:trPr>
          <w:cantSplit/>
        </w:trPr>
        <w:tc>
          <w:tcPr>
            <w:tcW w:w="1000" w:type="dxa"/>
            <w:vMerge/>
            <w:vAlign w:val="center"/>
          </w:tcPr>
          <w:p>
            <w:pPr>
              <w:spacing w:before="20" w:after="20" w:line="240" w:lineRule="auto"/>
              <w:jc w:val="center"/>
            </w:pPr>
          </w:p>
        </w:tc>
        <w:tc>
          <w:tcPr>
            <w:tcW w:w="1750" w:type="dxa"/>
            <w:vAlign w:val="center"/>
          </w:tcPr>
          <w:p>
            <w:pPr>
              <w:spacing w:before="20" w:after="20" w:line="240" w:lineRule="auto"/>
            </w:pPr>
            <w:hyperlink r:id="rId27">
              <w:r>
                <w:rPr>
                  <w:rStyle w:val="Hyperlink"/>
                  <w:rFonts w:ascii="Times New Roman" w:eastAsia="Times New Roman" w:hAnsi="Times New Roman" w:cs="Times New Roman"/>
                  <w:bCs/>
                  <w:color w:val="0563C1"/>
                  <w:u w:val="single"/>
                  <w:sz w:val="15"/>
                  <w:szCs w:val="15"/>
                  <w:lang w:val="en-US"/>
                </w:rPr>
                <w:t xml:space="preserve">Rommel et al. 2022</w:t>
              </w:r>
            </w:hyperlink>
            <w:r>
              <w:rPr>
                <w:rFonts w:ascii="Times New Roman" w:eastAsia="Times New Roman" w:hAnsi="Times New Roman" w:cs="Times New Roman"/>
                <w:bCs/>
                <w:sz w:val="15"/>
                <w:szCs w:val="15"/>
                <w:lang w:val="en-US"/>
              </w:rPr>
              <w:t xml:space="preserve">, J. Neural Eng.</w:t>
            </w:r>
          </w:p>
        </w:tc>
        <w:tc>
          <w:tcPr>
            <w:tcW w:w="1350" w:type="dxa"/>
            <w:vAlign w:val="center"/>
          </w:tcPr>
          <w:p>
            <w:pPr>
              <w:spacing w:before="20" w:after="20" w:line="240" w:lineRule="auto"/>
            </w:pPr>
            <w:r>
              <w:rPr>
                <w:rFonts w:ascii="Times New Roman" w:eastAsia="Times New Roman" w:hAnsi="Times New Roman" w:cs="Times New Roman"/>
                <w:bCs/>
                <w:sz w:val="15"/>
                <w:szCs w:val="15"/>
                <w:lang w:val="en-US"/>
              </w:rPr>
              <w:t xml:space="preserve">Comparison, 13 augmentations</w:t>
            </w:r>
          </w:p>
        </w:tc>
        <w:tc>
          <w:tcPr>
            <w:tcW w:w="1600" w:type="dxa"/>
            <w:vAlign w:val="center"/>
          </w:tcPr>
          <w:p>
            <w:pPr>
              <w:spacing w:before="20" w:after="20" w:line="240" w:lineRule="auto"/>
            </w:pPr>
            <w:r>
              <w:rPr>
                <w:rFonts w:ascii="Times New Roman" w:eastAsia="Times New Roman" w:hAnsi="Times New Roman" w:cs="Times New Roman"/>
                <w:b/>
                <w:bCs/>
                <w:sz w:val="15"/>
                <w:szCs w:val="15"/>
                <w:lang w:val="en-US"/>
              </w:rPr>
              <w:t xml:space="preserve">Reproduced</w:t>
            </w:r>
          </w:p>
        </w:tc>
        <w:tc>
          <w:tcPr>
            <w:tcW w:w="3300" w:type="dxa"/>
            <w:vAlign w:val="center"/>
          </w:tcPr>
          <w:p>
            <w:pPr>
              <w:spacing w:before="20" w:after="20" w:line="240" w:lineRule="auto"/>
            </w:pPr>
            <w:r>
              <w:rPr>
                <w:rFonts w:ascii="Times New Roman" w:eastAsia="Times New Roman" w:hAnsi="Times New Roman" w:cs="Times New Roman"/>
                <w:bCs/>
                <w:sz w:val="15"/>
                <w:szCs w:val="15"/>
                <w:lang w:val="en-US"/>
              </w:rPr>
              <w:t xml:space="preserve">Abstract: “We compare quantitatively 13 different augmentations”.</w:t>
            </w:r>
          </w:p>
        </w:tc>
      </w:tr>
      <w:tr>
        <w:trPr>
          <w:cantSplit/>
        </w:trPr>
        <w:tc>
          <w:tcPr>
            <w:tcW w:w="1000" w:type="dxa"/>
            <w:vMerge/>
            <w:vAlign w:val="center"/>
          </w:tcPr>
          <w:p>
            <w:pPr>
              <w:spacing w:before="20" w:after="20" w:line="240" w:lineRule="auto"/>
              <w:jc w:val="center"/>
            </w:pPr>
          </w:p>
        </w:tc>
        <w:tc>
          <w:tcPr>
            <w:tcW w:w="1750" w:type="dxa"/>
            <w:vAlign w:val="center"/>
          </w:tcPr>
          <w:p>
            <w:pPr>
              <w:spacing w:before="20" w:after="20" w:line="240" w:lineRule="auto"/>
            </w:pPr>
            <w:hyperlink r:id="rId28">
              <w:r>
                <w:rPr>
                  <w:rStyle w:val="Hyperlink"/>
                  <w:rFonts w:ascii="Times New Roman" w:eastAsia="Times New Roman" w:hAnsi="Times New Roman" w:cs="Times New Roman"/>
                  <w:bCs/>
                  <w:color w:val="0563C1"/>
                  <w:u w:val="single"/>
                  <w:sz w:val="15"/>
                  <w:szCs w:val="15"/>
                  <w:lang w:val="en-US"/>
                </w:rPr>
                <w:t xml:space="preserve">Lee et al. 2025</w:t>
              </w:r>
            </w:hyperlink>
          </w:p>
        </w:tc>
        <w:tc>
          <w:tcPr>
            <w:tcW w:w="1350" w:type="dxa"/>
            <w:vAlign w:val="center"/>
          </w:tcPr>
          <w:p>
            <w:pPr>
              <w:spacing w:before="20" w:after="20" w:line="240" w:lineRule="auto"/>
            </w:pPr>
            <w:r>
              <w:rPr>
                <w:rFonts w:ascii="Times New Roman" w:eastAsia="Times New Roman" w:hAnsi="Times New Roman" w:cs="Times New Roman"/>
                <w:bCs/>
                <w:sz w:val="15"/>
                <w:szCs w:val="15"/>
                <w:lang w:val="en-US"/>
              </w:rPr>
              <w:t xml:space="preserve">Re-evaluation of LBMs</w:t>
            </w:r>
          </w:p>
        </w:tc>
        <w:tc>
          <w:tcPr>
            <w:tcW w:w="1600" w:type="dxa"/>
            <w:vAlign w:val="center"/>
          </w:tcPr>
          <w:p>
            <w:pPr>
              <w:spacing w:before="20" w:after="20" w:line="240" w:lineRule="auto"/>
            </w:pPr>
            <w:r>
              <w:rPr>
                <w:rFonts w:ascii="Times New Roman" w:eastAsia="Times New Roman" w:hAnsi="Times New Roman" w:cs="Times New Roman"/>
                <w:b/>
                <w:bCs/>
                <w:sz w:val="15"/>
                <w:szCs w:val="15"/>
                <w:lang w:val="en-US"/>
              </w:rPr>
              <w:t xml:space="preserve">Reproduced</w:t>
            </w:r>
          </w:p>
        </w:tc>
        <w:tc>
          <w:tcPr>
            <w:tcW w:w="3300" w:type="dxa"/>
            <w:vAlign w:val="center"/>
          </w:tcPr>
          <w:p>
            <w:pPr>
              <w:spacing w:before="20" w:after="20" w:line="240" w:lineRule="auto"/>
            </w:pPr>
            <w:r>
              <w:rPr>
                <w:rFonts w:ascii="Times New Roman" w:eastAsia="Times New Roman" w:hAnsi="Times New Roman" w:cs="Times New Roman"/>
                <w:bCs/>
                <w:sz w:val="15"/>
                <w:szCs w:val="15"/>
                <w:lang w:val="en-US"/>
              </w:rPr>
              <w:t xml:space="preserve">Table 1 (p. 4): LaBraM 0.742 mean accuracy (5.85M params) vs. EEGNet 0.731 (2,394).</w:t>
            </w:r>
          </w:p>
        </w:tc>
      </w:tr>
      <w:tr>
        <w:trPr>
          <w:cantSplit/>
        </w:trPr>
        <w:tc>
          <w:tcPr>
            <w:tcW w:w="1000" w:type="dxa"/>
            <w:vMerge/>
            <w:vAlign w:val="center"/>
          </w:tcPr>
          <w:p>
            <w:pPr>
              <w:spacing w:before="20" w:after="20" w:line="240" w:lineRule="auto"/>
              <w:jc w:val="center"/>
            </w:pPr>
          </w:p>
        </w:tc>
        <w:tc>
          <w:tcPr>
            <w:tcW w:w="1750" w:type="dxa"/>
            <w:vAlign w:val="center"/>
          </w:tcPr>
          <w:p>
            <w:pPr>
              <w:spacing w:before="20" w:after="20" w:line="240" w:lineRule="auto"/>
            </w:pPr>
            <w:hyperlink r:id="rId12">
              <w:r>
                <w:rPr>
                  <w:rStyle w:val="Hyperlink"/>
                  <w:rFonts w:ascii="Times New Roman" w:eastAsia="Times New Roman" w:hAnsi="Times New Roman" w:cs="Times New Roman"/>
                  <w:bCs/>
                  <w:color w:val="0563C1"/>
                  <w:u w:val="single"/>
                  <w:sz w:val="15"/>
                  <w:szCs w:val="15"/>
                  <w:lang w:val="en-US"/>
                </w:rPr>
                <w:t xml:space="preserve">AdaBrain-Bench 2025</w:t>
              </w:r>
            </w:hyperlink>
          </w:p>
        </w:tc>
        <w:tc>
          <w:tcPr>
            <w:tcW w:w="1350" w:type="dxa"/>
            <w:vAlign w:val="center"/>
          </w:tcPr>
          <w:p>
            <w:pPr>
              <w:spacing w:before="20" w:after="20" w:line="240" w:lineRule="auto"/>
            </w:pPr>
            <w:r>
              <w:rPr>
                <w:rFonts w:ascii="Times New Roman" w:eastAsia="Times New Roman" w:hAnsi="Times New Roman" w:cs="Times New Roman"/>
                <w:bCs/>
                <w:sz w:val="15"/>
                <w:szCs w:val="15"/>
                <w:lang w:val="en-US"/>
              </w:rPr>
              <w:t xml:space="preserve">Benchmark, 13 datasets</w:t>
            </w:r>
          </w:p>
        </w:tc>
        <w:tc>
          <w:tcPr>
            <w:tcW w:w="1600" w:type="dxa"/>
            <w:vAlign w:val="center"/>
          </w:tcPr>
          <w:p>
            <w:pPr>
              <w:spacing w:before="20" w:after="20" w:line="240" w:lineRule="auto"/>
            </w:pPr>
            <w:r>
              <w:rPr>
                <w:rFonts w:ascii="Times New Roman" w:eastAsia="Times New Roman" w:hAnsi="Times New Roman" w:cs="Times New Roman"/>
                <w:b/>
                <w:bCs/>
                <w:sz w:val="15"/>
                <w:szCs w:val="15"/>
                <w:lang w:val="en-US"/>
              </w:rPr>
              <w:t xml:space="preserve">Reproduced</w:t>
            </w:r>
          </w:p>
        </w:tc>
        <w:tc>
          <w:tcPr>
            <w:tcW w:w="3300" w:type="dxa"/>
            <w:vAlign w:val="center"/>
          </w:tcPr>
          <w:p>
            <w:pPr>
              <w:spacing w:before="20" w:after="20" w:line="240" w:lineRule="auto"/>
            </w:pPr>
            <w:r>
              <w:rPr>
                <w:rFonts w:ascii="Times New Roman" w:eastAsia="Times New Roman" w:hAnsi="Times New Roman" w:cs="Times New Roman"/>
                <w:bCs/>
                <w:sz w:val="15"/>
                <w:szCs w:val="15"/>
                <w:lang w:val="en-US"/>
              </w:rPr>
              <w:t xml:space="preserve">p. 5: “uniform data splitting, standardized data preprocessing”; Table 2 (p. 6).</w:t>
            </w:r>
          </w:p>
        </w:tc>
      </w:tr>
      <w:tr>
        <w:trPr>
          <w:cantSplit/>
        </w:trPr>
        <w:tc>
          <w:tcPr>
            <w:tcW w:w="1000" w:type="dxa"/>
            <w:vMerge/>
            <w:vAlign w:val="center"/>
          </w:tcPr>
          <w:p>
            <w:pPr>
              <w:spacing w:before="20" w:after="20" w:line="240" w:lineRule="auto"/>
              <w:jc w:val="center"/>
            </w:pPr>
          </w:p>
        </w:tc>
        <w:tc>
          <w:tcPr>
            <w:tcW w:w="1750" w:type="dxa"/>
            <w:vAlign w:val="center"/>
          </w:tcPr>
          <w:p>
            <w:pPr>
              <w:spacing w:before="20" w:after="20" w:line="240" w:lineRule="auto"/>
            </w:pPr>
            <w:hyperlink r:id="rId11">
              <w:r>
                <w:rPr>
                  <w:rStyle w:val="Hyperlink"/>
                  <w:rFonts w:ascii="Times New Roman" w:eastAsia="Times New Roman" w:hAnsi="Times New Roman" w:cs="Times New Roman"/>
                  <w:bCs/>
                  <w:color w:val="0563C1"/>
                  <w:u w:val="single"/>
                  <w:sz w:val="15"/>
                  <w:szCs w:val="15"/>
                  <w:lang w:val="en-US"/>
                </w:rPr>
                <w:t xml:space="preserve">EEG-FM-Bench 2025</w:t>
              </w:r>
            </w:hyperlink>
          </w:p>
        </w:tc>
        <w:tc>
          <w:tcPr>
            <w:tcW w:w="1350" w:type="dxa"/>
            <w:vAlign w:val="center"/>
          </w:tcPr>
          <w:p>
            <w:pPr>
              <w:spacing w:before="20" w:after="20" w:line="240" w:lineRule="auto"/>
            </w:pPr>
            <w:r>
              <w:rPr>
                <w:rFonts w:ascii="Times New Roman" w:eastAsia="Times New Roman" w:hAnsi="Times New Roman" w:cs="Times New Roman"/>
                <w:bCs/>
                <w:sz w:val="15"/>
                <w:szCs w:val="15"/>
                <w:lang w:val="en-US"/>
              </w:rPr>
              <w:t xml:space="preserve">Benchmark, 7 FMs × 14 datasets</w:t>
            </w:r>
          </w:p>
        </w:tc>
        <w:tc>
          <w:tcPr>
            <w:tcW w:w="1600" w:type="dxa"/>
            <w:vAlign w:val="center"/>
          </w:tcPr>
          <w:p>
            <w:pPr>
              <w:spacing w:before="20" w:after="20" w:line="240" w:lineRule="auto"/>
            </w:pPr>
            <w:r>
              <w:rPr>
                <w:rFonts w:ascii="Times New Roman" w:eastAsia="Times New Roman" w:hAnsi="Times New Roman" w:cs="Times New Roman"/>
                <w:b/>
                <w:bCs/>
                <w:sz w:val="15"/>
                <w:szCs w:val="15"/>
                <w:lang w:val="en-US"/>
              </w:rPr>
              <w:t xml:space="preserve">Reproduced</w:t>
            </w:r>
          </w:p>
        </w:tc>
        <w:tc>
          <w:tcPr>
            <w:tcW w:w="3300" w:type="dxa"/>
            <w:vAlign w:val="center"/>
          </w:tcPr>
          <w:p>
            <w:pPr>
              <w:spacing w:before="20" w:after="20" w:line="240" w:lineRule="auto"/>
            </w:pPr>
            <w:r>
              <w:rPr>
                <w:rFonts w:ascii="Times New Roman" w:eastAsia="Times New Roman" w:hAnsi="Times New Roman" w:cs="Times New Roman"/>
                <w:bCs/>
                <w:sz w:val="15"/>
                <w:szCs w:val="15"/>
                <w:lang w:val="en-US"/>
              </w:rPr>
              <w:t xml:space="preserve">Abstract: “under released checkpoints and a matched downstream protocol”; Table 2 (p. 22).</w:t>
            </w:r>
          </w:p>
        </w:tc>
      </w:tr>
      <w:tr>
        <w:trPr>
          <w:cantSplit/>
        </w:trPr>
        <w:tc>
          <w:tcPr>
            <w:tcW w:w="1000" w:type="dxa"/>
            <w:vMerge/>
            <w:vAlign w:val="center"/>
          </w:tcPr>
          <w:p>
            <w:pPr>
              <w:spacing w:before="20" w:after="20" w:line="240" w:lineRule="auto"/>
              <w:jc w:val="center"/>
            </w:pPr>
          </w:p>
        </w:tc>
        <w:tc>
          <w:tcPr>
            <w:tcW w:w="1750" w:type="dxa"/>
            <w:vAlign w:val="center"/>
          </w:tcPr>
          <w:p>
            <w:pPr>
              <w:spacing w:before="20" w:after="20" w:line="240" w:lineRule="auto"/>
            </w:pPr>
            <w:hyperlink r:id="rId29">
              <w:r>
                <w:rPr>
                  <w:rStyle w:val="Hyperlink"/>
                  <w:rFonts w:ascii="Times New Roman" w:eastAsia="Times New Roman" w:hAnsi="Times New Roman" w:cs="Times New Roman"/>
                  <w:bCs/>
                  <w:color w:val="0563C1"/>
                  <w:u w:val="single"/>
                  <w:sz w:val="15"/>
                  <w:szCs w:val="15"/>
                  <w:lang w:val="en-US"/>
                </w:rPr>
                <w:t xml:space="preserve">EEG-Bench 2025</w:t>
              </w:r>
            </w:hyperlink>
          </w:p>
        </w:tc>
        <w:tc>
          <w:tcPr>
            <w:tcW w:w="1350" w:type="dxa"/>
            <w:vAlign w:val="center"/>
          </w:tcPr>
          <w:p>
            <w:pPr>
              <w:spacing w:before="20" w:after="20" w:line="240" w:lineRule="auto"/>
            </w:pPr>
            <w:r>
              <w:rPr>
                <w:rFonts w:ascii="Times New Roman" w:eastAsia="Times New Roman" w:hAnsi="Times New Roman" w:cs="Times New Roman"/>
                <w:bCs/>
                <w:sz w:val="15"/>
                <w:szCs w:val="15"/>
                <w:lang w:val="en-US"/>
              </w:rPr>
              <w:t xml:space="preserve">Clinical benchmark, 14 datasets</w:t>
            </w:r>
          </w:p>
        </w:tc>
        <w:tc>
          <w:tcPr>
            <w:tcW w:w="1600" w:type="dxa"/>
            <w:vAlign w:val="center"/>
          </w:tcPr>
          <w:p>
            <w:pPr>
              <w:spacing w:before="20" w:after="20" w:line="240" w:lineRule="auto"/>
            </w:pPr>
            <w:r>
              <w:rPr>
                <w:rFonts w:ascii="Times New Roman" w:eastAsia="Times New Roman" w:hAnsi="Times New Roman" w:cs="Times New Roman"/>
                <w:b/>
                <w:bCs/>
                <w:sz w:val="15"/>
                <w:szCs w:val="15"/>
                <w:lang w:val="en-US"/>
              </w:rPr>
              <w:t xml:space="preserve">Reproduced</w:t>
            </w:r>
          </w:p>
        </w:tc>
        <w:tc>
          <w:tcPr>
            <w:tcW w:w="3300" w:type="dxa"/>
            <w:vAlign w:val="center"/>
          </w:tcPr>
          <w:p>
            <w:pPr>
              <w:spacing w:before="20" w:after="20" w:line="240" w:lineRule="auto"/>
            </w:pPr>
            <w:r>
              <w:rPr>
                <w:rFonts w:ascii="Times New Roman" w:eastAsia="Times New Roman" w:hAnsi="Times New Roman" w:cs="Times New Roman"/>
                <w:bCs/>
                <w:sz w:val="15"/>
                <w:szCs w:val="15"/>
                <w:lang w:val="en-US"/>
              </w:rPr>
              <w:t xml:space="preserve">p. 4: “We use the publicly released LaBraM-Base and fine-tune it end-to-end”.</w:t>
            </w:r>
          </w:p>
        </w:tc>
      </w:tr>
      <w:tr>
        <w:trPr>
          <w:cantSplit/>
        </w:trPr>
        <w:tc>
          <w:tcPr>
            <w:tcW w:w="1000" w:type="dxa"/>
            <w:vMerge/>
            <w:vAlign w:val="center"/>
          </w:tcPr>
          <w:p>
            <w:pPr>
              <w:spacing w:before="20" w:after="20" w:line="240" w:lineRule="auto"/>
              <w:jc w:val="center"/>
            </w:pPr>
          </w:p>
        </w:tc>
        <w:tc>
          <w:tcPr>
            <w:tcW w:w="1750" w:type="dxa"/>
            <w:vAlign w:val="center"/>
          </w:tcPr>
          <w:p>
            <w:pPr>
              <w:spacing w:before="20" w:after="20" w:line="240" w:lineRule="auto"/>
            </w:pPr>
            <w:hyperlink r:id="rId30">
              <w:r>
                <w:rPr>
                  <w:rStyle w:val="Hyperlink"/>
                  <w:rFonts w:ascii="Times New Roman" w:eastAsia="Times New Roman" w:hAnsi="Times New Roman" w:cs="Times New Roman"/>
                  <w:bCs/>
                  <w:color w:val="0563C1"/>
                  <w:u w:val="single"/>
                  <w:sz w:val="15"/>
                  <w:szCs w:val="15"/>
                  <w:lang w:val="en-US"/>
                </w:rPr>
                <w:t xml:space="preserve">Brain4FMs 2026</w:t>
              </w:r>
            </w:hyperlink>
          </w:p>
        </w:tc>
        <w:tc>
          <w:tcPr>
            <w:tcW w:w="1350" w:type="dxa"/>
            <w:vAlign w:val="center"/>
          </w:tcPr>
          <w:p>
            <w:pPr>
              <w:spacing w:before="20" w:after="20" w:line="240" w:lineRule="auto"/>
            </w:pPr>
            <w:r>
              <w:rPr>
                <w:rFonts w:ascii="Times New Roman" w:eastAsia="Times New Roman" w:hAnsi="Times New Roman" w:cs="Times New Roman"/>
                <w:bCs/>
                <w:sz w:val="15"/>
                <w:szCs w:val="15"/>
                <w:lang w:val="en-US"/>
              </w:rPr>
              <w:t xml:space="preserve">Benchmark, 17 FMs</w:t>
            </w:r>
          </w:p>
        </w:tc>
        <w:tc>
          <w:tcPr>
            <w:tcW w:w="1600" w:type="dxa"/>
            <w:vAlign w:val="center"/>
          </w:tcPr>
          <w:p>
            <w:pPr>
              <w:spacing w:before="20" w:after="20" w:line="240" w:lineRule="auto"/>
            </w:pPr>
            <w:r>
              <w:rPr>
                <w:rFonts w:ascii="Times New Roman" w:eastAsia="Times New Roman" w:hAnsi="Times New Roman" w:cs="Times New Roman"/>
                <w:b/>
                <w:bCs/>
                <w:sz w:val="15"/>
                <w:szCs w:val="15"/>
                <w:lang w:val="en-US"/>
              </w:rPr>
              <w:t xml:space="preserve">Reproduced</w:t>
            </w:r>
          </w:p>
        </w:tc>
        <w:tc>
          <w:tcPr>
            <w:tcW w:w="3300" w:type="dxa"/>
            <w:vAlign w:val="center"/>
          </w:tcPr>
          <w:p>
            <w:pPr>
              <w:spacing w:before="20" w:after="20" w:line="240" w:lineRule="auto"/>
            </w:pPr>
            <w:r>
              <w:rPr>
                <w:rFonts w:ascii="Times New Roman" w:eastAsia="Times New Roman" w:hAnsi="Times New Roman" w:cs="Times New Roman"/>
                <w:bCs/>
                <w:sz w:val="15"/>
                <w:szCs w:val="15"/>
                <w:lang w:val="en-US"/>
              </w:rPr>
              <w:t xml:space="preserve">p. 2: models “with publicly available code and pretrained checkpoints”, same preprocessing for all.</w:t>
            </w:r>
          </w:p>
        </w:tc>
      </w:tr>
      <w:tr>
        <w:trPr>
          <w:cantSplit/>
        </w:trPr>
        <w:tc>
          <w:tcPr>
            <w:tcW w:w="1000" w:type="dxa"/>
            <w:vMerge/>
            <w:vAlign w:val="center"/>
          </w:tcPr>
          <w:p>
            <w:pPr>
              <w:spacing w:before="20" w:after="20" w:line="240" w:lineRule="auto"/>
              <w:jc w:val="center"/>
            </w:pPr>
          </w:p>
        </w:tc>
        <w:tc>
          <w:tcPr>
            <w:tcW w:w="1750" w:type="dxa"/>
            <w:vAlign w:val="center"/>
          </w:tcPr>
          <w:p>
            <w:pPr>
              <w:spacing w:before="20" w:after="20" w:line="240" w:lineRule="auto"/>
            </w:pPr>
            <w:hyperlink r:id="rId31">
              <w:r>
                <w:rPr>
                  <w:rStyle w:val="Hyperlink"/>
                  <w:rFonts w:ascii="Times New Roman" w:eastAsia="Times New Roman" w:hAnsi="Times New Roman" w:cs="Times New Roman"/>
                  <w:bCs/>
                  <w:color w:val="0563C1"/>
                  <w:u w:val="single"/>
                  <w:sz w:val="15"/>
                  <w:szCs w:val="15"/>
                  <w:lang w:val="en-US"/>
                </w:rPr>
                <w:t xml:space="preserve">OmniEEG-Bench 2026</w:t>
              </w:r>
            </w:hyperlink>
          </w:p>
        </w:tc>
        <w:tc>
          <w:tcPr>
            <w:tcW w:w="1350" w:type="dxa"/>
            <w:vAlign w:val="center"/>
          </w:tcPr>
          <w:p>
            <w:pPr>
              <w:spacing w:before="20" w:after="20" w:line="240" w:lineRule="auto"/>
            </w:pPr>
            <w:r>
              <w:rPr>
                <w:rFonts w:ascii="Times New Roman" w:eastAsia="Times New Roman" w:hAnsi="Times New Roman" w:cs="Times New Roman"/>
                <w:bCs/>
                <w:sz w:val="15"/>
                <w:szCs w:val="15"/>
                <w:lang w:val="en-US"/>
              </w:rPr>
              <w:t xml:space="preserve">Benchmark, 10 FMs</w:t>
            </w:r>
          </w:p>
        </w:tc>
        <w:tc>
          <w:tcPr>
            <w:tcW w:w="1600" w:type="dxa"/>
            <w:vAlign w:val="center"/>
          </w:tcPr>
          <w:p>
            <w:pPr>
              <w:spacing w:before="20" w:after="20" w:line="240" w:lineRule="auto"/>
            </w:pPr>
            <w:r>
              <w:rPr>
                <w:rFonts w:ascii="Times New Roman" w:eastAsia="Times New Roman" w:hAnsi="Times New Roman" w:cs="Times New Roman"/>
                <w:b/>
                <w:bCs/>
                <w:sz w:val="15"/>
                <w:szCs w:val="15"/>
                <w:lang w:val="en-US"/>
              </w:rPr>
              <w:t xml:space="preserve">Reproduced</w:t>
            </w:r>
          </w:p>
        </w:tc>
        <w:tc>
          <w:tcPr>
            <w:tcW w:w="3300" w:type="dxa"/>
            <w:vAlign w:val="center"/>
          </w:tcPr>
          <w:p>
            <w:pPr>
              <w:spacing w:before="20" w:after="20" w:line="240" w:lineRule="auto"/>
            </w:pPr>
            <w:r>
              <w:rPr>
                <w:rFonts w:ascii="Times New Roman" w:eastAsia="Times New Roman" w:hAnsi="Times New Roman" w:cs="Times New Roman"/>
                <w:bCs/>
                <w:sz w:val="15"/>
                <w:szCs w:val="15"/>
                <w:lang w:val="en-US"/>
              </w:rPr>
              <w:t xml:space="preserve">p. 16: included if they “provide accessible pretrained weights or reproducible implementations”.</w:t>
            </w:r>
          </w:p>
        </w:tc>
      </w:tr>
    </w:tbl>
    <w:p>
      <w:pPr>
        <w:keepNext/>
        <w:spacing w:before="120" w:after="60"/>
      </w:pPr>
    </w:p>
    <w:p>
      <w:pPr>
        <w:numPr>
          <w:ilvl w:val="1"/>
          <w:numId w:val="1"/>
        </w:numPr>
        <w:spacing w:after="40" w:line="240" w:lineRule="auto"/>
        <w:jc w:val="both"/>
        <w:rPr>
          <w:rFonts w:ascii="Times New Roman Bold" w:eastAsia="Times New Roman" w:hAnsi="Times New Roman Bold" w:cs="Times New Roman Bold"/>
          <w:b/>
          <w:sz w:val="24"/>
          <w:szCs w:val="24"/>
        </w:rPr>
      </w:pPr>
      <w:r>
        <w:rPr>
          <w:rFonts w:ascii="Times New Roman" w:eastAsia="Times New Roman" w:hAnsi="Times New Roman" w:cs="Times New Roman"/>
          <w:b/>
          <w:bCs/>
          <w:sz w:val="24"/>
          <w:szCs w:val="24"/>
          <w:lang w:val="en-US"/>
        </w:rPr>
        <w:t xml:space="preserve">None of the six reviews and surveys without their own experiments re-runs a method.</w:t>
      </w:r>
      <w:r>
        <w:rPr>
          <w:rFonts w:ascii="Times New Roman" w:eastAsia="Times New Roman" w:hAnsi="Times New Roman" w:cs="Times New Roman"/>
          <w:bCs/>
          <w:sz w:val="24"/>
          <w:szCs w:val="24"/>
          <w:lang w:val="en-US"/>
        </w:rPr>
        <w:t xml:space="preserve"> They quote or tabulate the numbers each paper reports about itself. Roy et al. pool 156 papers’ self-reported gains and warn that the result “might be biased positively”; Kuruppu et al. read some values off other papers’ plots; Zhou et al. relabel balanced accuracy as accuracy; Lai et al. decline to compare at all.</w:t>
      </w:r>
    </w:p>
    <w:p>
      <w:pPr>
        <w:numPr>
          <w:ilvl w:val="1"/>
          <w:numId w:val="1"/>
        </w:numPr>
        <w:spacing w:after="40" w:line="240" w:lineRule="auto"/>
        <w:jc w:val="both"/>
        <w:rPr>
          <w:rFonts w:ascii="Times New Roman Bold" w:eastAsia="Times New Roman" w:hAnsi="Times New Roman Bold" w:cs="Times New Roman Bold"/>
          <w:b/>
          <w:sz w:val="24"/>
          <w:szCs w:val="24"/>
        </w:rPr>
      </w:pPr>
      <w:r>
        <w:rPr>
          <w:rFonts w:ascii="Times New Roman" w:eastAsia="Times New Roman" w:hAnsi="Times New Roman" w:cs="Times New Roman"/>
          <w:b/>
          <w:bCs/>
          <w:sz w:val="24"/>
          <w:szCs w:val="24"/>
          <w:lang w:val="en-US"/>
        </w:rPr>
        <w:t xml:space="preserve">Re-running happens only in papers that call themselves benchmarks</w:t>
      </w:r>
      <w:r>
        <w:rPr>
          <w:rFonts w:ascii="Times New Roman" w:eastAsia="Times New Roman" w:hAnsi="Times New Roman" w:cs="Times New Roman"/>
          <w:bCs/>
          <w:sz w:val="24"/>
          <w:szCs w:val="24"/>
          <w:lang w:val="en-US"/>
        </w:rPr>
        <w:t xml:space="preserve">, and all ten of those re-run. None of them sets a method’s re-run number against the number its own paper reports: they rank models, so a reader cannot see which published claims hold.</w:t>
      </w:r>
    </w:p>
    <w:p>
      <w:pPr>
        <w:numPr>
          <w:ilvl w:val="1"/>
          <w:numId w:val="1"/>
        </w:numPr>
        <w:spacing w:after="40" w:line="240" w:lineRule="auto"/>
        <w:jc w:val="both"/>
        <w:rPr>
          <w:rFonts w:ascii="Times New Roman Bold" w:eastAsia="Times New Roman" w:hAnsi="Times New Roman Bold" w:cs="Times New Roman Bold"/>
          <w:b/>
          <w:sz w:val="24"/>
          <w:szCs w:val="24"/>
        </w:rPr>
      </w:pPr>
      <w:r>
        <w:rPr>
          <w:rFonts w:ascii="Times New Roman" w:eastAsia="Times New Roman" w:hAnsi="Times New Roman" w:cs="Times New Roman"/>
          <w:b/>
          <w:bCs/>
          <w:sz w:val="24"/>
          <w:szCs w:val="24"/>
          <w:lang w:val="en-US"/>
        </w:rPr>
        <w:t xml:space="preserve">Where benchmarks re-ran LaBraM and CBraMod, the margins shrink, as in my runs.</w:t>
      </w:r>
      <w:r>
        <w:rPr>
          <w:rFonts w:ascii="Times New Roman" w:eastAsia="Times New Roman" w:hAnsi="Times New Roman" w:cs="Times New Roman"/>
          <w:bCs/>
          <w:sz w:val="24"/>
          <w:szCs w:val="24"/>
          <w:lang w:val="en-US"/>
        </w:rPr>
        <w:t xml:space="preserve"> LaBraM leads CBraMod on AdaBrain-Bench’s cross-subject average (64.61 vs. 62.66). Lee et al. find LaBraM only +0.011 above EEGNet with 2,400× the parameters. LaBraM’s TUEV score drops from 0.64 to 0.59–0.60 (Table 3).</w:t>
      </w:r>
    </w:p>
    <w:p>
      <w:pPr>
        <w:numPr>
          <w:ilvl w:val="1"/>
          <w:numId w:val="1"/>
        </w:numPr>
        <w:spacing w:after="40" w:line="240" w:lineRule="auto"/>
        <w:jc w:val="both"/>
        <w:rPr>
          <w:rFonts w:ascii="Times New Roman Bold" w:eastAsia="Times New Roman" w:hAnsi="Times New Roman Bold" w:cs="Times New Roman Bold"/>
          <w:b/>
          <w:sz w:val="24"/>
          <w:szCs w:val="24"/>
        </w:rPr>
      </w:pPr>
      <w:r>
        <w:rPr>
          <w:rFonts w:ascii="Times New Roman" w:eastAsia="Times New Roman" w:hAnsi="Times New Roman" w:cs="Times New Roman"/>
          <w:b/>
          <w:bCs/>
          <w:sz w:val="24"/>
          <w:szCs w:val="24"/>
          <w:lang w:val="en-US"/>
        </w:rPr>
        <w:t xml:space="preserve">Copied numbers travel without a label.</w:t>
      </w:r>
      <w:r>
        <w:rPr>
          <w:rFonts w:ascii="Times New Roman" w:eastAsia="Times New Roman" w:hAnsi="Times New Roman" w:cs="Times New Roman"/>
          <w:bCs/>
          <w:sz w:val="24"/>
          <w:szCs w:val="24"/>
          <w:lang w:val="en-US"/>
        </w:rPr>
        <w:t xml:space="preserve"> BIOT re-implemented five baselines (Tables 4–5). LaBraM copied them (“we choose the best results”). NeuroLM reprinted LaBraM’s rows as three-seed results. CBraMod reprinted all nine rows next to its own, although it preprocessed TUEV differently (16 bipolar channels, 60 Hz notch vs. LaBraM’s 23 monopolar, 50 Hz). Zhou et al.’s survey reprinted LaBraM’s and NeuroLM’s values as “ACC”. No number was re-run along this chain and no later table marks it as copied.</w:t>
      </w:r>
    </w:p>
    <w:p>
      <w:pPr>
        <w:spacing w:after="120" w:line="240" w:lineRule="auto"/>
        <w:ind w:left="720"/>
        <w:jc w:val="both"/>
      </w:pPr>
      <w:r>
        <w:rPr>
          <w:rFonts w:ascii="Times New Roman" w:eastAsia="Times New Roman" w:hAnsi="Times New Roman" w:cs="Times New Roman"/>
          <w:b/>
          <w:bCs/>
          <w:sz w:val="24"/>
          <w:szCs w:val="24"/>
          <w:lang w:val="en-US"/>
        </w:rPr>
        <w:t xml:space="preserve">For our review</w:t>
      </w:r>
      <w:r>
        <w:rPr>
          <w:rFonts w:ascii="Times New Roman" w:eastAsia="Times New Roman" w:hAnsi="Times New Roman" w:cs="Times New Roman"/>
          <w:bCs/>
          <w:sz w:val="24"/>
          <w:szCs w:val="24"/>
          <w:lang w:val="en-US"/>
        </w:rPr>
        <w:t xml:space="preserve">, this is the gap to fill: a paper-vs-re-run column for every method, and every number in our tables marked as either re-run by us or cited (with paper and table).</w:t>
      </w:r>
    </w:p>
    <w:p>
      <w:pPr>
        <w:keepNext/>
        <w:numPr>
          <w:ilvl w:val="0"/>
          <w:numId w:val="3"/>
        </w:numPr>
        <w:spacing w:after="60" w:line="240" w:lineRule="auto"/>
        <w:jc w:val="both"/>
        <w:rPr>
          <w:rFonts w:ascii="Times New Roman Bold" w:eastAsia="Times New Roman" w:hAnsi="Times New Roman Bold" w:cs="Times New Roman Bold"/>
          <w:b/>
          <w:sz w:val="24"/>
          <w:szCs w:val="24"/>
        </w:rPr>
      </w:pPr>
      <w:r>
        <w:rPr>
          <w:rFonts w:ascii="Times New Roman Bold" w:eastAsia="Times New Roman" w:hAnsi="Times New Roman Bold" w:cs="Times New Roman Bold"/>
          <w:b/>
          <w:sz w:val="24"/>
          <w:szCs w:val="24"/>
        </w:rPr>
        <w:t xml:space="preserve">Conclusion</w:t>
      </w:r>
    </w:p>
    <w:p>
      <w:pPr>
        <w:spacing w:after="120" w:line="240" w:lineRule="auto"/>
        <w:ind w:left="720"/>
        <w:jc w:val="both"/>
      </w:pPr>
      <w:r>
        <w:rPr>
          <w:rFonts w:ascii="Times New Roman" w:eastAsia="Times New Roman" w:hAnsi="Times New Roman" w:cs="Times New Roman"/>
          <w:b/>
          <w:bCs/>
          <w:sz w:val="24"/>
          <w:szCs w:val="24"/>
          <w:lang w:val="en-US"/>
        </w:rPr>
        <w:t xml:space="preserve">LaBraM-Base holds up.</w:t>
      </w:r>
      <w:r>
        <w:rPr>
          <w:rFonts w:ascii="Times New Roman" w:eastAsia="Times New Roman" w:hAnsi="Times New Roman" w:cs="Times New Roman"/>
          <w:bCs/>
          <w:sz w:val="24"/>
          <w:szCs w:val="24"/>
          <w:lang w:val="en-US"/>
        </w:rPr>
        <w:t xml:space="preserve"> With its released code, weights and README recipe it reproduces the published LaBraM-Base numbers on 10 of 12 metrics. Its released pipeline selects the model on validation data only, and under identical conditions it ties or beats CBraMod on 3 of 4 datasets. It is a sound baseline to carry forward. </w:t>
      </w:r>
      <w:r>
        <w:rPr>
          <w:rFonts w:ascii="Times New Roman" w:eastAsia="Times New Roman" w:hAnsi="Times New Roman" w:cs="Times New Roman"/>
          <w:b/>
          <w:bCs/>
          <w:sz w:val="24"/>
          <w:szCs w:val="24"/>
          <w:lang w:val="en-US"/>
        </w:rPr>
        <w:t xml:space="preserve">LaBraM’s headline comparison is weaker than it looks.</w:t>
      </w:r>
      <w:r>
        <w:rPr>
          <w:rFonts w:ascii="Times New Roman" w:eastAsia="Times New Roman" w:hAnsi="Times New Roman" w:cs="Times New Roman"/>
          <w:bCs/>
          <w:sz w:val="24"/>
          <w:szCs w:val="24"/>
          <w:lang w:val="en-US"/>
        </w:rPr>
        <w:t xml:space="preserve"> Its baselines are copied from BIOT, picking BIOT’s best variant, and were produced on a different TUEV montage. Large and Huge cannot be checked. The code’s checkpoint rule differs from the paper’s, and independent re-runs put LaBraM-Base about 0.05 lower on TUEV. The numbers for Large/Huge and the TUEV margin should not be quoted as reference points. Existing reviews cite rather than re-run, and benchmarks re-run without checking claims, so a review that does both is new.</w:t>
      </w:r>
    </w:p>
    <w:p>
      <w:pPr>
        <w:ind w:right="90"/>
        <w:jc w:val="both"/>
        <w:rPr>
          <w:rFonts w:ascii="Times New Roman Bold" w:eastAsia="Times New Roman" w:hAnsi="Times New Roman Bold" w:cs="Times New Roman Bold"/>
          <w:b/>
          <w:sz w:val="24"/>
          <w:szCs w:val="24"/>
        </w:rPr>
      </w:pPr>
    </w:p>
    <w:p>
      <w:pPr>
        <w:keepNext/>
        <w:spacing w:line="240" w:lineRule="auto"/>
        <w:jc w:val="both"/>
        <w:rPr>
          <w:rFonts w:ascii="Times New Roman Bold" w:eastAsia="Times New Roman" w:hAnsi="Times New Roman Bold" w:cs="Times New Roman Bold"/>
          <w:b/>
          <w:sz w:val="24"/>
          <w:szCs w:val="24"/>
        </w:rPr>
      </w:pPr>
      <w:r>
        <w:rPr>
          <w:rFonts w:ascii="Times New Roman Bold" w:eastAsia="Times New Roman" w:hAnsi="Times New Roman Bold" w:cs="Times New Roman Bold"/>
          <w:b/>
          <w:sz w:val="24"/>
          <w:szCs w:val="24"/>
        </w:rPr>
        <w:t xml:space="preserve">——————————————————————————————————————</w:t>
      </w:r>
    </w:p>
    <w:p>
      <w:pPr>
        <w:keepNext/>
        <w:spacing w:line="240" w:lineRule="auto"/>
        <w:jc w:val="both"/>
        <w:rPr>
          <w:rFonts w:ascii="Times New Roman Bold" w:eastAsia="Times New Roman" w:hAnsi="Times New Roman Bold" w:cs="Times New Roman Bold"/>
          <w:b/>
          <w:sz w:val="24"/>
          <w:szCs w:val="24"/>
        </w:rPr>
      </w:pPr>
      <w:r>
        <w:rPr>
          <w:rFonts w:ascii="Times New Roman Bold" w:eastAsia="Times New Roman" w:hAnsi="Times New Roman Bold" w:cs="Times New Roman Bold"/>
          <w:b/>
          <w:sz w:val="24"/>
          <w:szCs w:val="24"/>
        </w:rPr>
        <w:t xml:space="preserve">IV. Plan for next week</w:t>
      </w:r>
    </w:p>
    <w:p>
      <w:pPr>
        <w:keepNext/>
        <w:spacing w:line="240" w:lineRule="auto"/>
        <w:jc w:val="both"/>
        <w:rPr>
          <w:rFonts w:ascii="Times New Roman Bold" w:eastAsia="Times New Roman" w:hAnsi="Times New Roman Bold" w:cs="Times New Roman Bold"/>
          <w:b/>
          <w:sz w:val="24"/>
          <w:szCs w:val="24"/>
        </w:rPr>
      </w:pPr>
      <w:r>
        <w:rPr>
          <w:rFonts w:ascii="Times New Roman Bold" w:eastAsia="Times New Roman" w:hAnsi="Times New Roman Bold" w:cs="Times New Roman Bold"/>
          <w:b/>
          <w:sz w:val="24"/>
          <w:szCs w:val="24"/>
        </w:rPr>
        <w:t xml:space="preserve">——————————————————————————————————————</w:t>
      </w:r>
    </w:p>
    <w:p>
      <w:pPr>
        <w:numPr>
          <w:ilvl w:val="0"/>
          <w:numId w:val="1"/>
        </w:numPr>
        <w:spacing w:line="240" w:lineRule="auto"/>
        <w:jc w:val="both"/>
        <w:rPr>
          <w:rFonts w:ascii="Times New Roman Bold" w:eastAsia="Times New Roman" w:hAnsi="Times New Roman Bold" w:cs="Times New Roman Bold"/>
          <w:b/>
          <w:sz w:val="24"/>
          <w:szCs w:val="24"/>
        </w:rPr>
      </w:pPr>
      <w:r>
        <w:rPr>
          <w:rFonts w:ascii="Times New Roman" w:eastAsia="Times New Roman" w:hAnsi="Times New Roman" w:cs="Times New Roman"/>
          <w:bCs/>
          <w:sz w:val="24"/>
          <w:szCs w:val="24"/>
          <w:lang w:val="en-US"/>
        </w:rPr>
        <w:t xml:space="preserve">Apply for TUH EEG access (TUAB, TUEV) and re-run LaBraM-Base and CBraMod on LaBraM’s own splits, to check LaBraM Tables 1–2 directly and to test the TUEV duplicate-sample issue on the data.</w:t>
      </w:r>
    </w:p>
    <w:p>
      <w:pPr>
        <w:numPr>
          <w:ilvl w:val="0"/>
          <w:numId w:val="1"/>
        </w:numPr>
        <w:spacing w:line="240" w:lineRule="auto"/>
        <w:jc w:val="both"/>
        <w:rPr>
          <w:rFonts w:ascii="Times New Roman Bold" w:eastAsia="Times New Roman" w:hAnsi="Times New Roman Bold" w:cs="Times New Roman Bold"/>
          <w:b/>
          <w:sz w:val="24"/>
          <w:szCs w:val="24"/>
        </w:rPr>
      </w:pPr>
      <w:r>
        <w:rPr>
          <w:rFonts w:ascii="Times New Roman" w:eastAsia="Times New Roman" w:hAnsi="Times New Roman" w:cs="Times New Roman"/>
          <w:bCs/>
          <w:sz w:val="24"/>
          <w:szCs w:val="24"/>
          <w:lang w:val="en-US"/>
        </w:rPr>
        <w:t xml:space="preserve">Re-run the EEG Conformer baselines (ConvNet, EEGNet) under one protocol, carried over from the EEG Conformer report.</w:t>
      </w:r>
    </w:p>
    <w:p>
      <w:pPr>
        <w:numPr>
          <w:ilvl w:val="0"/>
          <w:numId w:val="1"/>
        </w:numPr>
        <w:spacing w:line="240" w:lineRule="auto"/>
        <w:jc w:val="both"/>
        <w:rPr>
          <w:rFonts w:ascii="Times New Roman Bold" w:eastAsia="Times New Roman" w:hAnsi="Times New Roman Bold" w:cs="Times New Roman Bold"/>
          <w:b/>
          <w:sz w:val="24"/>
          <w:szCs w:val="24"/>
        </w:rPr>
      </w:pPr>
      <w:r>
        <w:rPr>
          <w:rFonts w:ascii="Times New Roman" w:eastAsia="Times New Roman" w:hAnsi="Times New Roman" w:cs="Times New Roman"/>
          <w:bCs/>
          <w:sz w:val="24"/>
          <w:szCs w:val="24"/>
          <w:lang w:val="en-US"/>
        </w:rPr>
        <w:t xml:space="preserve">Start the review’s results table with a re-run / cited flag and source table for every number, and add the 21 papers above to its related-work section.</w:t>
      </w:r>
    </w:p>
    <w:p>
      <w:pPr>
        <w:ind w:right="90"/>
        <w:jc w:val="both"/>
        <w:rPr>
          <w:rFonts w:ascii="Times New Roman Bold" w:eastAsia="Times New Roman" w:hAnsi="Times New Roman Bold" w:cs="Times New Roman Bold"/>
          <w:b/>
          <w:sz w:val="24"/>
          <w:szCs w:val="24"/>
        </w:rPr>
      </w:pPr>
    </w:p>
    <w:sectPr w:rsidR="00423518">
      <w:pgSz w:w="12240" w:h="15840"/>
      <w:pgMar w:top="1440" w:right="1440" w:bottom="1440" w:left="1440" w:header="0" w:footer="0" w:gutter="0"/>
      <w:pgNumType w:start="1"/>
      <w:cols w:space="720"/>
      <w:formProt w:val="0"/>
      <w:docGrid w:linePitch="24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F79F3D5" w14:textId="77777777" w:rsidR="00A8291E" w:rsidRDefault="00A8291E">
      <w:pPr>
        <w:spacing w:line="240" w:lineRule="auto"/>
      </w:pPr>
      <w:r>
        <w:separator/>
      </w:r>
    </w:p>
  </w:endnote>
  <w:endnote w:type="continuationSeparator" w:id="0">
    <w:p w14:paraId="59CC4863" w14:textId="77777777" w:rsidR="00A8291E" w:rsidRDefault="00A829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Segoe UI Symbol"/>
    <w:panose1 w:val="020B0604020202020204"/>
    <w:charset w:val="02"/>
    <w:family w:val="auto"/>
    <w:pitch w:val="default"/>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FreeSans">
    <w:altName w:val="苹方-简"/>
    <w:panose1 w:val="020B0604020202020204"/>
    <w:charset w:val="00"/>
    <w:family w:val="auto"/>
    <w:pitch w:val="default"/>
  </w:font>
  <w:font w:name="Noto Sans Symbols">
    <w:altName w:val="苹方-简"/>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Liberation Sans">
    <w:altName w:val="Arial"/>
    <w:panose1 w:val="020B0604020202020204"/>
    <w:charset w:val="01"/>
    <w:family w:val="swiss"/>
    <w:pitch w:val="default"/>
  </w:font>
  <w:font w:name="Noto Sans CJK SC Regular">
    <w:altName w:val="苹方-简"/>
    <w:panose1 w:val="020B0604020202020204"/>
    <w:charset w:val="00"/>
    <w:family w:val="auto"/>
    <w:pitch w:val="default"/>
  </w:font>
  <w:font w:name="Times New Roman Bold">
    <w:altName w:val="Times New Roman"/>
    <w:panose1 w:val="020B0604020202020204"/>
    <w:charset w:val="00"/>
    <w:family w:val="auto"/>
    <w:pitch w:val="default"/>
  </w:font>
  <w:font w:name="Wingdings">
    <w:panose1 w:val="05000000000000000000"/>
    <w:charset w:val="4D"/>
    <w:family w:val="decorative"/>
    <w:pitch w:val="variable"/>
    <w:sig w:usb0="00000003" w:usb1="00000000" w:usb2="00000000" w:usb3="00000000" w:csb0="8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6E0716A" w14:textId="77777777" w:rsidR="00A8291E" w:rsidRDefault="00A8291E">
      <w:r>
        <w:separator/>
      </w:r>
    </w:p>
  </w:footnote>
  <w:footnote w:type="continuationSeparator" w:id="0">
    <w:p w14:paraId="2AF9937D" w14:textId="77777777" w:rsidR="00A8291E" w:rsidRDefault="00A829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2FFDE1C"/>
    <w:multiLevelType w:val="multilevel"/>
    <w:tmpl w:val="62FFDE1C"/>
    <w:lvl w:ilvl="0">
      <w:start w:val="1"/>
      <w:numFmt w:val="bullet"/>
      <w:lvlText w:val=""/>
      <w:lvlJc w:val="left"/>
      <w:pPr>
        <w:tabs>
          <w:tab w:val="left" w:pos="720"/>
        </w:tabs>
        <w:ind w:left="720" w:hanging="360"/>
      </w:pPr>
      <w:rPr>
        <w:rFonts w:ascii="Symbol" w:hAnsi="Symbol" w:cs="OpenSymbol" w:hint="default"/>
      </w:rPr>
    </w:lvl>
    <w:lvl w:ilvl="1">
      <w:start w:val="1"/>
      <w:numFmt w:val="bullet"/>
      <w:lvlText w:val="◦"/>
      <w:lvlJc w:val="left"/>
      <w:pPr>
        <w:tabs>
          <w:tab w:val="left" w:pos="1080"/>
        </w:tabs>
        <w:ind w:left="1080" w:hanging="360"/>
      </w:pPr>
      <w:rPr>
        <w:rFonts w:ascii="OpenSymbol" w:hAnsi="OpenSymbol" w:cs="OpenSymbol" w:hint="default"/>
      </w:rPr>
    </w:lvl>
    <w:lvl w:ilvl="2">
      <w:start w:val="1"/>
      <w:numFmt w:val="bullet"/>
      <w:lvlText w:val="▪"/>
      <w:lvlJc w:val="left"/>
      <w:pPr>
        <w:tabs>
          <w:tab w:val="left" w:pos="1440"/>
        </w:tabs>
        <w:ind w:left="1440" w:hanging="360"/>
      </w:pPr>
      <w:rPr>
        <w:rFonts w:ascii="OpenSymbol" w:hAnsi="OpenSymbol" w:cs="OpenSymbol" w:hint="default"/>
      </w:rPr>
    </w:lvl>
    <w:lvl w:ilvl="3">
      <w:start w:val="1"/>
      <w:numFmt w:val="bullet"/>
      <w:lvlText w:val=""/>
      <w:lvlJc w:val="left"/>
      <w:pPr>
        <w:tabs>
          <w:tab w:val="left" w:pos="1800"/>
        </w:tabs>
        <w:ind w:left="1800" w:hanging="360"/>
      </w:pPr>
      <w:rPr>
        <w:rFonts w:ascii="Symbol" w:hAnsi="Symbol" w:cs="OpenSymbol" w:hint="default"/>
      </w:rPr>
    </w:lvl>
    <w:lvl w:ilvl="4">
      <w:start w:val="1"/>
      <w:numFmt w:val="bullet"/>
      <w:lvlText w:val="◦"/>
      <w:lvlJc w:val="left"/>
      <w:pPr>
        <w:tabs>
          <w:tab w:val="left" w:pos="2160"/>
        </w:tabs>
        <w:ind w:left="2160" w:hanging="360"/>
      </w:pPr>
      <w:rPr>
        <w:rFonts w:ascii="OpenSymbol" w:hAnsi="OpenSymbol" w:cs="OpenSymbol" w:hint="default"/>
      </w:rPr>
    </w:lvl>
    <w:lvl w:ilvl="5">
      <w:start w:val="1"/>
      <w:numFmt w:val="bullet"/>
      <w:lvlText w:val="▪"/>
      <w:lvlJc w:val="left"/>
      <w:pPr>
        <w:tabs>
          <w:tab w:val="left" w:pos="2520"/>
        </w:tabs>
        <w:ind w:left="2520" w:hanging="360"/>
      </w:pPr>
      <w:rPr>
        <w:rFonts w:ascii="OpenSymbol" w:hAnsi="OpenSymbol" w:cs="OpenSymbol" w:hint="default"/>
      </w:rPr>
    </w:lvl>
    <w:lvl w:ilvl="6">
      <w:start w:val="1"/>
      <w:numFmt w:val="bullet"/>
      <w:lvlText w:val=""/>
      <w:lvlJc w:val="left"/>
      <w:pPr>
        <w:tabs>
          <w:tab w:val="left" w:pos="2880"/>
        </w:tabs>
        <w:ind w:left="2880" w:hanging="360"/>
      </w:pPr>
      <w:rPr>
        <w:rFonts w:ascii="Symbol" w:hAnsi="Symbol" w:cs="OpenSymbol" w:hint="default"/>
      </w:rPr>
    </w:lvl>
    <w:lvl w:ilvl="7">
      <w:start w:val="1"/>
      <w:numFmt w:val="bullet"/>
      <w:lvlText w:val="◦"/>
      <w:lvlJc w:val="left"/>
      <w:pPr>
        <w:tabs>
          <w:tab w:val="left" w:pos="3240"/>
        </w:tabs>
        <w:ind w:left="3240" w:hanging="360"/>
      </w:pPr>
      <w:rPr>
        <w:rFonts w:ascii="OpenSymbol" w:hAnsi="OpenSymbol" w:cs="OpenSymbol" w:hint="default"/>
      </w:rPr>
    </w:lvl>
    <w:lvl w:ilvl="8">
      <w:start w:val="1"/>
      <w:numFmt w:val="bullet"/>
      <w:lvlText w:val="▪"/>
      <w:lvlJc w:val="left"/>
      <w:pPr>
        <w:tabs>
          <w:tab w:val="left" w:pos="3600"/>
        </w:tabs>
        <w:ind w:left="3600" w:hanging="360"/>
      </w:pPr>
      <w:rPr>
        <w:rFonts w:ascii="OpenSymbol" w:hAnsi="OpenSymbol" w:cs="OpenSymbol" w:hint="default"/>
      </w:rPr>
    </w:lvl>
  </w:abstractNum>
  <w:abstractNum w:abstractNumId="1" w15:restartNumberingAfterBreak="0">
    <w:nsid w:val="62FFDE27"/>
    <w:multiLevelType w:val="multilevel"/>
    <w:tmpl w:val="62FFDE27"/>
    <w:lvl w:ilvl="0">
      <w:start w:val="1"/>
      <w:numFmt w:val="bullet"/>
      <w:lvlText w:val=""/>
      <w:lvlJc w:val="left"/>
      <w:pPr>
        <w:tabs>
          <w:tab w:val="left" w:pos="720"/>
        </w:tabs>
        <w:ind w:left="720" w:hanging="360"/>
      </w:pPr>
      <w:rPr>
        <w:rFonts w:ascii="Symbol" w:hAnsi="Symbol" w:cs="OpenSymbol" w:hint="default"/>
      </w:rPr>
    </w:lvl>
    <w:lvl w:ilvl="1">
      <w:start w:val="1"/>
      <w:numFmt w:val="bullet"/>
      <w:lvlText w:val="◦"/>
      <w:lvlJc w:val="left"/>
      <w:pPr>
        <w:tabs>
          <w:tab w:val="left" w:pos="1080"/>
        </w:tabs>
        <w:ind w:left="1080" w:hanging="360"/>
      </w:pPr>
      <w:rPr>
        <w:rFonts w:ascii="OpenSymbol" w:hAnsi="OpenSymbol" w:cs="OpenSymbol" w:hint="default"/>
      </w:rPr>
    </w:lvl>
    <w:lvl w:ilvl="2">
      <w:start w:val="1"/>
      <w:numFmt w:val="bullet"/>
      <w:lvlText w:val="▪"/>
      <w:lvlJc w:val="left"/>
      <w:pPr>
        <w:tabs>
          <w:tab w:val="left" w:pos="1440"/>
        </w:tabs>
        <w:ind w:left="1440" w:hanging="360"/>
      </w:pPr>
      <w:rPr>
        <w:rFonts w:ascii="OpenSymbol" w:hAnsi="OpenSymbol" w:cs="OpenSymbol" w:hint="default"/>
      </w:rPr>
    </w:lvl>
    <w:lvl w:ilvl="3">
      <w:start w:val="1"/>
      <w:numFmt w:val="bullet"/>
      <w:lvlText w:val=""/>
      <w:lvlJc w:val="left"/>
      <w:pPr>
        <w:tabs>
          <w:tab w:val="left" w:pos="1800"/>
        </w:tabs>
        <w:ind w:left="1800" w:hanging="360"/>
      </w:pPr>
      <w:rPr>
        <w:rFonts w:ascii="Symbol" w:hAnsi="Symbol" w:cs="OpenSymbol" w:hint="default"/>
      </w:rPr>
    </w:lvl>
    <w:lvl w:ilvl="4">
      <w:start w:val="1"/>
      <w:numFmt w:val="bullet"/>
      <w:lvlText w:val="◦"/>
      <w:lvlJc w:val="left"/>
      <w:pPr>
        <w:tabs>
          <w:tab w:val="left" w:pos="2160"/>
        </w:tabs>
        <w:ind w:left="2160" w:hanging="360"/>
      </w:pPr>
      <w:rPr>
        <w:rFonts w:ascii="OpenSymbol" w:hAnsi="OpenSymbol" w:cs="OpenSymbol" w:hint="default"/>
      </w:rPr>
    </w:lvl>
    <w:lvl w:ilvl="5">
      <w:start w:val="1"/>
      <w:numFmt w:val="bullet"/>
      <w:lvlText w:val="▪"/>
      <w:lvlJc w:val="left"/>
      <w:pPr>
        <w:tabs>
          <w:tab w:val="left" w:pos="2520"/>
        </w:tabs>
        <w:ind w:left="2520" w:hanging="360"/>
      </w:pPr>
      <w:rPr>
        <w:rFonts w:ascii="OpenSymbol" w:hAnsi="OpenSymbol" w:cs="OpenSymbol" w:hint="default"/>
      </w:rPr>
    </w:lvl>
    <w:lvl w:ilvl="6">
      <w:start w:val="1"/>
      <w:numFmt w:val="bullet"/>
      <w:lvlText w:val=""/>
      <w:lvlJc w:val="left"/>
      <w:pPr>
        <w:tabs>
          <w:tab w:val="left" w:pos="2880"/>
        </w:tabs>
        <w:ind w:left="2880" w:hanging="360"/>
      </w:pPr>
      <w:rPr>
        <w:rFonts w:ascii="Symbol" w:hAnsi="Symbol" w:cs="OpenSymbol" w:hint="default"/>
      </w:rPr>
    </w:lvl>
    <w:lvl w:ilvl="7">
      <w:start w:val="1"/>
      <w:numFmt w:val="bullet"/>
      <w:lvlText w:val="◦"/>
      <w:lvlJc w:val="left"/>
      <w:pPr>
        <w:tabs>
          <w:tab w:val="left" w:pos="3240"/>
        </w:tabs>
        <w:ind w:left="3240" w:hanging="360"/>
      </w:pPr>
      <w:rPr>
        <w:rFonts w:ascii="OpenSymbol" w:hAnsi="OpenSymbol" w:cs="OpenSymbol" w:hint="default"/>
      </w:rPr>
    </w:lvl>
    <w:lvl w:ilvl="8">
      <w:start w:val="1"/>
      <w:numFmt w:val="bullet"/>
      <w:lvlText w:val="▪"/>
      <w:lvlJc w:val="left"/>
      <w:pPr>
        <w:tabs>
          <w:tab w:val="left" w:pos="3600"/>
        </w:tabs>
        <w:ind w:left="3600" w:hanging="360"/>
      </w:pPr>
      <w:rPr>
        <w:rFonts w:ascii="OpenSymbol" w:hAnsi="OpenSymbol" w:cs="OpenSymbol" w:hint="default"/>
      </w:rPr>
    </w:lvl>
  </w:abstractNum>
  <w:abstractNum w:abstractNumId="2" w15:restartNumberingAfterBreak="0">
    <w:nsid w:val="62FFDE32"/>
    <w:multiLevelType w:val="multilevel"/>
    <w:tmpl w:val="62FFDE32"/>
    <w:lvl w:ilvl="0">
      <w:start w:val="1"/>
      <w:numFmt w:val="decimal"/>
      <w:lvlText w:val="%1."/>
      <w:lvlJc w:val="left"/>
      <w:pPr>
        <w:tabs>
          <w:tab w:val="left" w:pos="720"/>
        </w:tabs>
        <w:ind w:left="720" w:hanging="360"/>
      </w:p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3" w15:restartNumberingAfterBreak="0">
    <w:nsid w:val="62FFDE48"/>
    <w:multiLevelType w:val="multilevel"/>
    <w:tmpl w:val="62FFDE48"/>
    <w:lvl w:ilvl="0">
      <w:start w:val="1"/>
      <w:numFmt w:val="bullet"/>
      <w:lvlText w:val=""/>
      <w:lvlJc w:val="left"/>
      <w:pPr>
        <w:tabs>
          <w:tab w:val="left" w:pos="720"/>
        </w:tabs>
        <w:ind w:left="720" w:hanging="360"/>
      </w:pPr>
      <w:rPr>
        <w:rFonts w:ascii="Symbol" w:hAnsi="Symbol" w:cs="OpenSymbol" w:hint="default"/>
      </w:rPr>
    </w:lvl>
    <w:lvl w:ilvl="1">
      <w:start w:val="1"/>
      <w:numFmt w:val="bullet"/>
      <w:lvlText w:val="◦"/>
      <w:lvlJc w:val="left"/>
      <w:pPr>
        <w:tabs>
          <w:tab w:val="left" w:pos="1080"/>
        </w:tabs>
        <w:ind w:left="1080" w:hanging="360"/>
      </w:pPr>
      <w:rPr>
        <w:rFonts w:ascii="OpenSymbol" w:hAnsi="OpenSymbol" w:cs="OpenSymbol" w:hint="default"/>
      </w:rPr>
    </w:lvl>
    <w:lvl w:ilvl="2">
      <w:start w:val="1"/>
      <w:numFmt w:val="bullet"/>
      <w:lvlText w:val="▪"/>
      <w:lvlJc w:val="left"/>
      <w:pPr>
        <w:tabs>
          <w:tab w:val="left" w:pos="1440"/>
        </w:tabs>
        <w:ind w:left="1440" w:hanging="360"/>
      </w:pPr>
      <w:rPr>
        <w:rFonts w:ascii="OpenSymbol" w:hAnsi="OpenSymbol" w:cs="OpenSymbol" w:hint="default"/>
      </w:rPr>
    </w:lvl>
    <w:lvl w:ilvl="3">
      <w:start w:val="1"/>
      <w:numFmt w:val="bullet"/>
      <w:lvlText w:val=""/>
      <w:lvlJc w:val="left"/>
      <w:pPr>
        <w:tabs>
          <w:tab w:val="left" w:pos="1800"/>
        </w:tabs>
        <w:ind w:left="1800" w:hanging="360"/>
      </w:pPr>
      <w:rPr>
        <w:rFonts w:ascii="Symbol" w:hAnsi="Symbol" w:cs="OpenSymbol" w:hint="default"/>
      </w:rPr>
    </w:lvl>
    <w:lvl w:ilvl="4">
      <w:start w:val="1"/>
      <w:numFmt w:val="bullet"/>
      <w:lvlText w:val="◦"/>
      <w:lvlJc w:val="left"/>
      <w:pPr>
        <w:tabs>
          <w:tab w:val="left" w:pos="2160"/>
        </w:tabs>
        <w:ind w:left="2160" w:hanging="360"/>
      </w:pPr>
      <w:rPr>
        <w:rFonts w:ascii="OpenSymbol" w:hAnsi="OpenSymbol" w:cs="OpenSymbol" w:hint="default"/>
      </w:rPr>
    </w:lvl>
    <w:lvl w:ilvl="5">
      <w:start w:val="1"/>
      <w:numFmt w:val="bullet"/>
      <w:lvlText w:val="▪"/>
      <w:lvlJc w:val="left"/>
      <w:pPr>
        <w:tabs>
          <w:tab w:val="left" w:pos="2520"/>
        </w:tabs>
        <w:ind w:left="2520" w:hanging="360"/>
      </w:pPr>
      <w:rPr>
        <w:rFonts w:ascii="OpenSymbol" w:hAnsi="OpenSymbol" w:cs="OpenSymbol" w:hint="default"/>
      </w:rPr>
    </w:lvl>
    <w:lvl w:ilvl="6">
      <w:start w:val="1"/>
      <w:numFmt w:val="bullet"/>
      <w:lvlText w:val=""/>
      <w:lvlJc w:val="left"/>
      <w:pPr>
        <w:tabs>
          <w:tab w:val="left" w:pos="2880"/>
        </w:tabs>
        <w:ind w:left="2880" w:hanging="360"/>
      </w:pPr>
      <w:rPr>
        <w:rFonts w:ascii="Symbol" w:hAnsi="Symbol" w:cs="OpenSymbol" w:hint="default"/>
      </w:rPr>
    </w:lvl>
    <w:lvl w:ilvl="7">
      <w:start w:val="1"/>
      <w:numFmt w:val="bullet"/>
      <w:lvlText w:val="◦"/>
      <w:lvlJc w:val="left"/>
      <w:pPr>
        <w:tabs>
          <w:tab w:val="left" w:pos="3240"/>
        </w:tabs>
        <w:ind w:left="3240" w:hanging="360"/>
      </w:pPr>
      <w:rPr>
        <w:rFonts w:ascii="OpenSymbol" w:hAnsi="OpenSymbol" w:cs="OpenSymbol" w:hint="default"/>
      </w:rPr>
    </w:lvl>
    <w:lvl w:ilvl="8">
      <w:start w:val="1"/>
      <w:numFmt w:val="bullet"/>
      <w:lvlText w:val="▪"/>
      <w:lvlJc w:val="left"/>
      <w:pPr>
        <w:tabs>
          <w:tab w:val="left" w:pos="3600"/>
        </w:tabs>
        <w:ind w:left="3600" w:hanging="360"/>
      </w:pPr>
      <w:rPr>
        <w:rFonts w:ascii="OpenSymbol" w:hAnsi="OpenSymbol" w:cs="OpenSymbol" w:hint="default"/>
      </w:rPr>
    </w:lvl>
  </w:abstractNum>
  <w:num w:numId="1" w16cid:durableId="979307133">
    <w:abstractNumId w:val="0"/>
  </w:num>
  <w:num w:numId="2" w16cid:durableId="1351839268">
    <w:abstractNumId w:val="1"/>
  </w:num>
  <w:num w:numId="3" w16cid:durableId="1913199821">
    <w:abstractNumId w:val="2"/>
  </w:num>
  <w:num w:numId="4" w16cid:durableId="2065638719">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9"/>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5532"/>
    <w:rsid w:val="00096208"/>
    <w:rsid w:val="00122AB3"/>
    <w:rsid w:val="00215532"/>
    <w:rsid w:val="002E6D9E"/>
    <w:rsid w:val="00392339"/>
    <w:rsid w:val="003D7F6F"/>
    <w:rsid w:val="00422257"/>
    <w:rsid w:val="00423518"/>
    <w:rsid w:val="005854D3"/>
    <w:rsid w:val="005E6C6B"/>
    <w:rsid w:val="005F7A7D"/>
    <w:rsid w:val="008770D2"/>
    <w:rsid w:val="008B0504"/>
    <w:rsid w:val="008E4CA5"/>
    <w:rsid w:val="00A8291E"/>
    <w:rsid w:val="00AE295E"/>
    <w:rsid w:val="00B355B1"/>
    <w:rsid w:val="00B41796"/>
    <w:rsid w:val="00CD1329"/>
    <w:rsid w:val="00D70B35"/>
    <w:rsid w:val="00E850E9"/>
    <w:rsid w:val="00E9138B"/>
    <w:rsid w:val="00EA02A3"/>
    <w:rsid w:val="00F1326A"/>
    <w:rsid w:val="00F34D5A"/>
    <w:rsid w:val="00F60802"/>
    <w:rsid w:val="00FC05DD"/>
    <w:rsid w:val="2EDC0F66"/>
    <w:rsid w:val="5DFFE9CF"/>
    <w:rsid w:val="75FFE0FD"/>
    <w:rsid w:val="77B1E31C"/>
    <w:rsid w:val="77F720D8"/>
    <w:rsid w:val="78EA939A"/>
    <w:rsid w:val="78F83FBE"/>
    <w:rsid w:val="7F3F692A"/>
    <w:rsid w:val="7FFB409C"/>
    <w:rsid w:val="9F5B1CBC"/>
    <w:rsid w:val="CFFFCE9D"/>
    <w:rsid w:val="DDCD51BE"/>
    <w:rsid w:val="EEFAA1ED"/>
    <w:rsid w:val="EF5352AD"/>
    <w:rsid w:val="F3F31605"/>
    <w:rsid w:val="F6BEE645"/>
    <w:rsid w:val="FBDFC460"/>
    <w:rsid w:val="FFD31CDF"/>
  </w:rsids>
  <m:mathPr>
    <m:mathFont m:val="Cambria Math"/>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decimalSymbol w:val="."/>
  <w:listSeparator w:val=","/>
  <w14:docId w14:val="481454B5"/>
  <w15:docId w15:val="{367F4282-87A3-DF42-9908-D50C1BAC9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qFormat="1"/>
    <w:lsdException w:name="List"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pacing w:line="276" w:lineRule="auto"/>
    </w:pPr>
    <w:rPr>
      <w:rFonts w:ascii="Arial" w:eastAsia="Arial" w:hAnsi="Arial" w:cs="Arial"/>
      <w:sz w:val="22"/>
      <w:szCs w:val="22"/>
      <w:lang w:val="en" w:eastAsia="zh-CN" w:bidi="hi-IN"/>
    </w:rPr>
  </w:style>
  <w:style w:type="paragraph" w:styleId="Heading1">
    <w:name w:val="heading 1"/>
    <w:basedOn w:val="LO-normal"/>
    <w:next w:val="Normal"/>
    <w:qFormat/>
    <w:pPr>
      <w:keepNext/>
      <w:keepLines/>
      <w:spacing w:before="400" w:after="120" w:line="240" w:lineRule="auto"/>
      <w:outlineLvl w:val="0"/>
    </w:pPr>
    <w:rPr>
      <w:sz w:val="40"/>
      <w:szCs w:val="40"/>
    </w:rPr>
  </w:style>
  <w:style w:type="paragraph" w:styleId="Heading2">
    <w:name w:val="heading 2"/>
    <w:basedOn w:val="LO-normal"/>
    <w:next w:val="Normal"/>
    <w:qFormat/>
    <w:pPr>
      <w:keepNext/>
      <w:keepLines/>
      <w:spacing w:before="360" w:after="120" w:line="240" w:lineRule="auto"/>
      <w:outlineLvl w:val="1"/>
    </w:pPr>
    <w:rPr>
      <w:sz w:val="32"/>
      <w:szCs w:val="32"/>
    </w:rPr>
  </w:style>
  <w:style w:type="paragraph" w:styleId="Heading3">
    <w:name w:val="heading 3"/>
    <w:basedOn w:val="LO-normal"/>
    <w:next w:val="Normal"/>
    <w:qFormat/>
    <w:pPr>
      <w:keepNext/>
      <w:keepLines/>
      <w:spacing w:before="320" w:after="80" w:line="240" w:lineRule="auto"/>
      <w:outlineLvl w:val="2"/>
    </w:pPr>
    <w:rPr>
      <w:color w:val="434343"/>
      <w:sz w:val="28"/>
      <w:szCs w:val="28"/>
    </w:rPr>
  </w:style>
  <w:style w:type="paragraph" w:styleId="Heading4">
    <w:name w:val="heading 4"/>
    <w:basedOn w:val="LO-normal"/>
    <w:next w:val="Normal"/>
    <w:qFormat/>
    <w:pPr>
      <w:keepNext/>
      <w:keepLines/>
      <w:spacing w:before="280" w:after="80" w:line="240" w:lineRule="auto"/>
      <w:outlineLvl w:val="3"/>
    </w:pPr>
    <w:rPr>
      <w:color w:val="666666"/>
      <w:sz w:val="24"/>
      <w:szCs w:val="24"/>
    </w:rPr>
  </w:style>
  <w:style w:type="paragraph" w:styleId="Heading5">
    <w:name w:val="heading 5"/>
    <w:basedOn w:val="LO-normal"/>
    <w:next w:val="Normal"/>
    <w:qFormat/>
    <w:pPr>
      <w:keepNext/>
      <w:keepLines/>
      <w:spacing w:before="240" w:after="80" w:line="240" w:lineRule="auto"/>
      <w:outlineLvl w:val="4"/>
    </w:pPr>
    <w:rPr>
      <w:color w:val="666666"/>
    </w:rPr>
  </w:style>
  <w:style w:type="paragraph" w:styleId="Heading6">
    <w:name w:val="heading 6"/>
    <w:basedOn w:val="LO-normal"/>
    <w:next w:val="Normal"/>
    <w:qFormat/>
    <w:pPr>
      <w:keepNext/>
      <w:keepLines/>
      <w:spacing w:before="240" w:after="80" w:line="240" w:lineRule="auto"/>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O-normal">
    <w:name w:val="LO-normal"/>
    <w:qFormat/>
    <w:pPr>
      <w:spacing w:line="276" w:lineRule="auto"/>
    </w:pPr>
    <w:rPr>
      <w:rFonts w:ascii="Arial" w:eastAsia="Arial" w:hAnsi="Arial" w:cs="Arial"/>
      <w:sz w:val="22"/>
      <w:szCs w:val="22"/>
      <w:lang w:val="en" w:eastAsia="zh-CN" w:bidi="hi-IN"/>
    </w:rPr>
  </w:style>
  <w:style w:type="paragraph" w:styleId="BodyText">
    <w:name w:val="Body Text"/>
    <w:basedOn w:val="Normal"/>
    <w:qFormat/>
    <w:pPr>
      <w:spacing w:after="140" w:line="288" w:lineRule="auto"/>
    </w:pPr>
  </w:style>
  <w:style w:type="paragraph" w:styleId="Caption">
    <w:name w:val="caption"/>
    <w:basedOn w:val="Normal"/>
    <w:next w:val="Normal"/>
    <w:qFormat/>
    <w:pPr>
      <w:suppressLineNumbers/>
      <w:spacing w:before="120" w:after="120"/>
    </w:pPr>
    <w:rPr>
      <w:rFonts w:cs="FreeSans"/>
      <w:i/>
      <w:iCs/>
      <w:sz w:val="24"/>
      <w:szCs w:val="24"/>
    </w:rPr>
  </w:style>
  <w:style w:type="paragraph" w:styleId="List">
    <w:name w:val="List"/>
    <w:basedOn w:val="BodyText"/>
    <w:qFormat/>
    <w:rPr>
      <w:rFonts w:cs="FreeSans"/>
    </w:rPr>
  </w:style>
  <w:style w:type="paragraph" w:styleId="NormalWeb">
    <w:name w:val="Normal (Web)"/>
    <w:qFormat/>
    <w:pPr>
      <w:spacing w:beforeAutospacing="1" w:afterAutospacing="1"/>
    </w:pPr>
    <w:rPr>
      <w:sz w:val="24"/>
      <w:szCs w:val="24"/>
      <w:lang w:eastAsia="zh-CN"/>
    </w:rPr>
  </w:style>
  <w:style w:type="paragraph" w:styleId="Subtitle">
    <w:name w:val="Subtitle"/>
    <w:basedOn w:val="LO-normal"/>
    <w:next w:val="Normal"/>
    <w:qFormat/>
    <w:pPr>
      <w:keepNext/>
      <w:keepLines/>
      <w:spacing w:after="320" w:line="240" w:lineRule="auto"/>
    </w:pPr>
    <w:rPr>
      <w:color w:val="666666"/>
      <w:sz w:val="30"/>
      <w:szCs w:val="30"/>
    </w:rPr>
  </w:style>
  <w:style w:type="paragraph" w:styleId="Title">
    <w:name w:val="Title"/>
    <w:basedOn w:val="LO-normal"/>
    <w:next w:val="Normal"/>
    <w:qFormat/>
    <w:pPr>
      <w:keepNext/>
      <w:keepLines/>
      <w:spacing w:after="60" w:line="240" w:lineRule="auto"/>
    </w:pPr>
    <w:rPr>
      <w:sz w:val="52"/>
      <w:szCs w:val="52"/>
    </w:rPr>
  </w:style>
  <w:style w:type="character" w:customStyle="1" w:styleId="ListLabel1">
    <w:name w:val="ListLabel 1"/>
    <w:qFormat/>
    <w:rPr>
      <w:rFonts w:ascii="Times New Roman" w:hAnsi="Times New Roman"/>
      <w:sz w:val="24"/>
      <w:u w:val="none"/>
    </w:rPr>
  </w:style>
  <w:style w:type="character" w:customStyle="1" w:styleId="ListLabel2">
    <w:name w:val="ListLabel 2"/>
    <w:qFormat/>
    <w:rPr>
      <w:u w:val="none"/>
    </w:rPr>
  </w:style>
  <w:style w:type="character" w:customStyle="1" w:styleId="ListLabel3">
    <w:name w:val="ListLabel 3"/>
    <w:qFormat/>
    <w:rPr>
      <w:u w:val="none"/>
    </w:rPr>
  </w:style>
  <w:style w:type="character" w:customStyle="1" w:styleId="ListLabel4">
    <w:name w:val="ListLabel 4"/>
    <w:qFormat/>
    <w:rPr>
      <w:u w:val="none"/>
    </w:rPr>
  </w:style>
  <w:style w:type="character" w:customStyle="1" w:styleId="ListLabel5">
    <w:name w:val="ListLabel 5"/>
    <w:qFormat/>
    <w:rPr>
      <w:u w:val="none"/>
    </w:rPr>
  </w:style>
  <w:style w:type="character" w:customStyle="1" w:styleId="ListLabel6">
    <w:name w:val="ListLabel 6"/>
    <w:qFormat/>
    <w:rPr>
      <w:u w:val="none"/>
    </w:rPr>
  </w:style>
  <w:style w:type="character" w:customStyle="1" w:styleId="ListLabel7">
    <w:name w:val="ListLabel 7"/>
    <w:qFormat/>
    <w:rPr>
      <w:u w:val="none"/>
    </w:rPr>
  </w:style>
  <w:style w:type="character" w:customStyle="1" w:styleId="ListLabel8">
    <w:name w:val="ListLabel 8"/>
    <w:qFormat/>
    <w:rPr>
      <w:u w:val="none"/>
    </w:rPr>
  </w:style>
  <w:style w:type="character" w:customStyle="1" w:styleId="ListLabel9">
    <w:name w:val="ListLabel 9"/>
    <w:qFormat/>
    <w:rPr>
      <w:u w:val="none"/>
    </w:rPr>
  </w:style>
  <w:style w:type="character" w:customStyle="1" w:styleId="ListLabel10">
    <w:name w:val="ListLabel 10"/>
    <w:qFormat/>
    <w:rPr>
      <w:rFonts w:eastAsia="Noto Sans Symbols" w:cs="Noto Sans Symbols"/>
      <w:sz w:val="24"/>
    </w:rPr>
  </w:style>
  <w:style w:type="character" w:customStyle="1" w:styleId="ListLabel11">
    <w:name w:val="ListLabel 11"/>
    <w:qFormat/>
    <w:rPr>
      <w:rFonts w:eastAsia="Courier New" w:cs="Courier New"/>
    </w:rPr>
  </w:style>
  <w:style w:type="character" w:customStyle="1" w:styleId="ListLabel12">
    <w:name w:val="ListLabel 12"/>
    <w:qFormat/>
    <w:rPr>
      <w:rFonts w:eastAsia="Noto Sans Symbols" w:cs="Noto Sans Symbols"/>
    </w:rPr>
  </w:style>
  <w:style w:type="character" w:customStyle="1" w:styleId="ListLabel13">
    <w:name w:val="ListLabel 13"/>
    <w:qFormat/>
    <w:rPr>
      <w:rFonts w:eastAsia="Noto Sans Symbols" w:cs="Noto Sans Symbols"/>
    </w:rPr>
  </w:style>
  <w:style w:type="character" w:customStyle="1" w:styleId="ListLabel14">
    <w:name w:val="ListLabel 14"/>
    <w:qFormat/>
    <w:rPr>
      <w:rFonts w:eastAsia="Courier New" w:cs="Courier New"/>
    </w:rPr>
  </w:style>
  <w:style w:type="character" w:customStyle="1" w:styleId="ListLabel15">
    <w:name w:val="ListLabel 15"/>
    <w:qFormat/>
    <w:rPr>
      <w:rFonts w:eastAsia="Noto Sans Symbols" w:cs="Noto Sans Symbols"/>
    </w:rPr>
  </w:style>
  <w:style w:type="character" w:customStyle="1" w:styleId="ListLabel16">
    <w:name w:val="ListLabel 16"/>
    <w:qFormat/>
    <w:rPr>
      <w:rFonts w:eastAsia="Noto Sans Symbols" w:cs="Noto Sans Symbols"/>
    </w:rPr>
  </w:style>
  <w:style w:type="character" w:customStyle="1" w:styleId="ListLabel17">
    <w:name w:val="ListLabel 17"/>
    <w:qFormat/>
    <w:rPr>
      <w:rFonts w:eastAsia="Courier New" w:cs="Courier New"/>
    </w:rPr>
  </w:style>
  <w:style w:type="character" w:customStyle="1" w:styleId="ListLabel18">
    <w:name w:val="ListLabel 18"/>
    <w:qFormat/>
    <w:rPr>
      <w:rFonts w:eastAsia="Noto Sans Symbols" w:cs="Noto Sans Symbols"/>
    </w:rPr>
  </w:style>
  <w:style w:type="character" w:customStyle="1" w:styleId="ListLabel19">
    <w:name w:val="ListLabel 19"/>
    <w:qFormat/>
    <w:rPr>
      <w:rFonts w:ascii="Times New Roman" w:hAnsi="Times New Roman"/>
      <w:sz w:val="24"/>
      <w:u w:val="none"/>
    </w:rPr>
  </w:style>
  <w:style w:type="character" w:customStyle="1" w:styleId="ListLabel20">
    <w:name w:val="ListLabel 20"/>
    <w:qFormat/>
    <w:rPr>
      <w:u w:val="none"/>
    </w:rPr>
  </w:style>
  <w:style w:type="character" w:customStyle="1" w:styleId="ListLabel21">
    <w:name w:val="ListLabel 21"/>
    <w:qFormat/>
    <w:rPr>
      <w:u w:val="none"/>
    </w:rPr>
  </w:style>
  <w:style w:type="character" w:customStyle="1" w:styleId="ListLabel22">
    <w:name w:val="ListLabel 22"/>
    <w:qFormat/>
    <w:rPr>
      <w:u w:val="none"/>
    </w:rPr>
  </w:style>
  <w:style w:type="character" w:customStyle="1" w:styleId="ListLabel23">
    <w:name w:val="ListLabel 23"/>
    <w:qFormat/>
    <w:rPr>
      <w:u w:val="none"/>
    </w:rPr>
  </w:style>
  <w:style w:type="character" w:customStyle="1" w:styleId="ListLabel24">
    <w:name w:val="ListLabel 24"/>
    <w:qFormat/>
    <w:rPr>
      <w:u w:val="none"/>
    </w:rPr>
  </w:style>
  <w:style w:type="character" w:customStyle="1" w:styleId="ListLabel25">
    <w:name w:val="ListLabel 25"/>
    <w:qFormat/>
    <w:rPr>
      <w:u w:val="none"/>
    </w:rPr>
  </w:style>
  <w:style w:type="character" w:customStyle="1" w:styleId="ListLabel26">
    <w:name w:val="ListLabel 26"/>
    <w:qFormat/>
    <w:rPr>
      <w:u w:val="none"/>
    </w:rPr>
  </w:style>
  <w:style w:type="character" w:customStyle="1" w:styleId="ListLabel27">
    <w:name w:val="ListLabel 27"/>
    <w:qFormat/>
    <w:rPr>
      <w:u w:val="none"/>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Noto Sans CJK SC Regular" w:hAnsi="Liberation Sans" w:cs="FreeSans"/>
      <w:sz w:val="28"/>
      <w:szCs w:val="28"/>
    </w:rPr>
  </w:style>
  <w:style w:type="paragraph" w:customStyle="1" w:styleId="Index">
    <w:name w:val="Index"/>
    <w:basedOn w:val="Normal"/>
    <w:qFormat/>
    <w:pPr>
      <w:suppressLineNumbers/>
    </w:pPr>
    <w:rPr>
      <w:rFonts w:cs="FreeSans"/>
    </w:rPr>
  </w:style>
  <w:style w:type="table" w:customStyle="1" w:styleId="TableNormal1">
    <w:name w:val="Table Normal1"/>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hyperlink" Target="https://github.com/935963004/LaBraM" TargetMode="External"/><Relationship Id="rId10" Type="http://schemas.openxmlformats.org/officeDocument/2006/relationships/image" Target="media/image1.png"/><Relationship Id="rId11" Type="http://schemas.openxmlformats.org/officeDocument/2006/relationships/hyperlink" Target="https://arxiv.org/abs/2508.17742" TargetMode="External"/><Relationship Id="rId12" Type="http://schemas.openxmlformats.org/officeDocument/2006/relationships/hyperlink" Target="https://arxiv.org/abs/2507.09882" TargetMode="External"/><Relationship Id="rId13" Type="http://schemas.openxmlformats.org/officeDocument/2006/relationships/hyperlink" Target="https://arxiv.org/abs/1901.05498" TargetMode="External"/><Relationship Id="rId14" Type="http://schemas.openxmlformats.org/officeDocument/2006/relationships/hyperlink" Target="https://arxiv.org/abs/1905.04149" TargetMode="External"/><Relationship Id="rId15" Type="http://schemas.openxmlformats.org/officeDocument/2006/relationships/hyperlink" Target="https://arxiv.org/abs/2001.11337" TargetMode="External"/><Relationship Id="rId16" Type="http://schemas.openxmlformats.org/officeDocument/2006/relationships/hyperlink" Target="https://arxiv.org/abs/2507.11783" TargetMode="External"/><Relationship Id="rId17" Type="http://schemas.openxmlformats.org/officeDocument/2006/relationships/hyperlink" Target="https://arxiv.org/abs/2503.00580" TargetMode="External"/><Relationship Id="rId18" Type="http://schemas.openxmlformats.org/officeDocument/2006/relationships/hyperlink" Target="https://arxiv.org/abs/2504.20069" TargetMode="External"/><Relationship Id="rId19" Type="http://schemas.openxmlformats.org/officeDocument/2006/relationships/hyperlink" Target="https://arxiv.org/abs/2601.17883" TargetMode="External"/><Relationship Id="rId20" Type="http://schemas.openxmlformats.org/officeDocument/2006/relationships/hyperlink" Target="https://arxiv.org/abs/2305.10351" TargetMode="External"/><Relationship Id="rId21" Type="http://schemas.openxmlformats.org/officeDocument/2006/relationships/hyperlink" Target="https://arxiv.org/abs/2405.18765" TargetMode="External"/><Relationship Id="rId22" Type="http://schemas.openxmlformats.org/officeDocument/2006/relationships/hyperlink" Target="https://arxiv.org/abs/2409.00101" TargetMode="External"/><Relationship Id="rId23" Type="http://schemas.openxmlformats.org/officeDocument/2006/relationships/hyperlink" Target="https://arxiv.org/abs/2412.07236" TargetMode="External"/><Relationship Id="rId24" Type="http://schemas.openxmlformats.org/officeDocument/2006/relationships/hyperlink" Target="https://arxiv.org/abs/1805.06427" TargetMode="External"/><Relationship Id="rId25" Type="http://schemas.openxmlformats.org/officeDocument/2006/relationships/hyperlink" Target="https://arxiv.org/abs/2404.15319" TargetMode="External"/><Relationship Id="rId26" Type="http://schemas.openxmlformats.org/officeDocument/2006/relationships/hyperlink" Target="https://arxiv.org/abs/2002.05115" TargetMode="External"/><Relationship Id="rId27" Type="http://schemas.openxmlformats.org/officeDocument/2006/relationships/hyperlink" Target="https://arxiv.org/abs/2206.14483" TargetMode="External"/><Relationship Id="rId28" Type="http://schemas.openxmlformats.org/officeDocument/2006/relationships/hyperlink" Target="https://arxiv.org/abs/2507.01196" TargetMode="External"/><Relationship Id="rId29" Type="http://schemas.openxmlformats.org/officeDocument/2006/relationships/hyperlink" Target="https://arxiv.org/abs/2512.08959" TargetMode="External"/><Relationship Id="rId30" Type="http://schemas.openxmlformats.org/officeDocument/2006/relationships/hyperlink" Target="https://arxiv.org/abs/2602.11558" TargetMode="External"/><Relationship Id="rId31" Type="http://schemas.openxmlformats.org/officeDocument/2006/relationships/hyperlink" Target="https://arxiv.org/abs/2606.008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3</Pages>
  <Words>1174</Words>
  <Characters>6693</Characters>
  <Application>Microsoft Office Word</Application>
  <DocSecurity>0</DocSecurity>
  <Lines>55</Lines>
  <Paragraphs>15</Paragraphs>
  <ScaleCrop>false</ScaleCrop>
  <Company/>
  <LinksUpToDate>false</LinksUpToDate>
  <CharactersWithSpaces>7852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haiyi</dc:creator>
  <cp:lastModifiedBy>Wooyoung Kim</cp:lastModifiedBy>
  <cp:revision>30</cp:revision>
  <dcterms:created xsi:type="dcterms:W3CDTF">2022-08-17T11:59:00Z</dcterms:created>
  <dcterms:modified xsi:type="dcterms:W3CDTF">2026-10-04T00:08:00Z</dcterms:modified>
  <dc:title>Weekly report: LaBraM validation (2026-10-08)</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1033-5.7.3.8095</vt:lpwstr>
  </property>
  <property fmtid="{D5CDD505-2E9C-101B-9397-08002B2CF9AE}" pid="3" name="ICV">
    <vt:lpwstr>AA600BA9839E3D0CAE43DC632072E397</vt:lpwstr>
  </property>
</Properties>
</file>