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1945" w:rsidRDefault="00E74115">
      <w:pPr>
        <w:numPr>
          <w:ilvl w:val="0"/>
          <w:numId w:val="1"/>
        </w:numPr>
        <w:rPr>
          <w:b/>
        </w:rPr>
      </w:pPr>
      <w:r>
        <w:rPr>
          <w:b/>
        </w:rPr>
        <w:t>Introduction</w:t>
      </w:r>
    </w:p>
    <w:p w14:paraId="00000002" w14:textId="77777777" w:rsidR="00351945" w:rsidRDefault="00351945"/>
    <w:p w14:paraId="00000003" w14:textId="025F4F03" w:rsidR="00351945" w:rsidRDefault="00E74115">
      <w:r>
        <w:t xml:space="preserve">Spotify is a </w:t>
      </w:r>
      <w:r w:rsidR="006839CB">
        <w:t>global music streaming</w:t>
      </w:r>
      <w:r>
        <w:t xml:space="preserve"> platform where artists </w:t>
      </w:r>
      <w:r w:rsidR="006839CB">
        <w:t>share</w:t>
      </w:r>
      <w:r>
        <w:t xml:space="preserve"> their </w:t>
      </w:r>
      <w:r w:rsidR="006839CB">
        <w:t>work</w:t>
      </w:r>
      <w:r>
        <w:t xml:space="preserve"> </w:t>
      </w:r>
      <w:r w:rsidR="006839CB">
        <w:t>with</w:t>
      </w:r>
      <w:r>
        <w:t xml:space="preserve"> audience</w:t>
      </w:r>
      <w:r w:rsidR="00176E8F">
        <w:t>s worldwide</w:t>
      </w:r>
      <w:r w:rsidR="006839CB">
        <w:t>,</w:t>
      </w:r>
      <w:r>
        <w:t xml:space="preserve"> </w:t>
      </w:r>
      <w:r w:rsidR="006839CB">
        <w:t>offering</w:t>
      </w:r>
      <w:r>
        <w:t xml:space="preserve"> listeners </w:t>
      </w:r>
      <w:r w:rsidR="006839CB">
        <w:t>an extensive collection of songs</w:t>
      </w:r>
      <w:r>
        <w:t xml:space="preserve">. </w:t>
      </w:r>
      <w:r w:rsidR="006839CB">
        <w:t xml:space="preserve">To foster a strong community and support artistic creation, </w:t>
      </w:r>
      <w:r w:rsidR="00176E8F">
        <w:t xml:space="preserve">two-thirds of Spotify’s revenue goes to a royalty pool, which is paid out to music rights holders (Spotify, n.d.). </w:t>
      </w:r>
      <w:r w:rsidR="006839CB">
        <w:t>However</w:t>
      </w:r>
      <w:r>
        <w:t xml:space="preserve">, </w:t>
      </w:r>
      <w:r w:rsidR="00176E8F">
        <w:t>those</w:t>
      </w:r>
      <w:r>
        <w:t xml:space="preserve"> with malicious intent take advantage of the </w:t>
      </w:r>
      <w:r w:rsidR="006839CB">
        <w:t>system by</w:t>
      </w:r>
      <w:r>
        <w:t xml:space="preserve"> run</w:t>
      </w:r>
      <w:r w:rsidR="006839CB">
        <w:t>ning</w:t>
      </w:r>
      <w:r>
        <w:t xml:space="preserve"> </w:t>
      </w:r>
      <w:r w:rsidR="006839CB">
        <w:t xml:space="preserve">automated </w:t>
      </w:r>
      <w:r>
        <w:t xml:space="preserve">scripts to </w:t>
      </w:r>
      <w:r w:rsidR="006839CB">
        <w:t>artificially inflate streams for financial gain</w:t>
      </w:r>
      <w:r>
        <w:t>. With the emergenc</w:t>
      </w:r>
      <w:r>
        <w:t xml:space="preserve">e of artificial intelligence, </w:t>
      </w:r>
      <w:r w:rsidR="006839CB">
        <w:t xml:space="preserve">differentiating </w:t>
      </w:r>
      <w:r>
        <w:t xml:space="preserve">between </w:t>
      </w:r>
      <w:r w:rsidR="006839CB">
        <w:t>genuine</w:t>
      </w:r>
      <w:r>
        <w:t xml:space="preserve"> user</w:t>
      </w:r>
      <w:r w:rsidR="006839CB">
        <w:t>s</w:t>
      </w:r>
      <w:r>
        <w:t xml:space="preserve"> and bot</w:t>
      </w:r>
      <w:r w:rsidR="006839CB">
        <w:t>s</w:t>
      </w:r>
      <w:r>
        <w:t xml:space="preserve"> </w:t>
      </w:r>
      <w:r w:rsidR="006839CB">
        <w:t xml:space="preserve">has </w:t>
      </w:r>
      <w:r>
        <w:t xml:space="preserve">become </w:t>
      </w:r>
      <w:r w:rsidR="006839CB">
        <w:t>increasingly challenging</w:t>
      </w:r>
      <w:r w:rsidR="00176E8F">
        <w:t xml:space="preserve"> (Sun, 2024)</w:t>
      </w:r>
      <w:r>
        <w:t>.</w:t>
      </w:r>
    </w:p>
    <w:p w14:paraId="11D617E8" w14:textId="77777777" w:rsidR="00176E8F" w:rsidRDefault="00176E8F"/>
    <w:p w14:paraId="3E4D8261" w14:textId="77ACD865" w:rsidR="00176E8F" w:rsidRDefault="00176E8F" w:rsidP="00176E8F">
      <w:pPr>
        <w:numPr>
          <w:ilvl w:val="0"/>
          <w:numId w:val="1"/>
        </w:numPr>
        <w:rPr>
          <w:b/>
        </w:rPr>
      </w:pPr>
      <w:r>
        <w:rPr>
          <w:b/>
        </w:rPr>
        <w:t>Objective</w:t>
      </w:r>
    </w:p>
    <w:p w14:paraId="3F33B903" w14:textId="77777777" w:rsidR="00176E8F" w:rsidRPr="00176E8F" w:rsidRDefault="00176E8F">
      <w:pPr>
        <w:rPr>
          <w:b/>
          <w:bCs/>
        </w:rPr>
      </w:pPr>
    </w:p>
    <w:p w14:paraId="00000008" w14:textId="75768C61" w:rsidR="00351945" w:rsidRDefault="00176E8F">
      <w:r>
        <w:t xml:space="preserve">Fraud detection models are not perfect and will misclassify fraudulent streams as legitimate. Rampant artificial streams will damage Spotify’s branding, platform integrity and trust from their users and artists. As a result, it is imperative for Spotify’s data science team to determine their current detection coverage to identify areas for improvement. The </w:t>
      </w:r>
      <w:r w:rsidRPr="00176E8F">
        <w:t xml:space="preserve">objective </w:t>
      </w:r>
      <w:r>
        <w:t>of this report</w:t>
      </w:r>
      <w:r w:rsidRPr="00176E8F">
        <w:t xml:space="preserve"> is to </w:t>
      </w:r>
      <w:r>
        <w:t xml:space="preserve">propose a methodology to </w:t>
      </w:r>
      <w:r w:rsidRPr="00176E8F">
        <w:t xml:space="preserve">estimate the proportion of </w:t>
      </w:r>
      <w:r>
        <w:t xml:space="preserve">undetected </w:t>
      </w:r>
      <w:r w:rsidRPr="00176E8F">
        <w:t>fraudulent streams.</w:t>
      </w:r>
      <w:r w:rsidRPr="00176E8F">
        <w:br/>
      </w:r>
    </w:p>
    <w:p w14:paraId="0000000C" w14:textId="1B9FD4B1" w:rsidR="00351945" w:rsidRDefault="00F821C5" w:rsidP="006839CB">
      <w:pPr>
        <w:numPr>
          <w:ilvl w:val="0"/>
          <w:numId w:val="1"/>
        </w:numPr>
        <w:rPr>
          <w:b/>
        </w:rPr>
      </w:pPr>
      <w:r>
        <w:rPr>
          <w:b/>
        </w:rPr>
        <w:t>Randomized Controlled Testing</w:t>
      </w:r>
    </w:p>
    <w:p w14:paraId="43432A2C" w14:textId="77777777" w:rsidR="006839CB" w:rsidRDefault="006839CB" w:rsidP="006839CB">
      <w:pPr>
        <w:rPr>
          <w:b/>
        </w:rPr>
      </w:pPr>
    </w:p>
    <w:p w14:paraId="0000000D" w14:textId="2A497E1F" w:rsidR="00351945" w:rsidRPr="00176E8F" w:rsidRDefault="00176E8F">
      <w:pPr>
        <w:rPr>
          <w:bCs/>
        </w:rPr>
      </w:pPr>
      <w:r>
        <w:rPr>
          <w:bCs/>
        </w:rPr>
        <w:t>The</w:t>
      </w:r>
      <w:r w:rsidR="006839CB">
        <w:rPr>
          <w:bCs/>
        </w:rPr>
        <w:t xml:space="preserve"> proposed solution entails randomly assigning artists to either a test group or a control group. </w:t>
      </w:r>
      <w:r>
        <w:rPr>
          <w:bCs/>
        </w:rPr>
        <w:t>The initial two weeks is spent on data collection before informing the</w:t>
      </w:r>
      <w:r w:rsidR="006839CB">
        <w:rPr>
          <w:bCs/>
        </w:rPr>
        <w:t xml:space="preserve"> test group </w:t>
      </w:r>
      <w:r>
        <w:rPr>
          <w:bCs/>
        </w:rPr>
        <w:t xml:space="preserve">of </w:t>
      </w:r>
      <w:r w:rsidR="006839CB">
        <w:rPr>
          <w:bCs/>
        </w:rPr>
        <w:t xml:space="preserve">a higher incentive </w:t>
      </w:r>
      <w:r>
        <w:rPr>
          <w:bCs/>
        </w:rPr>
        <w:t>for the next two weeks,</w:t>
      </w:r>
      <w:r w:rsidR="006839CB">
        <w:rPr>
          <w:bCs/>
        </w:rPr>
        <w:t xml:space="preserve"> encourag</w:t>
      </w:r>
      <w:r>
        <w:rPr>
          <w:bCs/>
        </w:rPr>
        <w:t>ing</w:t>
      </w:r>
      <w:r w:rsidR="006839CB">
        <w:rPr>
          <w:bCs/>
        </w:rPr>
        <w:t xml:space="preserve"> fraudsters to increase their fraudulent </w:t>
      </w:r>
      <w:r>
        <w:rPr>
          <w:bCs/>
        </w:rPr>
        <w:t>activities</w:t>
      </w:r>
      <w:r w:rsidR="006839CB">
        <w:rPr>
          <w:bCs/>
        </w:rPr>
        <w:t>. Afterwards, we compare the result</w:t>
      </w:r>
      <w:r>
        <w:rPr>
          <w:bCs/>
        </w:rPr>
        <w:t>s</w:t>
      </w:r>
      <w:r w:rsidR="006839CB">
        <w:rPr>
          <w:bCs/>
        </w:rPr>
        <w:t xml:space="preserve"> between the two groups, as well as pre- and post-incentive data, to identify patterns </w:t>
      </w:r>
      <w:r>
        <w:rPr>
          <w:bCs/>
        </w:rPr>
        <w:t>of</w:t>
      </w:r>
      <w:r w:rsidR="006839CB">
        <w:rPr>
          <w:bCs/>
        </w:rPr>
        <w:t xml:space="preserve"> </w:t>
      </w:r>
      <w:r>
        <w:rPr>
          <w:bCs/>
        </w:rPr>
        <w:t>artificial</w:t>
      </w:r>
      <w:r w:rsidR="006839CB">
        <w:rPr>
          <w:bCs/>
        </w:rPr>
        <w:t xml:space="preserve"> streaming. </w:t>
      </w:r>
      <w:r>
        <w:rPr>
          <w:bCs/>
        </w:rPr>
        <w:br/>
      </w:r>
      <w:r>
        <w:rPr>
          <w:bCs/>
        </w:rPr>
        <w:br/>
      </w:r>
    </w:p>
    <w:p w14:paraId="0000000E" w14:textId="77777777" w:rsidR="00351945" w:rsidRDefault="00E74115">
      <w:r>
        <w:rPr>
          <w:b/>
        </w:rPr>
        <w:t>3.1 Sample Population</w:t>
      </w:r>
    </w:p>
    <w:p w14:paraId="0000000F" w14:textId="77777777" w:rsidR="00351945" w:rsidRDefault="00351945">
      <w:pPr>
        <w:rPr>
          <w:b/>
        </w:rPr>
      </w:pPr>
    </w:p>
    <w:p w14:paraId="00000012" w14:textId="59AA4F6F" w:rsidR="00351945" w:rsidRDefault="00E74115">
      <w:r>
        <w:t xml:space="preserve">According to Spotify’s </w:t>
      </w:r>
      <w:r w:rsidR="006839CB">
        <w:t xml:space="preserve">December 2024 quarterly report </w:t>
      </w:r>
      <w:r>
        <w:t>(</w:t>
      </w:r>
      <w:r>
        <w:rPr>
          <w:i/>
        </w:rPr>
        <w:t>Form 20-F</w:t>
      </w:r>
      <w:r>
        <w:t xml:space="preserve"> 2024), </w:t>
      </w:r>
      <w:r w:rsidR="006839CB">
        <w:t>the platform</w:t>
      </w:r>
      <w:r>
        <w:t xml:space="preserve"> has 675 million monthly active us</w:t>
      </w:r>
      <w:r>
        <w:t>ers</w:t>
      </w:r>
      <w:r w:rsidR="006839CB">
        <w:t xml:space="preserve">, 12% growth from the previous fiscal year. </w:t>
      </w:r>
      <w:r>
        <w:t xml:space="preserve">Using </w:t>
      </w:r>
      <w:r w:rsidR="00FC60AE">
        <w:t xml:space="preserve">the Sample Size Calculation for Proportions formula with </w:t>
      </w:r>
      <w:r w:rsidR="006839CB">
        <w:t xml:space="preserve">a 99% confidence interval and 0.1% margin of error, </w:t>
      </w:r>
      <w:r>
        <w:t xml:space="preserve">the </w:t>
      </w:r>
      <w:r w:rsidR="006839CB">
        <w:t xml:space="preserve">required </w:t>
      </w:r>
      <w:r>
        <w:t>sample</w:t>
      </w:r>
      <w:r w:rsidR="006839CB">
        <w:t xml:space="preserve"> size to estimate fraud, </w:t>
      </w:r>
      <w:r w:rsidR="00176E8F">
        <w:t xml:space="preserve">with </w:t>
      </w:r>
      <w:r w:rsidR="006839CB">
        <w:t>a 5% fraud rate</w:t>
      </w:r>
      <w:r w:rsidR="00176E8F">
        <w:t>,</w:t>
      </w:r>
      <w:r w:rsidR="006839CB">
        <w:t xml:space="preserve"> is 31</w:t>
      </w:r>
      <w:r w:rsidR="00FC60AE">
        <w:t>6</w:t>
      </w:r>
      <w:r w:rsidR="006839CB">
        <w:t>,</w:t>
      </w:r>
      <w:r w:rsidR="00FC60AE">
        <w:t>179</w:t>
      </w:r>
      <w:r w:rsidR="006839CB">
        <w:t xml:space="preserve"> listeners</w:t>
      </w:r>
      <w:r>
        <w:t>.</w:t>
      </w:r>
      <w:r w:rsidR="00FC60AE">
        <w:t xml:space="preserve"> </w:t>
      </w:r>
      <w:r w:rsidR="00176E8F" w:rsidRPr="00176E8F">
        <w:t>To ensure more robust methodology</w:t>
      </w:r>
      <w:r w:rsidR="00176E8F" w:rsidRPr="00176E8F">
        <w:rPr>
          <w:b/>
          <w:bCs/>
        </w:rPr>
        <w:t xml:space="preserve">, </w:t>
      </w:r>
      <w:r w:rsidR="006839CB">
        <w:t>a more conservative</w:t>
      </w:r>
      <w:r>
        <w:t xml:space="preserve"> </w:t>
      </w:r>
      <w:r w:rsidR="006839CB">
        <w:t>approach</w:t>
      </w:r>
      <w:r w:rsidR="00176E8F">
        <w:t xml:space="preserve"> of 50% fraud percentage</w:t>
      </w:r>
      <w:r>
        <w:t xml:space="preserve"> requires 1.6</w:t>
      </w:r>
      <w:r w:rsidR="00FC60AE">
        <w:t>6</w:t>
      </w:r>
      <w:r>
        <w:t xml:space="preserve"> million listeners, rounded up to 2 million to </w:t>
      </w:r>
      <w:r w:rsidR="006839CB">
        <w:t>enhance</w:t>
      </w:r>
      <w:r>
        <w:t xml:space="preserve"> result accuracy. </w:t>
      </w:r>
    </w:p>
    <w:p w14:paraId="34C24C90" w14:textId="77777777" w:rsidR="006839CB" w:rsidRDefault="006839CB"/>
    <w:p w14:paraId="00000013" w14:textId="591DE899" w:rsidR="00351945" w:rsidRDefault="00E74115">
      <w:r>
        <w:t xml:space="preserve">Research </w:t>
      </w:r>
      <w:r w:rsidR="006839CB">
        <w:t xml:space="preserve">by Gustar </w:t>
      </w:r>
      <w:r>
        <w:t xml:space="preserve">(2020) showed that artists’ monthly average listeners </w:t>
      </w:r>
      <w:r w:rsidR="00176E8F">
        <w:t>follow</w:t>
      </w:r>
      <w:r>
        <w:t xml:space="preserve"> a Power</w:t>
      </w:r>
      <w:r>
        <w:t xml:space="preserve"> Law distribution</w:t>
      </w:r>
      <w:r w:rsidR="006839CB">
        <w:t>,</w:t>
      </w:r>
      <w:r>
        <w:t xml:space="preserve"> where </w:t>
      </w:r>
      <w:r w:rsidR="006839CB">
        <w:t>a</w:t>
      </w:r>
      <w:r>
        <w:t xml:space="preserve"> small group of top artists get </w:t>
      </w:r>
      <w:r w:rsidR="00176E8F">
        <w:t>most of</w:t>
      </w:r>
      <w:r>
        <w:t xml:space="preserve"> the </w:t>
      </w:r>
      <w:r w:rsidR="00176E8F">
        <w:t>streams</w:t>
      </w:r>
      <w:r>
        <w:t xml:space="preserve"> and exposure. </w:t>
      </w:r>
      <w:r w:rsidR="006839CB">
        <w:t>We first generate</w:t>
      </w:r>
      <w:r>
        <w:t xml:space="preserve"> a Power Law distribution of artists and </w:t>
      </w:r>
      <w:r w:rsidR="006839CB">
        <w:t xml:space="preserve">exclude </w:t>
      </w:r>
      <w:r>
        <w:t xml:space="preserve">the bottom </w:t>
      </w:r>
      <w:r w:rsidR="00176E8F">
        <w:t xml:space="preserve">and top </w:t>
      </w:r>
      <w:r>
        <w:t>25 percentile</w:t>
      </w:r>
      <w:r w:rsidR="00176E8F">
        <w:t>. I</w:t>
      </w:r>
      <w:r w:rsidR="00176E8F" w:rsidRPr="00176E8F">
        <w:t>teratively</w:t>
      </w:r>
      <w:r w:rsidR="006839CB" w:rsidRPr="00176E8F">
        <w:t xml:space="preserve"> sample</w:t>
      </w:r>
      <w:r w:rsidRPr="00176E8F">
        <w:t xml:space="preserve"> the </w:t>
      </w:r>
      <w:r w:rsidR="006839CB" w:rsidRPr="00176E8F">
        <w:t>remaining</w:t>
      </w:r>
      <w:r w:rsidRPr="00176E8F">
        <w:t xml:space="preserve"> artist until their cumulative monthly listeners exceeds 2 million.</w:t>
      </w:r>
    </w:p>
    <w:p w14:paraId="00000014" w14:textId="77777777" w:rsidR="00351945" w:rsidRDefault="00351945"/>
    <w:p w14:paraId="5BA493C4" w14:textId="2AA56058" w:rsidR="003C6020" w:rsidRDefault="003C6020">
      <w:pPr>
        <w:rPr>
          <w:b/>
          <w:bCs/>
        </w:rPr>
      </w:pPr>
      <w:r w:rsidRPr="003C6020">
        <w:rPr>
          <w:b/>
          <w:bCs/>
        </w:rPr>
        <w:t>3.2 Metrics</w:t>
      </w:r>
    </w:p>
    <w:p w14:paraId="01C41D80" w14:textId="77777777" w:rsidR="003C6020" w:rsidRDefault="003C6020">
      <w:pPr>
        <w:rPr>
          <w:b/>
          <w:bCs/>
        </w:rPr>
      </w:pPr>
    </w:p>
    <w:p w14:paraId="00180FEE" w14:textId="1F5F1D6C" w:rsidR="003C6020" w:rsidRDefault="003C6020">
      <w:r>
        <w:lastRenderedPageBreak/>
        <w:t xml:space="preserve">The </w:t>
      </w:r>
      <w:r w:rsidR="00176E8F">
        <w:t xml:space="preserve">two </w:t>
      </w:r>
      <w:r>
        <w:t xml:space="preserve">key metrics </w:t>
      </w:r>
      <w:r w:rsidR="006839CB">
        <w:t>used in</w:t>
      </w:r>
      <w:r>
        <w:t xml:space="preserve"> this report are </w:t>
      </w:r>
      <w:r w:rsidR="006839CB">
        <w:t xml:space="preserve">the </w:t>
      </w:r>
      <w:r w:rsidR="00176E8F">
        <w:t xml:space="preserve">total </w:t>
      </w:r>
      <w:r>
        <w:t>streams per artist</w:t>
      </w:r>
      <w:r w:rsidR="00BB0251">
        <w:t xml:space="preserve"> and</w:t>
      </w:r>
      <w:r>
        <w:t xml:space="preserve"> streams per song. </w:t>
      </w:r>
      <w:r w:rsidR="006839CB">
        <w:t xml:space="preserve">These metrics will help to </w:t>
      </w:r>
      <w:r w:rsidR="00176E8F">
        <w:t>assess</w:t>
      </w:r>
      <w:r w:rsidR="006839CB">
        <w:t xml:space="preserve"> the impact of incentives on streaming behavior within both groups.</w:t>
      </w:r>
    </w:p>
    <w:p w14:paraId="255C8C43" w14:textId="77777777" w:rsidR="003C6020" w:rsidRPr="003C6020" w:rsidRDefault="003C6020"/>
    <w:p w14:paraId="00000015" w14:textId="77777777" w:rsidR="00351945" w:rsidRDefault="00E74115">
      <w:pPr>
        <w:rPr>
          <w:b/>
        </w:rPr>
      </w:pPr>
      <w:r>
        <w:rPr>
          <w:b/>
        </w:rPr>
        <w:t>3.2 External Variables</w:t>
      </w:r>
    </w:p>
    <w:p w14:paraId="00000017" w14:textId="68450ED3" w:rsidR="00351945" w:rsidRDefault="00176E8F">
      <w:r>
        <w:br/>
      </w:r>
      <w:r w:rsidR="006839CB">
        <w:t>To accurately measure the key metrics, we must first account for external</w:t>
      </w:r>
      <w:r>
        <w:t xml:space="preserve"> variables that </w:t>
      </w:r>
      <w:r w:rsidR="006839CB">
        <w:t>could influence</w:t>
      </w:r>
      <w:r>
        <w:t xml:space="preserve"> the </w:t>
      </w:r>
      <w:r w:rsidR="006839CB">
        <w:t>results</w:t>
      </w:r>
      <w:r>
        <w:t>, such as advertisement</w:t>
      </w:r>
      <w:r w:rsidR="006839CB">
        <w:t xml:space="preserve"> </w:t>
      </w:r>
      <w:r>
        <w:t>expenditure, virality, playlist placement and artist collaboration.</w:t>
      </w:r>
      <w:r w:rsidR="003C6020">
        <w:t xml:space="preserve"> Since different artists </w:t>
      </w:r>
      <w:r w:rsidR="006839CB">
        <w:t xml:space="preserve">may </w:t>
      </w:r>
      <w:r w:rsidR="003C6020">
        <w:t xml:space="preserve">respond differently to </w:t>
      </w:r>
      <w:r w:rsidR="006839CB">
        <w:t>these</w:t>
      </w:r>
      <w:r w:rsidR="003C6020">
        <w:t xml:space="preserve"> factors, </w:t>
      </w:r>
      <w:r w:rsidR="006839CB">
        <w:t>we apply</w:t>
      </w:r>
      <w:r w:rsidR="003C6020">
        <w:t xml:space="preserve"> Bayesian Regression </w:t>
      </w:r>
      <w:r w:rsidR="006839CB">
        <w:t>to model</w:t>
      </w:r>
      <w:r w:rsidR="003C6020">
        <w:t xml:space="preserve"> each artist.</w:t>
      </w:r>
      <w:r w:rsidR="004E3844">
        <w:t xml:space="preserve"> </w:t>
      </w:r>
      <w:r>
        <w:t>The</w:t>
      </w:r>
      <w:r w:rsidR="004E3844" w:rsidRPr="00176E8F">
        <w:t xml:space="preserve"> key variables</w:t>
      </w:r>
      <w:r>
        <w:t xml:space="preserve"> as follows:</w:t>
      </w:r>
    </w:p>
    <w:p w14:paraId="489AEE55" w14:textId="77777777" w:rsidR="003C6020" w:rsidRDefault="003C6020"/>
    <w:p w14:paraId="288FAABC" w14:textId="20D68F08" w:rsidR="003C6020" w:rsidRPr="004E3844" w:rsidRDefault="003C6020">
      <m:oMathPara>
        <m:oMathParaPr>
          <m:jc m:val="center"/>
        </m:oMathParaPr>
        <m:oMath>
          <m:r>
            <w:rPr>
              <w:rFonts w:ascii="Cambria Math" w:hAnsi="Cambria Math"/>
            </w:rPr>
            <m:t>For artist i and metric j,</m:t>
          </m:r>
        </m:oMath>
      </m:oMathPara>
    </w:p>
    <w:p w14:paraId="60C296F6" w14:textId="2037A927" w:rsidR="004E3844" w:rsidRPr="004E3844" w:rsidRDefault="00E74115">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=Observed value</m:t>
          </m:r>
        </m:oMath>
      </m:oMathPara>
    </w:p>
    <w:p w14:paraId="41D30F65" w14:textId="0F1C5B1B" w:rsidR="004E3844" w:rsidRPr="004E3844" w:rsidRDefault="00E74115">
      <m:oMathPara>
        <m:oMathParaPr>
          <m:jc m:val="center"/>
        </m:oMathParaP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(t)=Baseline value</m:t>
          </m:r>
        </m:oMath>
      </m:oMathPara>
    </w:p>
    <w:p w14:paraId="3ACD2CA8" w14:textId="374219EB" w:rsidR="004E3844" w:rsidRPr="004E3844" w:rsidRDefault="00E74115">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1,i,j</m:t>
              </m:r>
            </m:sub>
          </m:sSub>
          <m:r>
            <w:rPr>
              <w:rFonts w:ascii="Cambria Math" w:hAnsi="Cambria Math"/>
            </w:rPr>
            <m:t>=Effect of incentive</m:t>
          </m:r>
        </m:oMath>
      </m:oMathPara>
    </w:p>
    <w:p w14:paraId="69082210" w14:textId="657DE2BB" w:rsidR="004E3844" w:rsidRPr="004E3844" w:rsidRDefault="00E74115">
      <m:oMathPara>
        <m:oMath>
          <m:sSub>
            <m:sSubPr>
              <m:ctrlPr>
                <w:rPr>
                  <w:rFonts w:ascii="Cambria Math" w:hAnsi="Cambria Math"/>
                  <w:i/>
                </w:rPr>
              </m:ctrlPr>
            </m:sSubPr>
            <m:e>
              <m:r>
                <w:rPr>
                  <w:rFonts w:ascii="Cambria Math" w:hAnsi="Cambria Math"/>
                </w:rPr>
                <m:t>β</m:t>
              </m:r>
            </m:e>
            <m:sub>
              <m:r>
                <w:rPr>
                  <w:rFonts w:ascii="Cambria Math" w:hAnsi="Cambria Math"/>
                </w:rPr>
                <m:t>2-5,i,j</m:t>
              </m:r>
            </m:sub>
          </m:sSub>
          <m:r>
            <w:rPr>
              <w:rFonts w:ascii="Cambria Math" w:hAnsi="Cambria Math"/>
            </w:rPr>
            <m:t>=Effects of external confounders</m:t>
          </m:r>
        </m:oMath>
      </m:oMathPara>
    </w:p>
    <w:p w14:paraId="1412B8CF" w14:textId="789DD43E" w:rsidR="004E3844" w:rsidRPr="004E3844" w:rsidRDefault="00E74115">
      <m:oMathPara>
        <m:oMath>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(t)=Post incentive indicator</m:t>
          </m:r>
        </m:oMath>
      </m:oMathPara>
    </w:p>
    <w:p w14:paraId="5D2C4F93" w14:textId="363BE29F" w:rsidR="003C6020" w:rsidRPr="003C6020" w:rsidRDefault="00E74115">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2,i</m:t>
              </m:r>
            </m:sub>
          </m:sSub>
          <m:d>
            <m:dPr>
              <m:ctrlPr>
                <w:rPr>
                  <w:rFonts w:ascii="Cambria Math" w:hAnsi="Cambria Math"/>
                  <w:i/>
                </w:rPr>
              </m:ctrlPr>
            </m:dPr>
            <m:e>
              <m:r>
                <w:rPr>
                  <w:rFonts w:ascii="Cambria Math" w:hAnsi="Cambria Math"/>
                </w:rPr>
                <m:t>t</m:t>
              </m:r>
            </m:e>
          </m:d>
          <m:r>
            <w:rPr>
              <w:rFonts w:ascii="Cambria Math" w:hAnsi="Cambria Math"/>
            </w:rPr>
            <m:t>=Ad spend</m:t>
          </m:r>
        </m:oMath>
      </m:oMathPara>
    </w:p>
    <w:p w14:paraId="233AD00F" w14:textId="023AB05C" w:rsidR="003C6020" w:rsidRPr="003C6020" w:rsidRDefault="00E74115" w:rsidP="003C6020">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3,i</m:t>
              </m:r>
            </m:sub>
          </m:sSub>
          <m:d>
            <m:dPr>
              <m:ctrlPr>
                <w:rPr>
                  <w:rFonts w:ascii="Cambria Math" w:hAnsi="Cambria Math"/>
                  <w:i/>
                </w:rPr>
              </m:ctrlPr>
            </m:dPr>
            <m:e>
              <m:r>
                <w:rPr>
                  <w:rFonts w:ascii="Cambria Math" w:hAnsi="Cambria Math"/>
                </w:rPr>
                <m:t>t</m:t>
              </m:r>
            </m:e>
          </m:d>
          <m:r>
            <w:rPr>
              <w:rFonts w:ascii="Cambria Math" w:hAnsi="Cambria Math"/>
            </w:rPr>
            <m:t>=Virality score</m:t>
          </m:r>
        </m:oMath>
      </m:oMathPara>
    </w:p>
    <w:p w14:paraId="00000018" w14:textId="6310D5E7" w:rsidR="00351945" w:rsidRPr="003C6020" w:rsidRDefault="00E74115">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4,i</m:t>
              </m:r>
            </m:sub>
          </m:sSub>
          <m:d>
            <m:dPr>
              <m:ctrlPr>
                <w:rPr>
                  <w:rFonts w:ascii="Cambria Math" w:hAnsi="Cambria Math"/>
                  <w:i/>
                </w:rPr>
              </m:ctrlPr>
            </m:dPr>
            <m:e>
              <m:r>
                <w:rPr>
                  <w:rFonts w:ascii="Cambria Math" w:hAnsi="Cambria Math"/>
                </w:rPr>
                <m:t>t</m:t>
              </m:r>
            </m:e>
          </m:d>
          <m:r>
            <w:rPr>
              <w:rFonts w:ascii="Cambria Math" w:hAnsi="Cambria Math"/>
            </w:rPr>
            <m:t>=Playlist placement count</m:t>
          </m:r>
        </m:oMath>
      </m:oMathPara>
    </w:p>
    <w:p w14:paraId="49A23B58" w14:textId="1A286D44" w:rsidR="003C6020" w:rsidRPr="003C6020" w:rsidRDefault="00E74115" w:rsidP="003C6020">
      <m:oMathPara>
        <m:oMath>
          <m:sSub>
            <m:sSubPr>
              <m:ctrlPr>
                <w:rPr>
                  <w:rFonts w:ascii="Cambria Math" w:hAnsi="Cambria Math"/>
                  <w:i/>
                </w:rPr>
              </m:ctrlPr>
            </m:sSubPr>
            <m:e>
              <m:r>
                <w:rPr>
                  <w:rFonts w:ascii="Cambria Math" w:hAnsi="Cambria Math"/>
                </w:rPr>
                <m:t>x</m:t>
              </m:r>
            </m:e>
            <m:sub>
              <m:r>
                <w:rPr>
                  <w:rFonts w:ascii="Cambria Math" w:hAnsi="Cambria Math"/>
                </w:rPr>
                <m:t>5,i</m:t>
              </m:r>
            </m:sub>
          </m:sSub>
          <m:d>
            <m:dPr>
              <m:ctrlPr>
                <w:rPr>
                  <w:rFonts w:ascii="Cambria Math" w:hAnsi="Cambria Math"/>
                  <w:i/>
                </w:rPr>
              </m:ctrlPr>
            </m:dPr>
            <m:e>
              <m:r>
                <w:rPr>
                  <w:rFonts w:ascii="Cambria Math" w:hAnsi="Cambria Math"/>
                </w:rPr>
                <m:t>t</m:t>
              </m:r>
            </m:e>
          </m:d>
          <m:r>
            <w:rPr>
              <w:rFonts w:ascii="Cambria Math" w:hAnsi="Cambria Math"/>
            </w:rPr>
            <m:t>=Collaborations with other artists</m:t>
          </m:r>
        </m:oMath>
      </m:oMathPara>
    </w:p>
    <w:p w14:paraId="6CE2C8C9" w14:textId="3AA1E3ED" w:rsidR="003C6020" w:rsidRPr="003C6020" w:rsidRDefault="00E74115">
      <m:oMathPara>
        <m:oMath>
          <m:sSub>
            <m:sSubPr>
              <m:ctrlPr>
                <w:rPr>
                  <w:rFonts w:ascii="Cambria Math" w:hAnsi="Cambria Math"/>
                  <w:i/>
                </w:rPr>
              </m:ctrlPr>
            </m:sSubPr>
            <m:e>
              <m:r>
                <w:rPr>
                  <w:rFonts w:ascii="Cambria Math" w:hAnsi="Cambria Math"/>
                </w:rPr>
                <m:t>ϵ</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=Random noise</m:t>
          </m:r>
        </m:oMath>
      </m:oMathPara>
    </w:p>
    <w:p w14:paraId="3CDA8A8B" w14:textId="77777777" w:rsidR="003C6020" w:rsidRDefault="003C6020"/>
    <w:p w14:paraId="12FDA16D" w14:textId="5EAC974E" w:rsidR="004E3844" w:rsidRDefault="003C6020">
      <w:r>
        <w:t>The experiment collect</w:t>
      </w:r>
      <w:r w:rsidR="004E3844">
        <w:t>s</w:t>
      </w:r>
      <w:r>
        <w:t xml:space="preserve"> data on the external variables and </w:t>
      </w:r>
      <w:r w:rsidR="006839CB">
        <w:t xml:space="preserve">the </w:t>
      </w:r>
      <w:r w:rsidR="002D7AF2">
        <w:t xml:space="preserve">two </w:t>
      </w:r>
      <w:r>
        <w:t>key metrics</w:t>
      </w:r>
      <w:r w:rsidR="004E3844">
        <w:t xml:space="preserve"> </w:t>
      </w:r>
      <w:r w:rsidR="006839CB">
        <w:t>throughout the entire study period</w:t>
      </w:r>
      <w:r w:rsidR="002D7AF2">
        <w:t xml:space="preserve">, </w:t>
      </w:r>
      <w:r w:rsidR="00176E8F">
        <w:t>split into pre incentive</w:t>
      </w:r>
      <w:r w:rsidR="00173819">
        <w:t xml:space="preserve"> and </w:t>
      </w:r>
      <w:r w:rsidR="00176E8F">
        <w:t>post incentive.</w:t>
      </w:r>
    </w:p>
    <w:p w14:paraId="0E2B7EF9" w14:textId="3DFA581C" w:rsidR="004E3844" w:rsidRDefault="004E3844"/>
    <w:p w14:paraId="00000019" w14:textId="745708B0" w:rsidR="00351945" w:rsidRDefault="007A405D">
      <w:pPr>
        <w:rPr>
          <w:b/>
        </w:rPr>
      </w:pPr>
      <w:r>
        <w:rPr>
          <w:b/>
        </w:rPr>
        <w:t>4.1 Bayesian AB testing</w:t>
      </w:r>
    </w:p>
    <w:p w14:paraId="372F9219" w14:textId="77777777" w:rsidR="00176E8F" w:rsidRDefault="00176E8F">
      <w:pPr>
        <w:rPr>
          <w:b/>
        </w:rPr>
      </w:pPr>
    </w:p>
    <w:p w14:paraId="45A0A3CA" w14:textId="51D09A6F" w:rsidR="00176E8F" w:rsidRPr="00176E8F" w:rsidRDefault="00176E8F">
      <w:pPr>
        <w:rPr>
          <w:bCs/>
        </w:rPr>
      </w:pPr>
      <w:r>
        <w:rPr>
          <w:bCs/>
        </w:rPr>
        <w:t xml:space="preserve">Bayesian approach is more suitable for AB testing in the context of fraudulent streaming detection than frequentist approach for multiple reasons. Instead of just rejecting a null hypothesis (frequentist), Bayesian methods allow us to estimate the probability that fraudulent streaming increased by a certain amount due to the incentive. Additionally, Bayesian approach can continuously update belief without affecting statistical validity </w:t>
      </w:r>
      <w:r w:rsidR="0019399A">
        <w:t xml:space="preserve">(Fornacon-Wood et al., 2021) </w:t>
      </w:r>
      <w:r>
        <w:rPr>
          <w:bCs/>
        </w:rPr>
        <w:t>while frequentist suffers from the multiple testing problem</w:t>
      </w:r>
      <w:r w:rsidR="00383978">
        <w:rPr>
          <w:bCs/>
        </w:rPr>
        <w:t>;</w:t>
      </w:r>
      <w:r>
        <w:rPr>
          <w:bCs/>
        </w:rPr>
        <w:t xml:space="preserve"> running tests repeatedly increases the </w:t>
      </w:r>
      <w:r w:rsidR="0019399A">
        <w:rPr>
          <w:bCs/>
        </w:rPr>
        <w:t>probability</w:t>
      </w:r>
      <w:r>
        <w:rPr>
          <w:bCs/>
        </w:rPr>
        <w:t xml:space="preserve"> of false positive</w:t>
      </w:r>
      <w:r w:rsidR="0019399A">
        <w:rPr>
          <w:bCs/>
        </w:rPr>
        <w:t xml:space="preserve"> </w:t>
      </w:r>
      <w:r w:rsidR="0019399A">
        <w:t>(Growthbook)</w:t>
      </w:r>
      <w:r>
        <w:rPr>
          <w:bCs/>
        </w:rPr>
        <w:t>.</w:t>
      </w:r>
    </w:p>
    <w:p w14:paraId="0000001C" w14:textId="77777777" w:rsidR="00351945" w:rsidRDefault="00351945"/>
    <w:p w14:paraId="4C7B7E79" w14:textId="3AC53C29" w:rsidR="00176E8F" w:rsidRDefault="001F4C91">
      <w:r>
        <w:t>T</w:t>
      </w:r>
      <w:r w:rsidR="00176E8F">
        <w:t xml:space="preserve">he data </w:t>
      </w:r>
      <w:r>
        <w:t xml:space="preserve">collected </w:t>
      </w:r>
      <w:r w:rsidR="00176E8F">
        <w:t>is used to refine the models’ parameters</w:t>
      </w:r>
      <w:r w:rsidR="007A405D">
        <w:t xml:space="preserve"> defined into </w:t>
      </w:r>
      <w:r w:rsidR="004358D7">
        <w:t>three</w:t>
      </w:r>
      <w:r w:rsidR="007A405D">
        <w:t xml:space="preserve"> phases</w:t>
      </w:r>
      <w:r w:rsidR="00176E8F">
        <w:t xml:space="preserve">. The first step involves tuning the model using pre-incentive results to establish a baseline for fraudulent streaming activity before any incentives were introduced. Next, post-incentive data </w:t>
      </w:r>
      <w:r w:rsidR="006D6C76">
        <w:t>is used to integrate the incentive effect into the models</w:t>
      </w:r>
      <w:r w:rsidR="00176E8F">
        <w:t>. Lastly, post-incentive data from the test and control groups are compared to isolate the effect of the incentive from external factors.</w:t>
      </w:r>
      <w:r w:rsidR="00176E8F">
        <w:tab/>
      </w:r>
    </w:p>
    <w:p w14:paraId="32E7FDC5" w14:textId="77777777" w:rsidR="00F72153" w:rsidRDefault="00F72153"/>
    <w:p w14:paraId="7D9C146E" w14:textId="0A9B1EBC" w:rsidR="00F72153" w:rsidRDefault="00176E8F" w:rsidP="00F72153">
      <w:r>
        <w:lastRenderedPageBreak/>
        <w:t>Before</w:t>
      </w:r>
      <w:r w:rsidR="00F72153">
        <w:t xml:space="preserve"> estimat</w:t>
      </w:r>
      <w:r>
        <w:t>ing</w:t>
      </w:r>
      <w:r w:rsidR="00F72153">
        <w:t xml:space="preserve"> the baseline </w:t>
      </w:r>
      <w:r>
        <w:t>level</w:t>
      </w:r>
      <w:r w:rsidR="00F72153">
        <w:t xml:space="preserve"> for both the test and control group</w:t>
      </w:r>
      <w:r>
        <w:t>,</w:t>
      </w:r>
      <w:r w:rsidR="00F72153">
        <w:t xml:space="preserve"> </w:t>
      </w:r>
      <w:r>
        <w:t xml:space="preserve">it is necessary to specify </w:t>
      </w:r>
      <w:r w:rsidR="00F72153">
        <w:t xml:space="preserve">appropriate priors for all model </w:t>
      </w:r>
      <w:r>
        <w:t>variables</w:t>
      </w:r>
      <w:r w:rsidR="00F72153">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1,i,j</m:t>
            </m:r>
          </m:sub>
        </m:sSub>
        <m:r>
          <w:rPr>
            <w:rFonts w:ascii="Cambria Math" w:hAnsi="Cambria Math"/>
          </w:rPr>
          <m:t xml:space="preserve">, … , </m:t>
        </m:r>
        <m:sSub>
          <m:sSubPr>
            <m:ctrlPr>
              <w:rPr>
                <w:rFonts w:ascii="Cambria Math" w:hAnsi="Cambria Math"/>
                <w:i/>
              </w:rPr>
            </m:ctrlPr>
          </m:sSubPr>
          <m:e>
            <m:r>
              <w:rPr>
                <w:rFonts w:ascii="Cambria Math" w:hAnsi="Cambria Math"/>
              </w:rPr>
              <m:t>β</m:t>
            </m:r>
          </m:e>
          <m:sub>
            <m:r>
              <w:rPr>
                <w:rFonts w:ascii="Cambria Math" w:hAnsi="Cambria Math"/>
              </w:rPr>
              <m:t>5,i,j</m:t>
            </m:r>
          </m:sub>
        </m:sSub>
        <m:r>
          <w:rPr>
            <w:rFonts w:ascii="Cambria Math" w:hAnsi="Cambria Math"/>
          </w:rPr>
          <m:t>)</m:t>
        </m:r>
      </m:oMath>
      <w:r>
        <w:t xml:space="preserve"> and define a likelihood function</w:t>
      </w:r>
      <w:r w:rsidR="006839CB">
        <w:t xml:space="preserve">. </w:t>
      </w:r>
      <w:r w:rsidR="00F72153">
        <w:t>The</w:t>
      </w:r>
      <w:r w:rsidR="006839CB">
        <w:t>se</w:t>
      </w:r>
      <w:r w:rsidR="00F72153">
        <w:t xml:space="preserve"> priors are the </w:t>
      </w:r>
      <w:r w:rsidR="006839CB">
        <w:t xml:space="preserve">reasonable </w:t>
      </w:r>
      <w:r w:rsidR="00F72153">
        <w:t>initial assumptions about the distribution</w:t>
      </w:r>
      <w:r w:rsidR="006839CB">
        <w:t xml:space="preserve"> of the </w:t>
      </w:r>
      <w:r>
        <w:t>variables</w:t>
      </w:r>
      <w:r w:rsidR="006839CB">
        <w:t xml:space="preserve">, </w:t>
      </w:r>
      <w:r>
        <w:t>informed by historical data and prior studies</w:t>
      </w:r>
      <w:r w:rsidR="00FC60AE">
        <w:t xml:space="preserve">. </w:t>
      </w:r>
      <w:r w:rsidR="00F72153">
        <w:t xml:space="preserve">The likelihood function </w:t>
      </w:r>
      <w:r w:rsidR="006839CB">
        <w:t>describes</w:t>
      </w:r>
      <w:r w:rsidR="00F72153">
        <w:t xml:space="preserve"> how the observed metric</w:t>
      </w:r>
      <w:r w:rsidR="006839CB">
        <w:t>s</w:t>
      </w:r>
      <w:r w:rsidR="00F72153">
        <w:t xml:space="preserve"> </w:t>
      </w:r>
      <w:r w:rsidR="006839CB">
        <w:t>are</w:t>
      </w:r>
      <w:r w:rsidR="00F72153">
        <w:t xml:space="preserve"> distributed given the model</w:t>
      </w:r>
      <w:r>
        <w:t>’s</w:t>
      </w:r>
      <w:r w:rsidR="00F72153">
        <w:t xml:space="preserve"> </w:t>
      </w:r>
      <w:r>
        <w:t>variables</w:t>
      </w:r>
      <w:r w:rsidR="00F72153">
        <w:t xml:space="preserve">. </w:t>
      </w:r>
      <w:r>
        <w:t>Since the number of streams is positive and exhibits high variance across artist</w:t>
      </w:r>
      <w:r w:rsidR="00F72153">
        <w:t xml:space="preserve">, a </w:t>
      </w:r>
      <w:r>
        <w:t>gamma</w:t>
      </w:r>
      <w:r w:rsidR="00F72153">
        <w:t xml:space="preserve"> distribution </w:t>
      </w:r>
      <w:r>
        <w:t>may be a suitable likelihood function</w:t>
      </w:r>
      <w:r w:rsidR="00F72153">
        <w:t xml:space="preserve">. </w:t>
      </w:r>
    </w:p>
    <w:p w14:paraId="40E9193A" w14:textId="0556CC30" w:rsidR="00F72153" w:rsidRDefault="00F72153"/>
    <w:p w14:paraId="192AF7E8" w14:textId="4EAA3A1B" w:rsidR="00F72153" w:rsidRDefault="00F72153" w:rsidP="00F72153">
      <w:r>
        <w:t xml:space="preserve">After </w:t>
      </w:r>
      <w:r w:rsidR="00176E8F">
        <w:t>defining</w:t>
      </w:r>
      <w:r>
        <w:t xml:space="preserve"> the priors and likelihood function, </w:t>
      </w:r>
      <w:r w:rsidR="00176E8F">
        <w:t xml:space="preserve">Bayesian inference is performed </w:t>
      </w:r>
      <w:r w:rsidR="007A405D">
        <w:t xml:space="preserve">during each of the four phases </w:t>
      </w:r>
      <w:r w:rsidR="00176E8F">
        <w:t xml:space="preserve">using </w:t>
      </w:r>
      <w:r>
        <w:t xml:space="preserve">Markov Chain Monte Carlo (MCMC) simulations to </w:t>
      </w:r>
      <w:r w:rsidR="00176E8F">
        <w:t>approximate</w:t>
      </w:r>
      <w:r>
        <w:t xml:space="preserve"> the posterior distributions of the </w:t>
      </w:r>
      <w:r w:rsidR="00176E8F">
        <w:t>variables</w:t>
      </w:r>
      <w:r>
        <w:t xml:space="preserve">. The posterior distribution </w:t>
      </w:r>
      <w:r w:rsidR="006839CB">
        <w:t xml:space="preserve">represents the updated beliefs about the </w:t>
      </w:r>
      <w:r w:rsidR="00176E8F">
        <w:t xml:space="preserve">variables </w:t>
      </w:r>
      <w:r w:rsidR="006839CB">
        <w:t>after incorporating observed data</w:t>
      </w:r>
      <w:r>
        <w:t xml:space="preserve">. </w:t>
      </w:r>
      <w:r w:rsidR="00176E8F">
        <w:t>MCMC methods, such as the Metropolis-Hastings algorithm, are used to generate samples from the posterior distribution, allowing the models to iteratively adjust parameter estimates based on observed streaming data</w:t>
      </w:r>
      <w:r w:rsidR="002909BE">
        <w:t xml:space="preserve"> (Brownlee, 2019)</w:t>
      </w:r>
      <w:r w:rsidR="00176E8F">
        <w:t>.</w:t>
      </w:r>
    </w:p>
    <w:p w14:paraId="0A93B42C" w14:textId="77777777" w:rsidR="004E3844" w:rsidRDefault="004E3844"/>
    <w:p w14:paraId="36D2405A" w14:textId="2362B21F" w:rsidR="004E3844" w:rsidRDefault="007A405D">
      <w:pPr>
        <w:rPr>
          <w:b/>
          <w:bCs/>
        </w:rPr>
      </w:pPr>
      <w:r>
        <w:rPr>
          <w:b/>
          <w:bCs/>
        </w:rPr>
        <w:t>4</w:t>
      </w:r>
      <w:r w:rsidR="004E3844" w:rsidRPr="004E3844">
        <w:rPr>
          <w:b/>
          <w:bCs/>
        </w:rPr>
        <w:t>.</w:t>
      </w:r>
      <w:r>
        <w:rPr>
          <w:b/>
          <w:bCs/>
        </w:rPr>
        <w:t>2</w:t>
      </w:r>
      <w:r w:rsidR="004E3844" w:rsidRPr="004E3844">
        <w:rPr>
          <w:b/>
          <w:bCs/>
        </w:rPr>
        <w:t xml:space="preserve"> </w:t>
      </w:r>
      <w:r w:rsidR="004E3844">
        <w:rPr>
          <w:b/>
          <w:bCs/>
        </w:rPr>
        <w:t>Baseline Effects</w:t>
      </w:r>
      <w:r w:rsidR="001F4C91">
        <w:rPr>
          <w:b/>
          <w:bCs/>
        </w:rPr>
        <w:t xml:space="preserve"> (Pre-Incentive)</w:t>
      </w:r>
    </w:p>
    <w:p w14:paraId="19A99D79" w14:textId="77777777" w:rsidR="004E3844" w:rsidRDefault="004E3844">
      <w:pPr>
        <w:rPr>
          <w:b/>
          <w:bCs/>
        </w:rPr>
      </w:pPr>
    </w:p>
    <w:p w14:paraId="61780324" w14:textId="77777777" w:rsidR="001F4C91" w:rsidRDefault="001F4C91">
      <w:r>
        <w:t xml:space="preserve">After establishing a preliminary model with defined priors and a likelihood function, </w:t>
      </w:r>
      <w:r w:rsidR="00F72153">
        <w:t xml:space="preserve">pre-incentive data is </w:t>
      </w:r>
      <w:r>
        <w:t>continuously collected to dynamically refine the model’s understanding of both the test and control group. This process involves updating</w:t>
      </w:r>
      <w:r w:rsidR="00F72153">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F72153">
        <w:t xml:space="preserve"> (baseline level) and </w:t>
      </w:r>
      <m:oMath>
        <m:sSub>
          <m:sSubPr>
            <m:ctrlPr>
              <w:rPr>
                <w:rFonts w:ascii="Cambria Math" w:hAnsi="Cambria Math"/>
                <w:i/>
              </w:rPr>
            </m:ctrlPr>
          </m:sSubPr>
          <m:e>
            <m:r>
              <w:rPr>
                <w:rFonts w:ascii="Cambria Math" w:hAnsi="Cambria Math"/>
              </w:rPr>
              <m:t>β</m:t>
            </m:r>
          </m:e>
          <m:sub>
            <m:r>
              <w:rPr>
                <w:rFonts w:ascii="Cambria Math" w:hAnsi="Cambria Math"/>
              </w:rPr>
              <m:t>2-5,i,j</m:t>
            </m:r>
          </m:sub>
        </m:sSub>
      </m:oMath>
      <w:r w:rsidR="00F72153">
        <w:t xml:space="preserve"> (external confounders)</w:t>
      </w:r>
      <w:r>
        <w:t xml:space="preserve"> parameters</w:t>
      </w:r>
      <w:r w:rsidR="006839CB">
        <w:t xml:space="preserve"> to </w:t>
      </w:r>
      <w:r>
        <w:t>reflect</w:t>
      </w:r>
      <w:r w:rsidR="006839CB">
        <w:t xml:space="preserve"> the pre-incentive</w:t>
      </w:r>
      <w:r>
        <w:t xml:space="preserve"> state of fraudulent activity. </w:t>
      </w:r>
    </w:p>
    <w:p w14:paraId="07DA02FE" w14:textId="77777777" w:rsidR="001F4C91" w:rsidRDefault="001F4C91"/>
    <w:p w14:paraId="2C2C6339" w14:textId="7685FF71" w:rsidR="004358D7" w:rsidRPr="004358D7" w:rsidRDefault="001F4C91" w:rsidP="004358D7">
      <w:r>
        <w:t>After the first week of data collection, perform Bayesian inference using MCMC methods to update the posterior distributions of the model’s parameters. With the trained model, check the model’s predictions are fitting the observed data using performance metrics such as accuracy and residual analysis. If the fit is poor, collect additional training data in the subsequent weeks, change the priors or adjusting the external variables. The estimated time duration for the first phase is from two to four weeks depending on the model’s initial fit.</w:t>
      </w:r>
    </w:p>
    <w:p w14:paraId="4975F613" w14:textId="77777777" w:rsidR="00F72153" w:rsidRDefault="00F72153">
      <w:pPr>
        <w:rPr>
          <w:b/>
          <w:bCs/>
        </w:rPr>
      </w:pPr>
    </w:p>
    <w:p w14:paraId="46DD67CB" w14:textId="5081A623" w:rsidR="004E3844" w:rsidRDefault="001F4C91">
      <w:pPr>
        <w:rPr>
          <w:b/>
          <w:bCs/>
        </w:rPr>
      </w:pPr>
      <w:r>
        <w:rPr>
          <w:b/>
          <w:bCs/>
        </w:rPr>
        <w:t>4.</w:t>
      </w:r>
      <w:r w:rsidR="004358D7">
        <w:rPr>
          <w:b/>
          <w:bCs/>
        </w:rPr>
        <w:t>3</w:t>
      </w:r>
      <w:r w:rsidR="00753429" w:rsidRPr="00753429">
        <w:rPr>
          <w:b/>
          <w:bCs/>
        </w:rPr>
        <w:t xml:space="preserve"> Post-Incentive</w:t>
      </w:r>
    </w:p>
    <w:p w14:paraId="156ABD3E" w14:textId="77777777" w:rsidR="00753429" w:rsidRDefault="00753429">
      <w:pPr>
        <w:rPr>
          <w:b/>
          <w:bCs/>
        </w:rPr>
      </w:pPr>
    </w:p>
    <w:p w14:paraId="75386DD3" w14:textId="77777777" w:rsidR="001F4C91" w:rsidRDefault="001F4C91">
      <w:r>
        <w:t>After implementing the incentive, post-incentive data is continuously collected to adjust the model’s posterior distributions for the incentive effect (</w:t>
      </w:r>
      <m:oMath>
        <m:sSub>
          <m:sSubPr>
            <m:ctrlPr>
              <w:rPr>
                <w:rFonts w:ascii="Cambria Math" w:hAnsi="Cambria Math"/>
                <w:i/>
              </w:rPr>
            </m:ctrlPr>
          </m:sSubPr>
          <m:e>
            <m:r>
              <w:rPr>
                <w:rFonts w:ascii="Cambria Math" w:hAnsi="Cambria Math"/>
              </w:rPr>
              <m:t>β</m:t>
            </m:r>
          </m:e>
          <m:sub>
            <m:r>
              <w:rPr>
                <w:rFonts w:ascii="Cambria Math" w:hAnsi="Cambria Math"/>
              </w:rPr>
              <m:t>1,i,j</m:t>
            </m:r>
          </m:sub>
        </m:sSub>
      </m:oMath>
      <w:r>
        <w:t>) and external factors (</w:t>
      </w:r>
      <m:oMath>
        <m:sSub>
          <m:sSubPr>
            <m:ctrlPr>
              <w:rPr>
                <w:rFonts w:ascii="Cambria Math" w:hAnsi="Cambria Math"/>
                <w:i/>
              </w:rPr>
            </m:ctrlPr>
          </m:sSubPr>
          <m:e>
            <m:r>
              <w:rPr>
                <w:rFonts w:ascii="Cambria Math" w:hAnsi="Cambria Math"/>
              </w:rPr>
              <m:t>β</m:t>
            </m:r>
          </m:e>
          <m:sub>
            <m:r>
              <w:rPr>
                <w:rFonts w:ascii="Cambria Math" w:hAnsi="Cambria Math"/>
              </w:rPr>
              <m:t>2-5,i,j</m:t>
            </m:r>
          </m:sub>
        </m:sSub>
      </m:oMath>
      <w:r>
        <w:t xml:space="preserve">) on a regular weekly basis. </w:t>
      </w:r>
    </w:p>
    <w:p w14:paraId="1E0DE4C6" w14:textId="77777777" w:rsidR="001F4C91" w:rsidRDefault="001F4C91"/>
    <w:p w14:paraId="43516177" w14:textId="5D70B4AD" w:rsidR="001F4C91" w:rsidRPr="001F4C91" w:rsidRDefault="001F4C91">
      <w:r>
        <w:t>If the incentive effect (</w:t>
      </w:r>
      <m:oMath>
        <m:sSub>
          <m:sSubPr>
            <m:ctrlPr>
              <w:rPr>
                <w:rFonts w:ascii="Cambria Math" w:hAnsi="Cambria Math"/>
                <w:i/>
              </w:rPr>
            </m:ctrlPr>
          </m:sSubPr>
          <m:e>
            <m:r>
              <w:rPr>
                <w:rFonts w:ascii="Cambria Math" w:hAnsi="Cambria Math"/>
              </w:rPr>
              <m:t>β</m:t>
            </m:r>
          </m:e>
          <m:sub>
            <m:r>
              <w:rPr>
                <w:rFonts w:ascii="Cambria Math" w:hAnsi="Cambria Math"/>
              </w:rPr>
              <m:t>1,i,j</m:t>
            </m:r>
          </m:sub>
        </m:sSub>
      </m:oMath>
      <w:r>
        <w:t>) is small or test group’s streaming activity did not increase substantially, the incentive strategy may require revision like increasing the royalty split or refining the incentive parameters.</w:t>
      </w:r>
      <w:r w:rsidR="00173819">
        <w:t xml:space="preserve"> The post-incentive comparison would constitute approximately two to four weeks.</w:t>
      </w:r>
    </w:p>
    <w:p w14:paraId="5EABE032" w14:textId="50812AF0" w:rsidR="00F72153" w:rsidRDefault="00F72153" w:rsidP="00173819"/>
    <w:p w14:paraId="50860804" w14:textId="6BC032C2" w:rsidR="00F72153" w:rsidRDefault="00A608C9">
      <w:pPr>
        <w:rPr>
          <w:b/>
          <w:bCs/>
        </w:rPr>
      </w:pPr>
      <w:r>
        <w:rPr>
          <w:b/>
          <w:bCs/>
        </w:rPr>
        <w:t>5</w:t>
      </w:r>
      <w:r w:rsidR="00F72153" w:rsidRPr="00F72153">
        <w:rPr>
          <w:b/>
          <w:bCs/>
        </w:rPr>
        <w:t xml:space="preserve">.  </w:t>
      </w:r>
      <w:r w:rsidR="00173819">
        <w:rPr>
          <w:b/>
          <w:bCs/>
        </w:rPr>
        <w:t>Test vs Control Comparison</w:t>
      </w:r>
    </w:p>
    <w:p w14:paraId="52C8B10B" w14:textId="77777777" w:rsidR="00F72153" w:rsidRDefault="00F72153">
      <w:pPr>
        <w:rPr>
          <w:b/>
          <w:bCs/>
        </w:rPr>
      </w:pPr>
    </w:p>
    <w:p w14:paraId="7CAA8B4E" w14:textId="6F5DFB50" w:rsidR="006839CB" w:rsidRDefault="006839CB">
      <w:r>
        <w:lastRenderedPageBreak/>
        <w:t>In</w:t>
      </w:r>
      <w:r w:rsidR="00F72153">
        <w:t xml:space="preserve"> this report, Fraud Proportion is defined as the </w:t>
      </w:r>
      <w:r>
        <w:t>ratio of fraudulent streams to the total observed streams</w:t>
      </w:r>
      <w:r w:rsidR="00F72153">
        <w:t xml:space="preserve">. </w:t>
      </w:r>
      <w:r w:rsidR="00144B9D" w:rsidRPr="00144B9D">
        <w:t>After completing the</w:t>
      </w:r>
      <w:r w:rsidR="00A73565">
        <w:t xml:space="preserve"> models’ adjustments</w:t>
      </w:r>
      <w:r w:rsidR="00144B9D" w:rsidRPr="00144B9D">
        <w:t>, we obtain the posterior distributions' parameters</w:t>
      </w:r>
      <w:r w:rsidR="005A4AAF">
        <w:t xml:space="preser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4B9D" w:rsidRPr="00144B9D">
        <w:t xml:space="preserve"> for each metric</w:t>
      </w:r>
      <w:r w:rsidR="00144B9D">
        <w:t xml:space="preserve"> and artist. </w:t>
      </w:r>
    </w:p>
    <w:p w14:paraId="1DF324F8" w14:textId="77777777" w:rsidR="006839CB" w:rsidRDefault="006839CB"/>
    <w:p w14:paraId="407BC254" w14:textId="20DE87EC" w:rsidR="00A73565" w:rsidRDefault="00B14675" w:rsidP="00A73565">
      <w:pPr>
        <w:rPr>
          <w:b/>
          <w:bCs/>
        </w:rPr>
      </w:pPr>
      <w:r>
        <w:rPr>
          <w:b/>
          <w:bCs/>
        </w:rPr>
        <w:t>5</w:t>
      </w:r>
      <w:r w:rsidRPr="00F72153">
        <w:rPr>
          <w:b/>
          <w:bCs/>
        </w:rPr>
        <w:t>.</w:t>
      </w:r>
      <w:r>
        <w:rPr>
          <w:b/>
          <w:bCs/>
        </w:rPr>
        <w:t>1</w:t>
      </w:r>
      <w:r w:rsidRPr="00F72153">
        <w:rPr>
          <w:b/>
          <w:bCs/>
        </w:rPr>
        <w:t xml:space="preserve"> Computing</w:t>
      </w:r>
      <w:r w:rsidR="00A73565">
        <w:rPr>
          <w:b/>
          <w:bCs/>
        </w:rPr>
        <w:t xml:space="preserve"> </w:t>
      </w:r>
      <m:oMath>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oMath>
      <w:r w:rsidR="00A73565">
        <w:rPr>
          <w:b/>
          <w:bCs/>
        </w:rPr>
        <w:t xml:space="preserve"> in the Control Group</w:t>
      </w:r>
    </w:p>
    <w:p w14:paraId="1BB1E6C8" w14:textId="77777777" w:rsidR="00A73565" w:rsidRDefault="00A73565"/>
    <w:p w14:paraId="510C2E15" w14:textId="3CC02580" w:rsidR="00F72153" w:rsidRDefault="005A4AAF">
      <w:r>
        <w:t xml:space="preserve">Within the control group, </w:t>
      </w:r>
      <w:r w:rsidR="00B14675">
        <w:t xml:space="preserve">we first </w:t>
      </w:r>
      <w:r>
        <w:t xml:space="preserve">compute the mean and standard deviation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w:t>
      </w:r>
    </w:p>
    <w:p w14:paraId="614E0554" w14:textId="2D44D7EA" w:rsidR="005A4AAF" w:rsidRPr="005A4AAF" w:rsidRDefault="00E7411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1,i,j</m:t>
                  </m:r>
                </m:sub>
              </m:sSub>
            </m:e>
          </m:nary>
        </m:oMath>
      </m:oMathPara>
    </w:p>
    <w:p w14:paraId="59B46E46" w14:textId="77777777" w:rsidR="005A4AAF" w:rsidRPr="005A4AAF" w:rsidRDefault="005A4AAF"/>
    <w:p w14:paraId="5C5EA6EE" w14:textId="4A0D2C9F" w:rsidR="005A4AAF" w:rsidRPr="005A4AAF" w:rsidRDefault="00E74115">
      <w:pPr>
        <w:rPr>
          <w:rStyle w:val="mord"/>
        </w:rPr>
      </w:pPr>
      <m:oMathPara>
        <m:oMath>
          <m:sSub>
            <m:sSubPr>
              <m:ctrlPr>
                <w:rPr>
                  <w:rStyle w:val="mord"/>
                  <w:rFonts w:ascii="Cambria Math" w:hAnsi="Cambria Math"/>
                </w:rPr>
              </m:ctrlPr>
            </m:sSubPr>
            <m:e>
              <m:r>
                <w:rPr>
                  <w:rStyle w:val="mord"/>
                  <w:rFonts w:ascii="Cambria Math" w:hAnsi="Cambria Math"/>
                </w:rPr>
                <m:t>s</m:t>
              </m:r>
            </m:e>
            <m:sub>
              <m:sSub>
                <m:sSubPr>
                  <m:ctrlPr>
                    <w:rPr>
                      <w:rFonts w:ascii="Cambria Math" w:hAnsi="Cambria Math"/>
                      <w:i/>
                    </w:rPr>
                  </m:ctrlPr>
                </m:sSubPr>
                <m:e>
                  <m:r>
                    <w:rPr>
                      <w:rFonts w:ascii="Cambria Math" w:hAnsi="Cambria Math"/>
                    </w:rPr>
                    <m:t>β</m:t>
                  </m:r>
                </m:e>
                <m:sub>
                  <m:r>
                    <w:rPr>
                      <w:rFonts w:ascii="Cambria Math" w:hAnsi="Cambria Math"/>
                    </w:rPr>
                    <m:t>1,j</m:t>
                  </m:r>
                </m:sub>
              </m:sSub>
            </m:sub>
          </m:sSub>
          <m:r>
            <w:rPr>
              <w:rStyle w:val="mord"/>
              <w:rFonts w:ascii="Cambria Math" w:hAnsi="Cambria Math"/>
            </w:rPr>
            <m:t>=</m:t>
          </m:r>
          <m:rad>
            <m:radPr>
              <m:degHide m:val="1"/>
              <m:ctrlPr>
                <w:rPr>
                  <w:rStyle w:val="mord"/>
                  <w:rFonts w:ascii="Cambria Math" w:hAnsi="Cambria Math"/>
                  <w:i/>
                </w:rPr>
              </m:ctrlPr>
            </m:radPr>
            <m:deg/>
            <m:e>
              <m:f>
                <m:fPr>
                  <m:ctrlPr>
                    <w:rPr>
                      <w:rStyle w:val="mord"/>
                      <w:rFonts w:ascii="Cambria Math" w:hAnsi="Cambria Math"/>
                      <w:i/>
                    </w:rPr>
                  </m:ctrlPr>
                </m:fPr>
                <m:num>
                  <m:r>
                    <w:rPr>
                      <w:rStyle w:val="mord"/>
                      <w:rFonts w:ascii="Cambria Math" w:hAnsi="Cambria Math"/>
                    </w:rPr>
                    <m:t>1</m:t>
                  </m:r>
                </m:num>
                <m:den>
                  <m:r>
                    <w:rPr>
                      <w:rStyle w:val="mord"/>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m:t>
                          </m:r>
                        </m:sub>
                      </m:sSub>
                      <m:r>
                        <w:rPr>
                          <w:rFonts w:ascii="Cambria Math" w:hAnsi="Cambria Math"/>
                        </w:rPr>
                        <m:t>)</m:t>
                      </m:r>
                    </m:e>
                    <m:sup>
                      <m:r>
                        <w:rPr>
                          <w:rFonts w:ascii="Cambria Math" w:hAnsi="Cambria Math"/>
                        </w:rPr>
                        <m:t>2</m:t>
                      </m:r>
                    </m:sup>
                  </m:sSup>
                </m:e>
              </m:nary>
            </m:e>
          </m:rad>
        </m:oMath>
      </m:oMathPara>
    </w:p>
    <w:p w14:paraId="02824761" w14:textId="77777777" w:rsidR="005A4AAF" w:rsidRPr="00F72153" w:rsidRDefault="005A4AAF"/>
    <w:p w14:paraId="592DCE53" w14:textId="29097C24" w:rsidR="004E3844" w:rsidRDefault="005A4AAF">
      <w:r>
        <w:t xml:space="preserve">If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w:t>
      </w:r>
      <w:r w:rsidR="00B14675">
        <w:t>follows a</w:t>
      </w:r>
      <w:r>
        <w:t xml:space="preserve"> normal distributed, the 95% confidence interval</w:t>
      </w:r>
      <w:r w:rsidR="00B14675">
        <w:t xml:space="preserve"> (CI)</w:t>
      </w:r>
      <w:r>
        <w:t xml:space="preserve"> </w:t>
      </w:r>
      <w:r w:rsidR="00B14675">
        <w:t>is given by</w:t>
      </w:r>
      <w:r w:rsidR="006839CB">
        <w:t>:</w:t>
      </w:r>
    </w:p>
    <w:p w14:paraId="0A0C97C3" w14:textId="77777777" w:rsidR="005A4AAF" w:rsidRDefault="005A4AAF"/>
    <w:p w14:paraId="094967A6" w14:textId="60A9CA17" w:rsidR="005A4AAF" w:rsidRPr="005A4AAF" w:rsidRDefault="00E74115">
      <w:pPr>
        <w:rPr>
          <w:rStyle w:val="mord"/>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m:t>
              </m:r>
            </m:sub>
          </m:sSub>
          <m:r>
            <w:rPr>
              <w:rFonts w:ascii="Cambria Math" w:hAnsi="Cambria Math"/>
            </w:rPr>
            <m:t>±1.96×</m:t>
          </m:r>
          <m:f>
            <m:fPr>
              <m:ctrlPr>
                <w:rPr>
                  <w:rStyle w:val="mord"/>
                  <w:rFonts w:ascii="Cambria Math" w:hAnsi="Cambria Math"/>
                  <w:i/>
                </w:rPr>
              </m:ctrlPr>
            </m:fPr>
            <m:num>
              <m:sSub>
                <m:sSubPr>
                  <m:ctrlPr>
                    <w:rPr>
                      <w:rStyle w:val="mord"/>
                      <w:rFonts w:ascii="Cambria Math" w:hAnsi="Cambria Math"/>
                    </w:rPr>
                  </m:ctrlPr>
                </m:sSubPr>
                <m:e>
                  <m:r>
                    <w:rPr>
                      <w:rStyle w:val="mord"/>
                      <w:rFonts w:ascii="Cambria Math" w:hAnsi="Cambria Math"/>
                    </w:rPr>
                    <m:t>s</m:t>
                  </m:r>
                </m:e>
                <m:sub>
                  <m:sSub>
                    <m:sSubPr>
                      <m:ctrlPr>
                        <w:rPr>
                          <w:rFonts w:ascii="Cambria Math" w:hAnsi="Cambria Math"/>
                          <w:i/>
                        </w:rPr>
                      </m:ctrlPr>
                    </m:sSubPr>
                    <m:e>
                      <m:r>
                        <w:rPr>
                          <w:rFonts w:ascii="Cambria Math" w:hAnsi="Cambria Math"/>
                        </w:rPr>
                        <m:t>β</m:t>
                      </m:r>
                    </m:e>
                    <m:sub>
                      <m:r>
                        <w:rPr>
                          <w:rFonts w:ascii="Cambria Math" w:hAnsi="Cambria Math"/>
                        </w:rPr>
                        <m:t>1,j</m:t>
                      </m:r>
                    </m:sub>
                  </m:sSub>
                </m:sub>
              </m:sSub>
              <m:ctrlPr>
                <w:rPr>
                  <w:rFonts w:ascii="Cambria Math" w:hAnsi="Cambria Math"/>
                  <w:i/>
                </w:rPr>
              </m:ctrlPr>
            </m:num>
            <m:den>
              <m:rad>
                <m:radPr>
                  <m:degHide m:val="1"/>
                  <m:ctrlPr>
                    <w:rPr>
                      <w:rStyle w:val="mord"/>
                      <w:rFonts w:ascii="Cambria Math" w:hAnsi="Cambria Math"/>
                      <w:i/>
                    </w:rPr>
                  </m:ctrlPr>
                </m:radPr>
                <m:deg/>
                <m:e>
                  <m:r>
                    <w:rPr>
                      <w:rStyle w:val="mord"/>
                      <w:rFonts w:ascii="Cambria Math" w:hAnsi="Cambria Math"/>
                    </w:rPr>
                    <m:t>N</m:t>
                  </m:r>
                </m:e>
              </m:rad>
            </m:den>
          </m:f>
        </m:oMath>
      </m:oMathPara>
    </w:p>
    <w:p w14:paraId="1186C4D8" w14:textId="77777777" w:rsidR="005A4AAF" w:rsidRDefault="005A4AAF">
      <w:pPr>
        <w:rPr>
          <w:rStyle w:val="mord"/>
        </w:rPr>
      </w:pPr>
    </w:p>
    <w:p w14:paraId="24F250AB" w14:textId="7A0D9369" w:rsidR="005A4AAF" w:rsidRDefault="005A4AAF">
      <w:pPr>
        <w:rPr>
          <w:rStyle w:val="mord"/>
        </w:rPr>
      </w:pPr>
      <w:r>
        <w:rPr>
          <w:rStyle w:val="mord"/>
        </w:rPr>
        <w:t xml:space="preserve">If the confidence interval contains 0, it </w:t>
      </w:r>
      <w:r w:rsidR="00FE3EEE">
        <w:rPr>
          <w:rStyle w:val="mord"/>
        </w:rPr>
        <w:t>suggests</w:t>
      </w:r>
      <w:r>
        <w:rPr>
          <w:rStyle w:val="mord"/>
        </w:rPr>
        <w:t xml:space="preserve"> that external confounders </w:t>
      </w:r>
      <w:r w:rsidR="006839CB">
        <w:rPr>
          <w:rStyle w:val="mord"/>
        </w:rPr>
        <w:t>have been</w:t>
      </w:r>
      <w:r>
        <w:rPr>
          <w:rStyle w:val="mord"/>
        </w:rPr>
        <w:t xml:space="preserve"> </w:t>
      </w:r>
      <w:r w:rsidR="00FC60AE">
        <w:rPr>
          <w:rStyle w:val="mord"/>
        </w:rPr>
        <w:t>well-</w:t>
      </w:r>
      <w:r>
        <w:rPr>
          <w:rStyle w:val="mord"/>
        </w:rPr>
        <w:t>accounted for</w:t>
      </w:r>
      <w:r w:rsidR="00FC60AE">
        <w:rPr>
          <w:rStyle w:val="mord"/>
        </w:rPr>
        <w:t>. If the interval is centered around 0 with small variance, it shows strong evidence that incentive effects are isolated in the test group.</w:t>
      </w:r>
    </w:p>
    <w:p w14:paraId="5EDF6703" w14:textId="77777777" w:rsidR="005A4AAF" w:rsidRDefault="005A4AAF">
      <w:pPr>
        <w:rPr>
          <w:rStyle w:val="mord"/>
        </w:rPr>
      </w:pPr>
    </w:p>
    <w:p w14:paraId="7114BCEB" w14:textId="68AD9683" w:rsidR="00B14675" w:rsidRDefault="00B14675">
      <w:pPr>
        <w:rPr>
          <w:rStyle w:val="mord"/>
        </w:rPr>
      </w:pPr>
      <w:r>
        <w:rPr>
          <w:b/>
          <w:bCs/>
        </w:rPr>
        <w:t>5</w:t>
      </w:r>
      <w:r w:rsidRPr="00F72153">
        <w:rPr>
          <w:b/>
          <w:bCs/>
        </w:rPr>
        <w:t>.</w:t>
      </w:r>
      <w:r>
        <w:rPr>
          <w:b/>
          <w:bCs/>
        </w:rPr>
        <w:t>2</w:t>
      </w:r>
      <w:r w:rsidRPr="00F72153">
        <w:rPr>
          <w:b/>
          <w:bCs/>
        </w:rPr>
        <w:t xml:space="preserve"> </w:t>
      </w:r>
      <w:r>
        <w:rPr>
          <w:b/>
          <w:bCs/>
        </w:rPr>
        <w:t>Handling Non-Normal Distribution Using HPD Interval</w:t>
      </w:r>
    </w:p>
    <w:p w14:paraId="5E686011" w14:textId="77777777" w:rsidR="00B14675" w:rsidRPr="005A4AAF" w:rsidRDefault="00B14675">
      <w:pPr>
        <w:rPr>
          <w:rStyle w:val="mord"/>
        </w:rPr>
      </w:pPr>
    </w:p>
    <w:p w14:paraId="57EE8188" w14:textId="363ED8D8" w:rsidR="005A4AAF" w:rsidRDefault="00B14675">
      <w:r>
        <w:t>I</w:t>
      </w:r>
      <w:r w:rsidR="005A4AAF">
        <w:t xml:space="preserve">f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A4AAF">
        <w:t xml:space="preserve"> </w:t>
      </w:r>
      <w:r w:rsidR="006839CB">
        <w:t xml:space="preserve">does </w:t>
      </w:r>
      <w:r w:rsidR="005A4AAF">
        <w:t xml:space="preserve">not follow a normal distribution, it is then necessary to compute </w:t>
      </w:r>
      <w:r w:rsidR="006839CB">
        <w:t xml:space="preserve">the </w:t>
      </w:r>
      <w:r w:rsidR="005A4AAF">
        <w:t xml:space="preserve">Highest Posterior Density (HPD) Interval </w:t>
      </w:r>
      <w:r>
        <w:t>using MCMC sampling. For</w:t>
      </w:r>
      <w:r w:rsidR="005A4AAF">
        <w:t xml:space="preserve"> each artist in the control</w:t>
      </w:r>
      <w:r>
        <w:t xml:space="preserve">, we obtain </w:t>
      </w:r>
      <m:oMath>
        <m:r>
          <m:rPr>
            <m:sty m:val="p"/>
          </m:rPr>
          <w:rPr>
            <w:rStyle w:val="mord"/>
            <w:rFonts w:ascii="Cambria Math" w:hAnsi="Cambria Math"/>
          </w:rPr>
          <m:t>S</m:t>
        </m:r>
      </m:oMath>
      <w:r>
        <w:rPr>
          <w:rStyle w:val="mord"/>
        </w:rPr>
        <w:t xml:space="preserve"> posterior samples</w:t>
      </w:r>
      <w:r w:rsidR="006839CB">
        <w:t>:</w:t>
      </w:r>
    </w:p>
    <w:p w14:paraId="722231D6" w14:textId="77777777" w:rsidR="005A4AAF" w:rsidRDefault="005A4AAF"/>
    <w:p w14:paraId="1FF80E1A" w14:textId="356CBCD8" w:rsidR="005A4AAF" w:rsidRPr="005A4AAF" w:rsidRDefault="00E74115">
      <w:pPr>
        <w:rPr>
          <w:rStyle w:val="mord"/>
        </w:rPr>
      </w:pPr>
      <m:oMathPara>
        <m:oMath>
          <m:sSup>
            <m:sSupPr>
              <m:ctrlPr>
                <w:rPr>
                  <w:rStyle w:val="mord"/>
                  <w:rFonts w:ascii="Cambria Math" w:hAnsi="Cambria Math"/>
                </w:rPr>
              </m:ctrlPr>
            </m:sSupPr>
            <m:e>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i</m:t>
                  </m:r>
                  <m:r>
                    <m:rPr>
                      <m:sty m:val="p"/>
                    </m:rPr>
                    <w:rPr>
                      <w:rStyle w:val="mord"/>
                      <w:rFonts w:ascii="Cambria Math" w:hAnsi="Cambria Math"/>
                    </w:rPr>
                    <m:t>,j</m:t>
                  </m:r>
                </m:sub>
              </m:sSub>
            </m:e>
            <m:sup>
              <m:r>
                <m:rPr>
                  <m:sty m:val="p"/>
                </m:rPr>
                <w:rPr>
                  <w:rStyle w:val="mopen"/>
                  <w:rFonts w:ascii="Cambria Math" w:hAnsi="Cambria Math"/>
                </w:rPr>
                <m:t>(</m:t>
              </m:r>
              <m:r>
                <m:rPr>
                  <m:sty m:val="p"/>
                </m:rPr>
                <w:rPr>
                  <w:rStyle w:val="mord"/>
                  <w:rFonts w:ascii="Cambria Math" w:hAnsi="Cambria Math"/>
                </w:rPr>
                <m:t>1</m:t>
              </m:r>
              <m:r>
                <m:rPr>
                  <m:sty m:val="p"/>
                </m:rPr>
                <w:rPr>
                  <w:rStyle w:val="mclose"/>
                  <w:rFonts w:ascii="Cambria Math" w:hAnsi="Cambria Math"/>
                </w:rPr>
                <m:t>)</m:t>
              </m:r>
            </m:sup>
          </m:sSup>
          <m:r>
            <m:rPr>
              <m:sty m:val="p"/>
            </m:rPr>
            <w:rPr>
              <w:rStyle w:val="vlist-s"/>
              <w:rFonts w:ascii="Cambria Math" w:hAnsi="Cambria Math"/>
            </w:rPr>
            <m:t>​</m:t>
          </m:r>
          <m:r>
            <m:rPr>
              <m:sty m:val="p"/>
            </m:rPr>
            <w:rPr>
              <w:rStyle w:val="mpunct"/>
              <w:rFonts w:ascii="Cambria Math" w:hAnsi="Cambria Math"/>
            </w:rPr>
            <m:t>,</m:t>
          </m:r>
          <m:sSup>
            <m:sSupPr>
              <m:ctrlPr>
                <w:rPr>
                  <w:rStyle w:val="mord"/>
                  <w:rFonts w:ascii="Cambria Math" w:hAnsi="Cambria Math"/>
                </w:rPr>
              </m:ctrlPr>
            </m:sSupPr>
            <m:e>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i</m:t>
                  </m:r>
                  <m:r>
                    <m:rPr>
                      <m:sty m:val="p"/>
                    </m:rPr>
                    <w:rPr>
                      <w:rStyle w:val="mord"/>
                      <w:rFonts w:ascii="Cambria Math" w:hAnsi="Cambria Math"/>
                    </w:rPr>
                    <m:t>,j</m:t>
                  </m:r>
                </m:sub>
              </m:sSub>
            </m:e>
            <m:sup>
              <m:r>
                <m:rPr>
                  <m:sty m:val="p"/>
                </m:rPr>
                <w:rPr>
                  <w:rStyle w:val="mopen"/>
                  <w:rFonts w:ascii="Cambria Math" w:hAnsi="Cambria Math"/>
                </w:rPr>
                <m:t>(</m:t>
              </m:r>
              <m:r>
                <m:rPr>
                  <m:sty m:val="p"/>
                </m:rPr>
                <w:rPr>
                  <w:rStyle w:val="mord"/>
                  <w:rFonts w:ascii="Cambria Math" w:hAnsi="Cambria Math"/>
                </w:rPr>
                <m:t>2</m:t>
              </m:r>
              <m:r>
                <m:rPr>
                  <m:sty m:val="p"/>
                </m:rPr>
                <w:rPr>
                  <w:rStyle w:val="mclose"/>
                  <w:rFonts w:ascii="Cambria Math" w:hAnsi="Cambria Math"/>
                </w:rPr>
                <m:t>)</m:t>
              </m:r>
            </m:sup>
          </m:sSup>
          <m:r>
            <m:rPr>
              <m:sty m:val="p"/>
            </m:rPr>
            <w:rPr>
              <w:rStyle w:val="vlist-s"/>
              <w:rFonts w:ascii="Cambria Math" w:hAnsi="Cambria Math"/>
            </w:rPr>
            <m:t>​</m:t>
          </m:r>
          <m:r>
            <m:rPr>
              <m:sty m:val="p"/>
            </m:rPr>
            <w:rPr>
              <w:rStyle w:val="mpunct"/>
              <w:rFonts w:ascii="Cambria Math" w:hAnsi="Cambria Math"/>
            </w:rPr>
            <m:t>,</m:t>
          </m:r>
          <m:r>
            <m:rPr>
              <m:sty m:val="p"/>
            </m:rPr>
            <w:rPr>
              <w:rStyle w:val="mord"/>
              <w:rFonts w:ascii="Cambria Math" w:hAnsi="Cambria Math"/>
            </w:rPr>
            <m:t>...</m:t>
          </m:r>
          <m:r>
            <m:rPr>
              <m:sty m:val="p"/>
            </m:rPr>
            <w:rPr>
              <w:rStyle w:val="mpunct"/>
              <w:rFonts w:ascii="Cambria Math" w:hAnsi="Cambria Math"/>
            </w:rPr>
            <m:t>,</m:t>
          </m:r>
          <m:sSup>
            <m:sSupPr>
              <m:ctrlPr>
                <w:rPr>
                  <w:rStyle w:val="mord"/>
                  <w:rFonts w:ascii="Cambria Math" w:hAnsi="Cambria Math"/>
                </w:rPr>
              </m:ctrlPr>
            </m:sSupPr>
            <m:e>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r>
                    <m:rPr>
                      <m:sty m:val="p"/>
                    </m:rPr>
                    <w:rPr>
                      <w:rStyle w:val="mpunct"/>
                      <w:rFonts w:ascii="Cambria Math" w:hAnsi="Cambria Math"/>
                    </w:rPr>
                    <m:t>,</m:t>
                  </m:r>
                  <m:r>
                    <m:rPr>
                      <m:sty m:val="p"/>
                    </m:rPr>
                    <w:rPr>
                      <w:rStyle w:val="mord"/>
                      <w:rFonts w:ascii="Cambria Math" w:hAnsi="Cambria Math"/>
                    </w:rPr>
                    <m:t>i</m:t>
                  </m:r>
                  <m:r>
                    <m:rPr>
                      <m:sty m:val="p"/>
                    </m:rPr>
                    <w:rPr>
                      <w:rStyle w:val="mord"/>
                      <w:rFonts w:ascii="Cambria Math" w:hAnsi="Cambria Math"/>
                    </w:rPr>
                    <m:t>,j</m:t>
                  </m:r>
                </m:sub>
              </m:sSub>
            </m:e>
            <m:sup>
              <m:r>
                <m:rPr>
                  <m:sty m:val="p"/>
                </m:rPr>
                <w:rPr>
                  <w:rStyle w:val="mopen"/>
                  <w:rFonts w:ascii="Cambria Math" w:hAnsi="Cambria Math"/>
                </w:rPr>
                <m:t>(</m:t>
              </m:r>
              <m:r>
                <m:rPr>
                  <m:sty m:val="p"/>
                </m:rPr>
                <w:rPr>
                  <w:rStyle w:val="mord"/>
                  <w:rFonts w:ascii="Cambria Math" w:hAnsi="Cambria Math"/>
                </w:rPr>
                <m:t>S</m:t>
              </m:r>
              <m:r>
                <m:rPr>
                  <m:sty m:val="p"/>
                </m:rPr>
                <w:rPr>
                  <w:rStyle w:val="mclose"/>
                  <w:rFonts w:ascii="Cambria Math" w:hAnsi="Cambria Math"/>
                </w:rPr>
                <m:t>)</m:t>
              </m:r>
            </m:sup>
          </m:sSup>
        </m:oMath>
      </m:oMathPara>
    </w:p>
    <w:p w14:paraId="2A12B5A5" w14:textId="77777777" w:rsidR="005A4AAF" w:rsidRDefault="005A4AAF">
      <w:pPr>
        <w:rPr>
          <w:rStyle w:val="mord"/>
        </w:rPr>
      </w:pPr>
    </w:p>
    <w:p w14:paraId="6E7B93C2" w14:textId="74FBE00A" w:rsidR="005A4AAF" w:rsidRDefault="00B14675">
      <w:pPr>
        <w:rPr>
          <w:rStyle w:val="mord"/>
        </w:rPr>
      </w:pPr>
      <w:r>
        <w:rPr>
          <w:rStyle w:val="mord"/>
        </w:rPr>
        <w:t>These</w:t>
      </w:r>
      <w:r w:rsidR="005A4AAF">
        <w:t xml:space="preserve"> samples are pooled together across all </w:t>
      </w:r>
      <w:r w:rsidR="006839CB">
        <w:t xml:space="preserve">artists in the </w:t>
      </w:r>
      <w:r w:rsidR="005A4AAF">
        <w:t xml:space="preserve">control group and sorted in ascending </w:t>
      </w:r>
      <w:r>
        <w:t xml:space="preserve">order. The </w:t>
      </w:r>
      <w:r w:rsidR="005A4AAF">
        <w:t>95% HPD interval</w:t>
      </w:r>
      <w:r>
        <w:t xml:space="preserve"> is determined by f</w:t>
      </w:r>
      <w:r w:rsidR="005A4AAF">
        <w:t>ind</w:t>
      </w:r>
      <w:r>
        <w:t>ing</w:t>
      </w:r>
      <w:r w:rsidR="005A4AAF">
        <w:t xml:space="preserve"> the smallest range that contains 95% of the samples (</w:t>
      </w:r>
      <w:r w:rsidR="006839CB">
        <w:t xml:space="preserve">i.e. </w:t>
      </w:r>
      <w:r w:rsidR="005A4AAF">
        <w:t xml:space="preserve">smallest difference between max and min </w:t>
      </w:r>
      <m:oMath>
        <m:sSub>
          <m:sSubPr>
            <m:ctrlPr>
              <w:rPr>
                <w:rStyle w:val="mord"/>
                <w:rFonts w:ascii="Cambria Math" w:hAnsi="Cambria Math"/>
              </w:rPr>
            </m:ctrlPr>
          </m:sSubPr>
          <m:e>
            <m:r>
              <m:rPr>
                <m:sty m:val="p"/>
              </m:rPr>
              <w:rPr>
                <w:rStyle w:val="mord"/>
                <w:rFonts w:ascii="Cambria Math" w:hAnsi="Cambria Math"/>
              </w:rPr>
              <m:t>β</m:t>
            </m:r>
          </m:e>
          <m:sub>
            <m:r>
              <m:rPr>
                <m:sty m:val="p"/>
              </m:rPr>
              <w:rPr>
                <w:rStyle w:val="mord"/>
                <w:rFonts w:ascii="Cambria Math" w:hAnsi="Cambria Math"/>
              </w:rPr>
              <m:t>1</m:t>
            </m:r>
          </m:sub>
        </m:sSub>
      </m:oMath>
      <w:r w:rsidR="005A4AAF">
        <w:rPr>
          <w:rStyle w:val="mord"/>
        </w:rPr>
        <w:t xml:space="preserve"> values).</w:t>
      </w:r>
      <w:r w:rsidR="00176E8F">
        <w:rPr>
          <w:rStyle w:val="mord"/>
        </w:rPr>
        <w:t xml:space="preserve"> </w:t>
      </w:r>
      <w:r>
        <w:rPr>
          <w:rStyle w:val="mord"/>
        </w:rPr>
        <w:t>The conclusions drawn from the HPD interval follows the same interpretation as the normal CI approach</w:t>
      </w:r>
      <w:r w:rsidR="00B801B0">
        <w:rPr>
          <w:rStyle w:val="mord"/>
        </w:rPr>
        <w:t xml:space="preserve"> </w:t>
      </w:r>
      <w:r w:rsidR="00B801B0">
        <w:t>(Tolonen, 2019)</w:t>
      </w:r>
      <w:r>
        <w:rPr>
          <w:rStyle w:val="mord"/>
        </w:rPr>
        <w:t>.</w:t>
      </w:r>
    </w:p>
    <w:p w14:paraId="4361A110" w14:textId="77777777" w:rsidR="00B14675" w:rsidRDefault="00B14675">
      <w:pPr>
        <w:rPr>
          <w:rStyle w:val="mord"/>
        </w:rPr>
      </w:pPr>
    </w:p>
    <w:p w14:paraId="4CFE6ACE" w14:textId="45D4480D" w:rsidR="00B14675" w:rsidRDefault="00B14675">
      <w:pPr>
        <w:rPr>
          <w:rStyle w:val="mord"/>
        </w:rPr>
      </w:pPr>
      <w:r>
        <w:rPr>
          <w:b/>
          <w:bCs/>
        </w:rPr>
        <w:t>5</w:t>
      </w:r>
      <w:r w:rsidRPr="00F72153">
        <w:rPr>
          <w:b/>
          <w:bCs/>
        </w:rPr>
        <w:t>.</w:t>
      </w:r>
      <w:r>
        <w:rPr>
          <w:b/>
          <w:bCs/>
        </w:rPr>
        <w:t>3</w:t>
      </w:r>
      <w:r w:rsidRPr="00F72153">
        <w:rPr>
          <w:b/>
          <w:bCs/>
        </w:rPr>
        <w:t xml:space="preserve"> </w:t>
      </w:r>
      <w:r>
        <w:rPr>
          <w:b/>
          <w:bCs/>
        </w:rPr>
        <w:t>Assessing the impact of the incentive on Fraudulent Activity</w:t>
      </w:r>
    </w:p>
    <w:p w14:paraId="73CF298A" w14:textId="77777777" w:rsidR="00BB0251" w:rsidRDefault="00BB0251"/>
    <w:p w14:paraId="68BD8287" w14:textId="514996DC" w:rsidR="00BB0251" w:rsidRDefault="006349D5">
      <w:r>
        <w:t xml:space="preserve">If the incentive was </w:t>
      </w:r>
      <w:r w:rsidR="00B14675">
        <w:t>substantial</w:t>
      </w:r>
      <w:r>
        <w:t xml:space="preserve"> </w:t>
      </w:r>
      <w:r w:rsidR="00B14675">
        <w:t>enough</w:t>
      </w:r>
      <w:r>
        <w:t xml:space="preserve"> to </w:t>
      </w:r>
      <w:r w:rsidR="00FE3EEE">
        <w:t>trigger</w:t>
      </w:r>
      <w:r>
        <w:t xml:space="preserve"> a significant increase </w:t>
      </w:r>
      <w:r w:rsidR="00B14675">
        <w:t>in</w:t>
      </w:r>
      <w:r>
        <w:t xml:space="preserve"> fraudulent streams, the </w:t>
      </w:r>
      <w:r w:rsidR="00B14675">
        <w:t>pre-incentive undetected fraud</w:t>
      </w:r>
      <w:r w:rsidR="00FE3EEE">
        <w:t xml:space="preserve"> can be considered</w:t>
      </w:r>
      <w:r>
        <w:t xml:space="preserve"> negligible</w:t>
      </w:r>
      <w:r w:rsidR="00FE3EEE">
        <w:t xml:space="preserve"> </w:t>
      </w:r>
      <w:r w:rsidR="00B14675">
        <w:t>relative</w:t>
      </w:r>
      <w:r>
        <w:t xml:space="preserve"> to the </w:t>
      </w:r>
      <w:r w:rsidR="00FE3EEE">
        <w:t>post-incentive surge</w:t>
      </w:r>
      <w:r>
        <w:t xml:space="preserve"> in fraudulent activity</w:t>
      </w:r>
      <w:r w:rsidR="00D24EF5">
        <w:t xml:space="preserve">. </w:t>
      </w:r>
      <w:r w:rsidR="00BB0251">
        <w:t xml:space="preserve">This </w:t>
      </w:r>
      <w:r w:rsidR="00B14675">
        <w:t xml:space="preserve">assumption </w:t>
      </w:r>
      <w:r w:rsidR="00BB0251">
        <w:t>can</w:t>
      </w:r>
      <w:r w:rsidR="00B14675">
        <w:t xml:space="preserve"> </w:t>
      </w:r>
      <w:r w:rsidR="00BB0251">
        <w:t xml:space="preserve">be </w:t>
      </w:r>
      <w:r w:rsidR="00B14675">
        <w:t>validated</w:t>
      </w:r>
      <w:r w:rsidR="00BB0251">
        <w:t xml:space="preserve"> by </w:t>
      </w:r>
      <w:r w:rsidR="00FE3EEE">
        <w:t>analyzing</w:t>
      </w:r>
      <w:r>
        <w:t xml:space="preserve"> the </w:t>
      </w:r>
      <w:r w:rsidR="00BB0251">
        <w:t xml:space="preserve">false negative </w:t>
      </w:r>
      <w:r w:rsidR="00BB0251">
        <w:lastRenderedPageBreak/>
        <w:t>rate</w:t>
      </w:r>
      <w:r w:rsidR="00B14675">
        <w:t xml:space="preserve"> of the fraud detection model</w:t>
      </w:r>
      <w:r w:rsidR="00BB0251">
        <w:t xml:space="preserve"> during training and </w:t>
      </w:r>
      <w:r w:rsidR="00B14675">
        <w:t xml:space="preserve">comparing </w:t>
      </w:r>
      <w:r w:rsidR="00BB0251">
        <w:t xml:space="preserve">between </w:t>
      </w:r>
      <w:r w:rsidR="00FE3EEE">
        <w:t>detected</w:t>
      </w:r>
      <w:r w:rsidR="00BB0251">
        <w:t xml:space="preserve"> </w:t>
      </w:r>
      <w:r w:rsidR="00FE3EEE">
        <w:t>fraud</w:t>
      </w:r>
      <w:r w:rsidR="00B14675">
        <w:t>ulent streams</w:t>
      </w:r>
      <w:r w:rsidR="00FE3EEE">
        <w:t xml:space="preserve"> </w:t>
      </w:r>
      <w:r>
        <w:t>and</w:t>
      </w:r>
      <w:r w:rsidR="00BB0251">
        <w:t xml:space="preserve"> industry </w:t>
      </w:r>
      <w:r w:rsidR="00B14675">
        <w:t>benchmark for expected fraud levels</w:t>
      </w:r>
      <w:r w:rsidR="00BB0251">
        <w:t>. If</w:t>
      </w:r>
      <w:r w:rsidR="00D82D90">
        <w:t xml:space="preserve"> the mean posterior estimate</w:t>
      </w:r>
      <w:r w:rsidR="00BB0251">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1,j,test</m:t>
            </m:r>
          </m:sub>
        </m:sSub>
      </m:oMath>
      <w:r w:rsidR="00BB0251">
        <w:t xml:space="preserve"> </w:t>
      </w:r>
      <w:r w:rsidR="00D82D90">
        <w:t xml:space="preserve">in the test group </w:t>
      </w:r>
      <w:r w:rsidR="00BB0251">
        <w:t xml:space="preserve">is </w:t>
      </w:r>
      <w:r w:rsidR="00D82D90">
        <w:t>significantly</w:t>
      </w:r>
      <w:r w:rsidR="00BB0251">
        <w:t xml:space="preserve"> </w:t>
      </w:r>
      <w:r w:rsidR="00FE3EEE">
        <w:t>greater</w:t>
      </w:r>
      <w:r>
        <w:t xml:space="preserve"> (e.g. 5-10 time</w:t>
      </w:r>
      <w:r w:rsidR="00176E8F">
        <w:t>s</w:t>
      </w:r>
      <w:r>
        <w:t>)</w:t>
      </w:r>
      <w:r w:rsidR="00BB0251">
        <w:t xml:space="preserve"> than the </w:t>
      </w:r>
      <w:r w:rsidR="00D82D90">
        <w:t>expected number of undetected fraudulent stream (</w:t>
      </w:r>
      <m:oMath>
        <m:r>
          <w:rPr>
            <w:rFonts w:ascii="Cambria Math" w:hAnsi="Cambria Math"/>
          </w:rPr>
          <m:t>false negative rate × observed streams post incentive</m:t>
        </m:r>
      </m:oMath>
      <w:r w:rsidR="00D82D90">
        <w:t xml:space="preserve">), </w:t>
      </w:r>
      <w:r w:rsidR="00FE3EEE">
        <w:t>we</w:t>
      </w:r>
      <w:r w:rsidR="00BB0251">
        <w:t xml:space="preserve"> can </w:t>
      </w:r>
      <w:r w:rsidR="00FE3EEE">
        <w:t>reasonably</w:t>
      </w:r>
      <w:r w:rsidR="00BB0251">
        <w:t xml:space="preserve"> </w:t>
      </w:r>
      <w:r w:rsidR="00FC60AE">
        <w:t>assume</w:t>
      </w:r>
      <w:r w:rsidR="00BB0251">
        <w:t xml:space="preserve"> that the pre-incentive </w:t>
      </w:r>
      <w:r w:rsidR="00FE3EEE">
        <w:t>undetected streams are</w:t>
      </w:r>
      <w:r w:rsidR="00BB0251">
        <w:t xml:space="preserve"> negligible </w:t>
      </w:r>
      <w:r w:rsidR="00FE3EEE">
        <w:t>in comparison</w:t>
      </w:r>
      <w:r w:rsidR="00BB0251">
        <w:t xml:space="preserve"> to the </w:t>
      </w:r>
      <w:r>
        <w:t>rise</w:t>
      </w:r>
      <w:r w:rsidR="00BB0251">
        <w:t xml:space="preserve"> in fraudulent stream post-incentive.</w:t>
      </w:r>
      <w:r w:rsidR="009163E2">
        <w:t xml:space="preserve"> Subsequently, we compute </w:t>
      </w:r>
      <w:r w:rsidR="00703BF3">
        <w:t>the estimate number of fraudulent streams within the test group and the entire artist population.</w:t>
      </w:r>
    </w:p>
    <w:p w14:paraId="0F2D44F9" w14:textId="56BBD022" w:rsidR="00703BF3" w:rsidRDefault="00703BF3"/>
    <w:p w14:paraId="7E2C93B8" w14:textId="2C6A11FD" w:rsidR="00703BF3" w:rsidRPr="00703BF3" w:rsidRDefault="00703BF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1,j,test</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m:t>
                  </m:r>
                  <m:r>
                    <w:rPr>
                      <w:rFonts w:ascii="Cambria Math" w:hAnsi="Cambria Math"/>
                    </w:rPr>
                    <m:t>i,</m:t>
                  </m:r>
                  <m:r>
                    <w:rPr>
                      <w:rFonts w:ascii="Cambria Math" w:hAnsi="Cambria Math"/>
                    </w:rPr>
                    <m:t>j</m:t>
                  </m:r>
                  <m:r>
                    <w:rPr>
                      <w:rFonts w:ascii="Cambria Math" w:hAnsi="Cambria Math"/>
                    </w:rPr>
                    <m:t>,test</m:t>
                  </m:r>
                </m:sub>
              </m:sSub>
            </m:e>
          </m:nary>
        </m:oMath>
      </m:oMathPara>
    </w:p>
    <w:p w14:paraId="4D5463DF" w14:textId="398830E9" w:rsidR="00703BF3" w:rsidRDefault="00703BF3"/>
    <w:p w14:paraId="1B791901" w14:textId="02298E30" w:rsidR="00703BF3" w:rsidRPr="00703BF3" w:rsidRDefault="00703BF3" w:rsidP="00703BF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1,i,j</m:t>
                  </m:r>
                </m:sub>
              </m:sSub>
            </m:e>
          </m:nary>
        </m:oMath>
      </m:oMathPara>
    </w:p>
    <w:p w14:paraId="0F408256" w14:textId="77777777" w:rsidR="00703BF3" w:rsidRPr="00703BF3" w:rsidRDefault="00703BF3" w:rsidP="00703BF3"/>
    <w:p w14:paraId="0AB10F00" w14:textId="11945264" w:rsidR="00703BF3" w:rsidRDefault="00703BF3" w:rsidP="00703BF3">
      <w:r>
        <w:t xml:space="preserve">Where </w:t>
      </w:r>
      <m:oMath>
        <m:r>
          <w:rPr>
            <w:rFonts w:ascii="Cambria Math" w:hAnsi="Cambria Math"/>
          </w:rPr>
          <m:t>n</m:t>
        </m:r>
      </m:oMath>
      <w:r>
        <w:t xml:space="preserve"> is the sample size and N is the population size.</w:t>
      </w:r>
    </w:p>
    <w:p w14:paraId="38C93EC0" w14:textId="77777777" w:rsidR="00703BF3" w:rsidRDefault="00703BF3"/>
    <w:p w14:paraId="03FE399F" w14:textId="77777777" w:rsidR="00BB0251" w:rsidRDefault="00BB0251"/>
    <w:p w14:paraId="06099BB8" w14:textId="1B5C1207" w:rsidR="00D82D90" w:rsidRDefault="00D82D90" w:rsidP="00D82D90">
      <w:pPr>
        <w:rPr>
          <w:rStyle w:val="mord"/>
        </w:rPr>
      </w:pPr>
      <w:r>
        <w:rPr>
          <w:b/>
          <w:bCs/>
        </w:rPr>
        <w:t>5</w:t>
      </w:r>
      <w:r w:rsidRPr="00F72153">
        <w:rPr>
          <w:b/>
          <w:bCs/>
        </w:rPr>
        <w:t>.</w:t>
      </w:r>
      <w:r>
        <w:rPr>
          <w:b/>
          <w:bCs/>
        </w:rPr>
        <w:t>4</w:t>
      </w:r>
      <w:r w:rsidRPr="00F72153">
        <w:rPr>
          <w:b/>
          <w:bCs/>
        </w:rPr>
        <w:t xml:space="preserve"> </w:t>
      </w:r>
      <w:r>
        <w:rPr>
          <w:b/>
          <w:bCs/>
        </w:rPr>
        <w:t>Estimating the Total Number of Fraudulent Streams Pre-Incentive</w:t>
      </w:r>
    </w:p>
    <w:p w14:paraId="6E2C300B" w14:textId="77777777" w:rsidR="00D82D90" w:rsidRDefault="00D82D90"/>
    <w:p w14:paraId="597FFEA0" w14:textId="7EEF0E02" w:rsidR="00D82D90" w:rsidRDefault="00176E8F">
      <w:r>
        <w:t>D</w:t>
      </w:r>
      <w:r w:rsidR="00D24EF5">
        <w:t>etection rate</w:t>
      </w:r>
      <w:r w:rsidR="009163E2">
        <w:t xml:space="preserve"> for metric </w:t>
      </w:r>
      <m:oMath>
        <m:r>
          <w:rPr>
            <w:rFonts w:ascii="Cambria Math" w:hAnsi="Cambria Math"/>
          </w:rPr>
          <m:t>j</m:t>
        </m:r>
      </m:oMath>
      <w:r w:rsidR="00D24EF5">
        <w:t xml:space="preserve"> is defined as</w:t>
      </w:r>
      <w:r w:rsidR="00D82D90">
        <w:t>:</w:t>
      </w:r>
    </w:p>
    <w:p w14:paraId="397E35EE" w14:textId="77777777" w:rsidR="00D82D90" w:rsidRDefault="00D82D90"/>
    <w:bookmarkStart w:id="0" w:name="_GoBack"/>
    <w:bookmarkEnd w:id="0"/>
    <w:p w14:paraId="3502C93D" w14:textId="7B9C91EB" w:rsidR="00D82D90" w:rsidRPr="00D82D90" w:rsidRDefault="009163E2">
      <m:oMathPara>
        <m:oMath>
          <m:sSub>
            <m:sSubPr>
              <m:ctrlPr>
                <w:rPr>
                  <w:rFonts w:ascii="Cambria Math" w:hAnsi="Cambria Math"/>
                  <w:i/>
                </w:rPr>
              </m:ctrlPr>
            </m:sSubPr>
            <m:e>
              <m:r>
                <w:rPr>
                  <w:rFonts w:ascii="Cambria Math" w:hAnsi="Cambria Math"/>
                </w:rPr>
                <m:t>Detection Rate</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True Positive Post Incentive Test Group</m:t>
              </m:r>
            </m:num>
            <m:den>
              <m:r>
                <w:rPr>
                  <w:rFonts w:ascii="Cambria Math" w:hAnsi="Cambria Math"/>
                </w:rPr>
                <m:t xml:space="preserve">True Positive Post Incentive Test Group+ </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1,j,test</m:t>
                  </m:r>
                </m:sub>
              </m:sSub>
            </m:den>
          </m:f>
        </m:oMath>
      </m:oMathPara>
    </w:p>
    <w:p w14:paraId="3DF633E1" w14:textId="77777777" w:rsidR="00D82D90" w:rsidRPr="00D82D90" w:rsidRDefault="00D82D90"/>
    <w:p w14:paraId="64843BC5" w14:textId="78D22D9F" w:rsidR="00176E8F" w:rsidRDefault="00176E8F">
      <w:r>
        <w:t>Incorrect</w:t>
      </w:r>
      <w:r w:rsidR="00BB0251">
        <w:t xml:space="preserve"> </w:t>
      </w:r>
      <w:r>
        <w:t>detections</w:t>
      </w:r>
      <w:r w:rsidR="00BB0251">
        <w:t xml:space="preserve"> </w:t>
      </w:r>
      <w:r w:rsidR="009163E2">
        <w:t>are</w:t>
      </w:r>
      <w:r w:rsidR="00FE5102">
        <w:t xml:space="preserve"> easier to </w:t>
      </w:r>
      <w:r>
        <w:t>identif</w:t>
      </w:r>
      <w:r w:rsidR="00FE5102">
        <w:t>y</w:t>
      </w:r>
      <w:r w:rsidR="00BB0251">
        <w:t xml:space="preserve"> </w:t>
      </w:r>
      <w:r>
        <w:t>through</w:t>
      </w:r>
      <w:r w:rsidR="00BB0251">
        <w:t xml:space="preserve"> </w:t>
      </w:r>
      <w:r>
        <w:t>user</w:t>
      </w:r>
      <w:r w:rsidR="00BB0251">
        <w:t xml:space="preserve"> complaints and </w:t>
      </w:r>
      <w:r w:rsidR="00B801B0">
        <w:t>appeal tickets</w:t>
      </w:r>
      <w:r w:rsidR="00FE5102">
        <w:t xml:space="preserve"> than false negatives</w:t>
      </w:r>
      <w:r w:rsidR="00D82D90">
        <w:t xml:space="preserve">, allowing us to </w:t>
      </w:r>
      <w:r w:rsidR="00FE5102">
        <w:t>estimate</w:t>
      </w:r>
      <w:r w:rsidR="00D82D90">
        <w:t xml:space="preserve"> the number of </w:t>
      </w:r>
      <w:r w:rsidR="00FE5102">
        <w:t>true positives</w:t>
      </w:r>
      <w:r w:rsidR="00D82D90">
        <w:t>.</w:t>
      </w:r>
    </w:p>
    <w:p w14:paraId="2AD41251" w14:textId="77777777" w:rsidR="00BB0251" w:rsidRDefault="00BB0251"/>
    <w:p w14:paraId="37D9A816" w14:textId="542E54F7" w:rsidR="009163E2" w:rsidRDefault="00176E8F">
      <w:r>
        <w:t xml:space="preserve">To estimate the total </w:t>
      </w:r>
      <w:r w:rsidR="009163E2">
        <w:t>pre-incentive</w:t>
      </w:r>
      <w:r w:rsidR="009163E2">
        <w:t xml:space="preserve"> </w:t>
      </w:r>
      <w:r>
        <w:t xml:space="preserve">fraudulent streams, we divide the </w:t>
      </w:r>
      <w:r w:rsidR="009163E2">
        <w:t>pre-incentive</w:t>
      </w:r>
      <w:r>
        <w:t xml:space="preserve"> </w:t>
      </w:r>
      <w:r w:rsidR="00FE5102">
        <w:t>true positi</w:t>
      </w:r>
      <w:r w:rsidR="009163E2">
        <w:t xml:space="preserve">ve </w:t>
      </w:r>
      <w:r>
        <w:t xml:space="preserve">by </w:t>
      </w:r>
      <w:r w:rsidR="00FE5102">
        <w:t xml:space="preserve">the </w:t>
      </w:r>
      <w:r>
        <w:t>detection rate</w:t>
      </w:r>
      <w:r w:rsidR="009163E2">
        <w:t>.</w:t>
      </w:r>
    </w:p>
    <w:p w14:paraId="1BB9372E" w14:textId="2B86A745" w:rsidR="009163E2" w:rsidRDefault="009163E2"/>
    <w:p w14:paraId="67CBC773" w14:textId="59C0996A" w:rsidR="009163E2" w:rsidRPr="009163E2" w:rsidRDefault="009163E2">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pre,</m:t>
              </m:r>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 xml:space="preserve"> </m:t>
              </m:r>
              <m:r>
                <w:rPr>
                  <w:rFonts w:ascii="Cambria Math" w:hAnsi="Cambria Math"/>
                </w:rPr>
                <m:t xml:space="preserve">True Positive </m:t>
              </m:r>
              <m:r>
                <w:rPr>
                  <w:rFonts w:ascii="Cambria Math" w:hAnsi="Cambria Math"/>
                </w:rPr>
                <m:t>Pre</m:t>
              </m:r>
              <m:r>
                <w:rPr>
                  <w:rFonts w:ascii="Cambria Math" w:hAnsi="Cambria Math"/>
                </w:rPr>
                <m:t xml:space="preserve"> Incentive</m:t>
              </m:r>
            </m:num>
            <m:den>
              <m:sSub>
                <m:sSubPr>
                  <m:ctrlPr>
                    <w:rPr>
                      <w:rFonts w:ascii="Cambria Math" w:hAnsi="Cambria Math"/>
                      <w:i/>
                    </w:rPr>
                  </m:ctrlPr>
                </m:sSubPr>
                <m:e>
                  <m:r>
                    <w:rPr>
                      <w:rFonts w:ascii="Cambria Math" w:hAnsi="Cambria Math"/>
                    </w:rPr>
                    <m:t>Detection Rate</m:t>
                  </m:r>
                </m:e>
                <m:sub>
                  <m:r>
                    <w:rPr>
                      <w:rFonts w:ascii="Cambria Math" w:hAnsi="Cambria Math"/>
                    </w:rPr>
                    <m:t>j</m:t>
                  </m:r>
                </m:sub>
              </m:sSub>
            </m:den>
          </m:f>
        </m:oMath>
      </m:oMathPara>
    </w:p>
    <w:p w14:paraId="4B7D6ED8" w14:textId="77777777" w:rsidR="009163E2" w:rsidRPr="009163E2" w:rsidRDefault="009163E2"/>
    <w:p w14:paraId="34E8BEEB" w14:textId="77777777" w:rsidR="009163E2" w:rsidRDefault="009163E2"/>
    <w:p w14:paraId="78354639" w14:textId="4CCA55D8" w:rsidR="005A4AAF" w:rsidRDefault="00FE3EEE">
      <w:r>
        <w:t xml:space="preserve">This </w:t>
      </w:r>
      <w:r w:rsidR="00176E8F">
        <w:t>estimation</w:t>
      </w:r>
      <w:r>
        <w:t xml:space="preserve"> is repeated</w:t>
      </w:r>
      <w:r w:rsidR="00BB0251">
        <w:t xml:space="preserve"> for both metrics, </w:t>
      </w:r>
      <w:r>
        <w:t xml:space="preserve">and </w:t>
      </w:r>
      <w:r w:rsidR="00BB0251">
        <w:t xml:space="preserve">the </w:t>
      </w:r>
      <w:r w:rsidR="00176E8F">
        <w:t>final</w:t>
      </w:r>
      <w:r w:rsidR="00BB0251">
        <w:t xml:space="preserve"> estimate of </w:t>
      </w:r>
      <w:r>
        <w:t xml:space="preserve">undetected </w:t>
      </w:r>
      <w:r w:rsidR="00BB0251">
        <w:t xml:space="preserve">fraudulent streams pre-incentive </w:t>
      </w:r>
      <w:r>
        <w:t>is computed</w:t>
      </w:r>
      <w:r w:rsidR="00BB0251">
        <w:t xml:space="preserve"> by a weighted combination of the</w:t>
      </w:r>
      <w:r w:rsidR="00176E8F">
        <w:t xml:space="preserve">se </w:t>
      </w:r>
      <w:r w:rsidR="00BB0251">
        <w:t>estimates:</w:t>
      </w:r>
    </w:p>
    <w:p w14:paraId="4E79F68D" w14:textId="77777777" w:rsidR="00BB0251" w:rsidRDefault="00BB0251"/>
    <w:p w14:paraId="51F9197E" w14:textId="36548F24" w:rsidR="00BB0251" w:rsidRPr="00BB0251" w:rsidRDefault="00E74115">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pre</m:t>
              </m:r>
            </m:sub>
          </m:sSub>
          <m:r>
            <w:rPr>
              <w:rFonts w:ascii="Cambria Math" w:hAnsi="Cambria Math"/>
            </w:rPr>
            <m:t>=x</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pre,streams per artist</m:t>
                  </m:r>
                </m:sub>
              </m:sSub>
            </m:e>
          </m:d>
          <m:r>
            <w:rPr>
              <w:rFonts w:ascii="Cambria Math" w:hAnsi="Cambria Math"/>
            </w:rPr>
            <m:t>+(1-x)(</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pre, streams per song</m:t>
              </m:r>
            </m:sub>
          </m:sSub>
          <m:r>
            <w:rPr>
              <w:rFonts w:ascii="Cambria Math" w:hAnsi="Cambria Math"/>
            </w:rPr>
            <m:t>)</m:t>
          </m:r>
        </m:oMath>
      </m:oMathPara>
    </w:p>
    <w:p w14:paraId="2348519A" w14:textId="77777777" w:rsidR="00BB0251" w:rsidRPr="005A4AAF" w:rsidRDefault="00BB0251"/>
    <w:p w14:paraId="31F30DC1" w14:textId="4669487B" w:rsidR="00176E8F" w:rsidRDefault="00BB0251">
      <w:r>
        <w:t xml:space="preserve">The weight factor </w:t>
      </w:r>
      <m:oMath>
        <m:r>
          <w:rPr>
            <w:rFonts w:ascii="Cambria Math" w:hAnsi="Cambria Math"/>
          </w:rPr>
          <m:t>x</m:t>
        </m:r>
      </m:oMath>
      <w:r>
        <w:t xml:space="preserve"> is determined based on empirical behavior study of fraudsters, where historical data and known fraud cases are </w:t>
      </w:r>
      <w:r w:rsidR="00672BCF">
        <w:t>analyzed</w:t>
      </w:r>
      <w:r>
        <w:t xml:space="preserve"> to identify whether fraudulent streams </w:t>
      </w:r>
      <w:r w:rsidR="00FE3EEE">
        <w:t xml:space="preserve">are more </w:t>
      </w:r>
      <w:r>
        <w:t>concentrate</w:t>
      </w:r>
      <w:r w:rsidR="00FE3EEE">
        <w:t>d</w:t>
      </w:r>
      <w:r>
        <w:t xml:space="preserve"> at the artist level</w:t>
      </w:r>
      <w:r w:rsidR="00FE3EEE">
        <w:t>, such as</w:t>
      </w:r>
      <w:r>
        <w:t xml:space="preserve"> bot-driven farms to artificially boost an artist’s total </w:t>
      </w:r>
      <w:r>
        <w:lastRenderedPageBreak/>
        <w:t>streams, or at the song level</w:t>
      </w:r>
      <w:r w:rsidR="00FE3EEE">
        <w:t>, where</w:t>
      </w:r>
      <w:r>
        <w:t xml:space="preserve"> targeted fraud boost</w:t>
      </w:r>
      <w:r w:rsidR="00FE3EEE">
        <w:t>s a specific</w:t>
      </w:r>
      <w:r>
        <w:t xml:space="preserve"> song’s popularity.</w:t>
      </w:r>
      <w:r w:rsidR="009163E2">
        <w:t xml:space="preserve"> </w:t>
      </w:r>
      <w:r>
        <w:t xml:space="preserve">By incorporating insights from </w:t>
      </w:r>
      <w:r w:rsidR="00FE3EEE">
        <w:t xml:space="preserve">these </w:t>
      </w:r>
      <w:r>
        <w:t>studies, we can provide a refined estimate of undetected fraudulent activity.</w:t>
      </w:r>
    </w:p>
    <w:p w14:paraId="0000001D" w14:textId="47C304EC" w:rsidR="00351945" w:rsidRDefault="00351945"/>
    <w:p w14:paraId="7AAE3F03" w14:textId="2560E3E3" w:rsidR="00176E8F" w:rsidRPr="00B801B0" w:rsidRDefault="00B801B0">
      <w:pPr>
        <w:rPr>
          <w:b/>
          <w:bCs/>
        </w:rPr>
      </w:pPr>
      <w:r w:rsidRPr="00B801B0">
        <w:rPr>
          <w:b/>
          <w:bCs/>
        </w:rPr>
        <w:t>6. Appendix</w:t>
      </w:r>
    </w:p>
    <w:p w14:paraId="5A2C34DB" w14:textId="4D881A7B" w:rsidR="00FC60AE" w:rsidRDefault="00E74115" w:rsidP="00176E8F">
      <w:pPr>
        <w:spacing w:before="240" w:after="240"/>
        <w:ind w:left="560"/>
      </w:pPr>
      <w:r>
        <w:t xml:space="preserve">Spotify. (2024, December 31). Form 20-F. </w:t>
      </w:r>
      <w:hyperlink r:id="rId5">
        <w:r>
          <w:rPr>
            <w:color w:val="1155CC"/>
            <w:u w:val="single"/>
          </w:rPr>
          <w:t>https://s29.q4cdn.com/175625835/files/doc_financials/2024/q4/8afe1e0f-192e-43ad-b8d1-aa947b389577.pdf</w:t>
        </w:r>
      </w:hyperlink>
    </w:p>
    <w:p w14:paraId="6B580743" w14:textId="6C839A2E" w:rsidR="00176E8F" w:rsidRDefault="00176E8F" w:rsidP="00176E8F">
      <w:pPr>
        <w:spacing w:before="240" w:after="240"/>
        <w:ind w:left="560"/>
      </w:pPr>
      <w:r w:rsidRPr="00176E8F">
        <w:t xml:space="preserve">Sun, D. (2024, November 12). What happens when it becomes almost impossible to spot a scam, even for experts?. The Straits Times. </w:t>
      </w:r>
      <w:hyperlink r:id="rId6" w:history="1">
        <w:r w:rsidRPr="00176E8F">
          <w:rPr>
            <w:rStyle w:val="Hyperlink"/>
          </w:rPr>
          <w:t>https://www.straitstimes.com/singapore/what-happens-when-it-becomes-almost-impossible-to-spot-a-scam-even-for-experts</w:t>
        </w:r>
      </w:hyperlink>
    </w:p>
    <w:p w14:paraId="38E412C5" w14:textId="17B1E802" w:rsidR="00383978" w:rsidRDefault="00FC60AE" w:rsidP="00383978">
      <w:pPr>
        <w:spacing w:before="240" w:after="240"/>
        <w:ind w:left="580" w:hanging="20"/>
      </w:pPr>
      <w:r w:rsidRPr="00FC60AE">
        <w:t xml:space="preserve">Royalties. Spotify. (n.d.). </w:t>
      </w:r>
      <w:hyperlink r:id="rId7" w:history="1">
        <w:r w:rsidRPr="00FC60AE">
          <w:rPr>
            <w:rStyle w:val="Hyperlink"/>
          </w:rPr>
          <w:t>https://support.spotify.com/us/artists/article/royalties/</w:t>
        </w:r>
      </w:hyperlink>
    </w:p>
    <w:p w14:paraId="00000021" w14:textId="77777777" w:rsidR="00351945" w:rsidRDefault="00E74115">
      <w:pPr>
        <w:spacing w:before="240" w:after="240"/>
        <w:ind w:left="580" w:hanging="20"/>
      </w:pPr>
      <w:r>
        <w:t xml:space="preserve">Gustar, A. (2020, July 6). </w:t>
      </w:r>
      <w:r>
        <w:rPr>
          <w:i/>
        </w:rPr>
        <w:t>Fame, obscurity and power laws in music history: Empirical musicology review</w:t>
      </w:r>
      <w:r>
        <w:t xml:space="preserve">. Fame, Obscurity and Power Laws in Music History | Empirical Musicology Review. </w:t>
      </w:r>
      <w:hyperlink r:id="rId8">
        <w:r>
          <w:rPr>
            <w:color w:val="1155CC"/>
            <w:u w:val="single"/>
          </w:rPr>
          <w:t>https://emusicology.org/index.php/EMR/article/view/7003/5601</w:t>
        </w:r>
      </w:hyperlink>
    </w:p>
    <w:p w14:paraId="6285CAD6" w14:textId="1F392A32" w:rsidR="00383978" w:rsidRDefault="00383978">
      <w:pPr>
        <w:spacing w:before="240" w:after="240"/>
        <w:ind w:left="580" w:hanging="20"/>
      </w:pPr>
      <w:r w:rsidRPr="00383978">
        <w:t xml:space="preserve">Fornacon-Wood, I., Mistry, H., Johnson-Hart, C., Faivre-Finn, C.,  O’Connor, J., &amp; Price, G. (2021, December 9). Understanding the differences between Bayesian and Frequentist Statistics - International Journal of Radiation Oncology, Biology, Physics. </w:t>
      </w:r>
      <w:hyperlink r:id="rId9" w:history="1">
        <w:r w:rsidRPr="00383978">
          <w:rPr>
            <w:rStyle w:val="Hyperlink"/>
          </w:rPr>
          <w:t>https://www.redjournal.org/article/S0360-3016(21)03256-9/fulltext</w:t>
        </w:r>
      </w:hyperlink>
    </w:p>
    <w:p w14:paraId="50615CB5" w14:textId="34736014" w:rsidR="0019399A" w:rsidRDefault="0019399A">
      <w:pPr>
        <w:spacing w:before="240" w:after="240"/>
        <w:ind w:left="580" w:hanging="20"/>
      </w:pPr>
      <w:r w:rsidRPr="0019399A">
        <w:t xml:space="preserve">Growthbook. (n.d.). Multiple testing corrections. GrowthBook Docs. </w:t>
      </w:r>
      <w:hyperlink r:id="rId10" w:anchor=":~:text=What%20is%20the%20multiple%20testing,%2C%20or%20multiple%20comparisons%2C%20problem." w:history="1">
        <w:r w:rsidRPr="0019399A">
          <w:rPr>
            <w:rStyle w:val="Hyperlink"/>
          </w:rPr>
          <w:t>https://docs.growthbook.io/statistics/multiple-corrections#:~:text=What%20is%20the%20multiple%20testing,%2C%20or%20multiple%20comparisons%2C%20problem.</w:t>
        </w:r>
      </w:hyperlink>
    </w:p>
    <w:p w14:paraId="2D3DE8B3" w14:textId="1CB63775" w:rsidR="00B801B0" w:rsidRDefault="00B801B0">
      <w:pPr>
        <w:spacing w:before="240" w:after="240"/>
        <w:ind w:left="580" w:hanging="20"/>
      </w:pPr>
      <w:r w:rsidRPr="00B801B0">
        <w:t xml:space="preserve">Tolonen, V. H. &amp; T. (2019, March 13). Bayesian inference 2019. Chapter 3 Summarizing the posterior distribution. </w:t>
      </w:r>
      <w:hyperlink r:id="rId11" w:history="1">
        <w:r w:rsidRPr="00B801B0">
          <w:rPr>
            <w:rStyle w:val="Hyperlink"/>
          </w:rPr>
          <w:t>https://vioshyvo.github.io/Bayesian_inference/summarizing-the-posterior-distribution.html</w:t>
        </w:r>
      </w:hyperlink>
    </w:p>
    <w:p w14:paraId="20CE3B5B" w14:textId="3E13A1FF" w:rsidR="002909BE" w:rsidRDefault="002909BE">
      <w:pPr>
        <w:spacing w:before="240" w:after="240"/>
        <w:ind w:left="580" w:hanging="20"/>
      </w:pPr>
      <w:r w:rsidRPr="002909BE">
        <w:t xml:space="preserve">Brownlee, J. (2019, November 5). A gentle introduction to Markov chain Monte Carlo for probability. MachineLearningMastery.com. </w:t>
      </w:r>
      <w:hyperlink r:id="rId12" w:history="1">
        <w:r w:rsidRPr="002909BE">
          <w:rPr>
            <w:rStyle w:val="Hyperlink"/>
          </w:rPr>
          <w:t>https://machinelearningmastery.com/markov-chain-monte-carlo-for-probability/</w:t>
        </w:r>
      </w:hyperlink>
    </w:p>
    <w:p w14:paraId="00000022" w14:textId="77777777" w:rsidR="00351945" w:rsidRDefault="00351945">
      <w:pPr>
        <w:spacing w:before="240" w:after="240"/>
        <w:ind w:left="580" w:hanging="20"/>
      </w:pPr>
    </w:p>
    <w:p w14:paraId="00000023" w14:textId="77777777" w:rsidR="00351945" w:rsidRDefault="00351945">
      <w:pPr>
        <w:spacing w:before="240" w:after="240"/>
        <w:ind w:left="580" w:hanging="20"/>
      </w:pPr>
    </w:p>
    <w:p w14:paraId="6F649CFA" w14:textId="77777777" w:rsidR="00F72153" w:rsidRPr="00F72153" w:rsidRDefault="00F72153" w:rsidP="00F72153">
      <w:pPr>
        <w:shd w:val="clear" w:color="auto" w:fill="FFFFFF"/>
        <w:spacing w:line="240" w:lineRule="auto"/>
        <w:rPr>
          <w:rFonts w:eastAsia="Times New Roman"/>
          <w:color w:val="222222"/>
          <w:sz w:val="24"/>
          <w:szCs w:val="24"/>
          <w:lang w:val="en-SG"/>
        </w:rPr>
      </w:pPr>
      <w:r w:rsidRPr="00F72153">
        <w:rPr>
          <w:rFonts w:eastAsia="Times New Roman"/>
          <w:color w:val="222222"/>
          <w:lang w:val="en-SG"/>
        </w:rPr>
        <w:t> </w:t>
      </w:r>
    </w:p>
    <w:p w14:paraId="00000024" w14:textId="77777777" w:rsidR="00351945" w:rsidRDefault="00351945"/>
    <w:sectPr w:rsidR="003519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4A34"/>
    <w:multiLevelType w:val="multilevel"/>
    <w:tmpl w:val="EEFE1A04"/>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945"/>
    <w:rsid w:val="001166B6"/>
    <w:rsid w:val="00144B9D"/>
    <w:rsid w:val="00173819"/>
    <w:rsid w:val="00176E8F"/>
    <w:rsid w:val="0019399A"/>
    <w:rsid w:val="001F4C91"/>
    <w:rsid w:val="001F70E6"/>
    <w:rsid w:val="002909BE"/>
    <w:rsid w:val="002D7AF2"/>
    <w:rsid w:val="00322CC2"/>
    <w:rsid w:val="00351945"/>
    <w:rsid w:val="00383978"/>
    <w:rsid w:val="003C6020"/>
    <w:rsid w:val="004358D7"/>
    <w:rsid w:val="004E3844"/>
    <w:rsid w:val="005A4AAF"/>
    <w:rsid w:val="00616251"/>
    <w:rsid w:val="006349D5"/>
    <w:rsid w:val="00672BCF"/>
    <w:rsid w:val="006839CB"/>
    <w:rsid w:val="006D6C76"/>
    <w:rsid w:val="00703BF3"/>
    <w:rsid w:val="00753429"/>
    <w:rsid w:val="007A405D"/>
    <w:rsid w:val="009163E2"/>
    <w:rsid w:val="00A608C9"/>
    <w:rsid w:val="00A73565"/>
    <w:rsid w:val="00B14675"/>
    <w:rsid w:val="00B801B0"/>
    <w:rsid w:val="00BB0251"/>
    <w:rsid w:val="00D24EF5"/>
    <w:rsid w:val="00D82D90"/>
    <w:rsid w:val="00E74115"/>
    <w:rsid w:val="00E74481"/>
    <w:rsid w:val="00F72153"/>
    <w:rsid w:val="00F821C5"/>
    <w:rsid w:val="00FC60AE"/>
    <w:rsid w:val="00FE3EEE"/>
    <w:rsid w:val="00FE51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F9D4"/>
  <w15:docId w15:val="{53C920A4-7C16-A141-87F2-0A9CE3F7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3C6020"/>
    <w:rPr>
      <w:color w:val="666666"/>
    </w:rPr>
  </w:style>
  <w:style w:type="character" w:customStyle="1" w:styleId="mord">
    <w:name w:val="mord"/>
    <w:basedOn w:val="DefaultParagraphFont"/>
    <w:rsid w:val="00322CC2"/>
  </w:style>
  <w:style w:type="paragraph" w:styleId="ListParagraph">
    <w:name w:val="List Paragraph"/>
    <w:basedOn w:val="Normal"/>
    <w:uiPriority w:val="34"/>
    <w:qFormat/>
    <w:rsid w:val="00F72153"/>
    <w:pPr>
      <w:ind w:left="720"/>
      <w:contextualSpacing/>
    </w:pPr>
  </w:style>
  <w:style w:type="character" w:customStyle="1" w:styleId="mpunct">
    <w:name w:val="mpunct"/>
    <w:basedOn w:val="DefaultParagraphFont"/>
    <w:rsid w:val="005A4AAF"/>
  </w:style>
  <w:style w:type="character" w:customStyle="1" w:styleId="mopen">
    <w:name w:val="mopen"/>
    <w:basedOn w:val="DefaultParagraphFont"/>
    <w:rsid w:val="005A4AAF"/>
  </w:style>
  <w:style w:type="character" w:customStyle="1" w:styleId="mclose">
    <w:name w:val="mclose"/>
    <w:basedOn w:val="DefaultParagraphFont"/>
    <w:rsid w:val="005A4AAF"/>
  </w:style>
  <w:style w:type="character" w:customStyle="1" w:styleId="vlist-s">
    <w:name w:val="vlist-s"/>
    <w:basedOn w:val="DefaultParagraphFont"/>
    <w:rsid w:val="005A4AAF"/>
  </w:style>
  <w:style w:type="character" w:styleId="Hyperlink">
    <w:name w:val="Hyperlink"/>
    <w:basedOn w:val="DefaultParagraphFont"/>
    <w:uiPriority w:val="99"/>
    <w:unhideWhenUsed/>
    <w:rsid w:val="00FC60AE"/>
    <w:rPr>
      <w:color w:val="0000FF" w:themeColor="hyperlink"/>
      <w:u w:val="single"/>
    </w:rPr>
  </w:style>
  <w:style w:type="character" w:styleId="UnresolvedMention">
    <w:name w:val="Unresolved Mention"/>
    <w:basedOn w:val="DefaultParagraphFont"/>
    <w:uiPriority w:val="99"/>
    <w:semiHidden/>
    <w:unhideWhenUsed/>
    <w:rsid w:val="00FC60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89978">
      <w:bodyDiv w:val="1"/>
      <w:marLeft w:val="0"/>
      <w:marRight w:val="0"/>
      <w:marTop w:val="0"/>
      <w:marBottom w:val="0"/>
      <w:divBdr>
        <w:top w:val="none" w:sz="0" w:space="0" w:color="auto"/>
        <w:left w:val="none" w:sz="0" w:space="0" w:color="auto"/>
        <w:bottom w:val="none" w:sz="0" w:space="0" w:color="auto"/>
        <w:right w:val="none" w:sz="0" w:space="0" w:color="auto"/>
      </w:divBdr>
    </w:div>
    <w:div w:id="2061635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usicology.org/index.php/EMR/article/view/7003/560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Woo\Documents\Royalties.%20Spotify.%20(n.d.).%20https:\support.spotify.com\us\artists\article\royalties" TargetMode="External"/><Relationship Id="rId12" Type="http://schemas.openxmlformats.org/officeDocument/2006/relationships/hyperlink" Target="https://machinelearningmastery.com/markov-chain-monte-carlo-for-prob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raitstimes.com/singapore/what-happens-when-it-becomes-almost-impossible-to-spot-a-scam-even-for-experts" TargetMode="External"/><Relationship Id="rId11" Type="http://schemas.openxmlformats.org/officeDocument/2006/relationships/hyperlink" Target="https://vioshyvo.github.io/Bayesian_inference/summarizing-the-posterior-distribution.html" TargetMode="External"/><Relationship Id="rId5" Type="http://schemas.openxmlformats.org/officeDocument/2006/relationships/hyperlink" Target="https://s29.q4cdn.com/175625835/files/doc_financials/2024/q4/8afe1e0f-192e-43ad-b8d1-aa947b389577.pdf" TargetMode="External"/><Relationship Id="rId10" Type="http://schemas.openxmlformats.org/officeDocument/2006/relationships/hyperlink" Target="https://docs.growthbook.io/statistics/multiple-corrections" TargetMode="External"/><Relationship Id="rId4" Type="http://schemas.openxmlformats.org/officeDocument/2006/relationships/webSettings" Target="webSettings.xml"/><Relationship Id="rId9" Type="http://schemas.openxmlformats.org/officeDocument/2006/relationships/hyperlink" Target="https://www.redjournal.org/article/S0360-3016(21)03256-9/full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2178</Words>
  <Characters>12417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 Kean Jin Brandon (BE OSAT OPS ESL DB)</dc:creator>
  <cp:lastModifiedBy>Woo Kean Jin Brandon (BE OSAT OPS ESL DB)</cp:lastModifiedBy>
  <cp:revision>2</cp:revision>
  <dcterms:created xsi:type="dcterms:W3CDTF">2025-02-27T01:44:00Z</dcterms:created>
  <dcterms:modified xsi:type="dcterms:W3CDTF">2025-02-27T01:44:00Z</dcterms:modified>
</cp:coreProperties>
</file>