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TOPLANTI SONRASI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DDDDDD"/>
                <w:sz w:val="22"/>
                <w:szCs w:val="22"/>
              </w:rPr>
              <w:t xml:space="preserve">Tebliğ Takip Listesi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B3A6B"/>
                <w:sz w:val="22"/>
                <w:szCs w:val="22"/>
              </w:rPr>
              <w:t xml:space="preserve">⚖️  Yasal Dayanak: KMK Madde 29 — Toplantı kararları ve işletme projesi, toplantıya katılmayan kat maliklerine ve kiracılara iadeli taahhütlü mektupla veya imza karşılığı elden tebliğ edilir.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B3A6B" w:sz="6" w:space="2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TEBLİĞ ÇIKIŞ BİLGİLERİ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Toplantı Tarihi</w:t>
            </w:r>
          </w:p>
        </w:tc>
        <w:tc>
          <w:tcPr>
            <w:tcW w:type="dxa" w:w="5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................................................................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Tebliğ Tarihi</w:t>
            </w:r>
          </w:p>
        </w:tc>
        <w:tc>
          <w:tcPr>
            <w:tcW w:type="dxa" w:w="5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................................................................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Tebliğ Eden Yönetici</w:t>
            </w:r>
          </w:p>
        </w:tc>
        <w:tc>
          <w:tcPr>
            <w:tcW w:type="dxa" w:w="5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................................................................</w:t>
            </w:r>
          </w:p>
        </w:tc>
      </w:tr>
      <w:tr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Gönderilen Belgeler</w:t>
            </w:r>
          </w:p>
        </w:tc>
        <w:tc>
          <w:tcPr>
            <w:tcW w:type="dxa" w:w="58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□ Toplantı Tutanağı    □ Karar Özeti    □ 2026 İşletme Projesi (Avans Miktarı)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B3A6B" w:sz="6" w:space="2"/>
        </w:pBdr>
        <w:spacing w:after="120" w:before="3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TEBLİĞ ALICI LİSTESİ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00"/>
        <w:gridCol w:w="1900"/>
        <w:gridCol w:w="1100"/>
        <w:gridCol w:w="1400"/>
        <w:gridCol w:w="1500"/>
        <w:gridCol w:w="1926"/>
      </w:tblGrid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Daire</w:t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 Soyad (Malik / Kiracı)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Tür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Yöntem</w:t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Gönderim Tarihi</w:t>
            </w:r>
          </w:p>
        </w:tc>
        <w:tc>
          <w:tcPr>
            <w:tcW w:type="dxa" w:w="19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Teslim / Teyit</w:t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926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TEBLİĞ YÖNTEMİ KODLARI:
• (İT) = İadeli Taahhütlü Posta
• (İK) = İmza Karşılığı Elden
• (E-POSTA) ⚠️ KMK kapsamında geçerli tebliğ yöntemi DEĞİLDİR — yalnızca bilgilendirme amaçlı kullanılabilir.
TESLİM / TEYİT ALANI:
• Elden teslimde: imza + tarih
• Posta ile gönderimde: taahhütlü posta alındısı / teslim bildirimi numarası yazılır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13"/>
        <w:gridCol w:w="4313"/>
      </w:tblGrid>
      <w:tr>
        <w:tc>
          <w:tcPr>
            <w:tcW w:type="dxa" w:w="43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pBdr>
                <w:top w:val="single" w:color="1B3A6B" w:sz="4" w:space="2"/>
              </w:pBdr>
              <w:spacing w:after="4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Tebliği Gerçekleştiren Yönetici</w:t>
            </w:r>
          </w:p>
        </w:tc>
        <w:tc>
          <w:tcPr>
            <w:tcW w:type="dxa" w:w="43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pBdr>
                <w:top w:val="single" w:color="1B3A6B" w:sz="4" w:space="2"/>
              </w:pBdr>
              <w:spacing w:after="4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Tarih / İmza</w:t>
            </w:r>
          </w:p>
        </w:tc>
      </w:tr>
    </w:tbl>
    <w:p>
      <w:pPr>
        <w:spacing w:after="0" w:before="30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4"/>
      </w:pBdr>
      <w:spacing w:after="0" w:before="60"/>
      <w:jc w:val="center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Bu belge Kat Mülkiyeti Kanunu (KMK No. 634) kapsamında düzenlenmiştir.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8" w:space="4"/>
      </w:pBdr>
      <w:spacing w:after="60" w:before="0"/>
    </w:pPr>
    <w:r>
      <w:rPr>
        <w:rFonts w:ascii="Arial" w:cs="Arial" w:eastAsia="Arial" w:hAnsi="Arial"/>
        <w:color w:val="888888"/>
        <w:sz w:val="18"/>
        <w:szCs w:val="18"/>
      </w:rPr>
      <w:t xml:space="preserve">ÖZ ÜMİT SİTESİ B BLOK  |  </w:t>
    </w: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TEBLİĞ TAKİP LİSTESİ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2026-03-26T09:07:42.104Z</dcterms:created>
  <dcterms:modified xsi:type="dcterms:W3CDTF">2026-03-26T09:07:42.105Z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