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24" w:lineRule="auto"/>
        <w:jc w:val="center"/>
      </w:pPr>
      <w:r>
        <w:rPr>
          <w:rFonts w:ascii="宋体" w:hAnsi="宋体" w:eastAsia="宋体"/>
          <w:b/>
          <w:sz w:val="44"/>
        </w:rPr>
        <w:t>安全自评报告</w:t>
      </w:r>
    </w:p>
    <w:p>
      <w:pPr>
        <w:spacing w:after="240" w:line="324" w:lineRule="auto"/>
        <w:jc w:val="center"/>
      </w:pPr>
      <w:r>
        <w:rPr>
          <w:rFonts w:ascii="宋体" w:hAnsi="宋体" w:eastAsia="宋体"/>
          <w:b w:val="0"/>
          <w:sz w:val="28"/>
        </w:rPr>
        <w:t>权限分级实现说明与已知风险清单</w:t>
      </w:r>
    </w:p>
    <w:p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24"/>
        </w:rPr>
        <w:t>项目：fin-harness（财智 / 小财）</w:t>
      </w:r>
    </w:p>
    <w:p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24"/>
        </w:rPr>
        <w:t>评估日期：2026-10-31</w:t>
      </w:r>
    </w:p>
    <w:p>
      <w:pPr>
        <w:spacing w:after="240" w:line="324" w:lineRule="auto"/>
        <w:jc w:val="center"/>
      </w:pPr>
      <w:r>
        <w:rPr>
          <w:rFonts w:ascii="宋体" w:hAnsi="宋体" w:eastAsia="宋体"/>
          <w:b w:val="0"/>
          <w:sz w:val="24"/>
        </w:rPr>
        <w:t>评估范围：当前仓库产品主路径，即 POST /api/agent/query 所走的 Harness 运行时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4"/>
        </w:rPr>
        <w:t>本报告只依据仓库中的实现、设计约束和测试入口编写。设计文档中已声明但代码尚未落地的控制，列入已知风险，不记为已实现能力。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1. 系统范围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4"/>
        </w:rPr>
        <w:t>财智是面向投研与客服的金融助手。用户经登录后发起对话，FastAPI 以 SSE 返回结果。产品入口只走自研 Harness：事件日志、工具菜单、调度、失败策略、上下文压缩和发布前合规检查。问财、本地财报事实、FAQ、PDF、联网搜索和计算是只读查询；记忆写入和删除是少量写操作。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4"/>
        </w:rPr>
        <w:t>本报告不把遗留的 LangGraph 编排当作对外入口。产品组合根是 harness.runtime.product_manager，工具菜单来自 ToolRuntime.product()。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2. 权限分级实现说明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2.1 身份与租户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4"/>
        </w:rPr>
        <w:t>接口使用 JWT。登录签发的令牌包含邮箱、tenant_id 和 user_id；校验时以服务端用户记录为准，不接受客户端另行传入的租户编号。用户必须处于 active。tenant_id 缺失则拒绝。实现见 app/backend/app/core/security.py 与 app/backend/app/api/auth.py。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4"/>
        </w:rPr>
        <w:t>会话按 tenant_id、user_id 和 conversation 查找或创建。同一 session 同时只允许一个 turn 持有租约，产品路径写入 PostgreSQL 表 app.agent_session_leases，主键为 session_id，默认 120 秒过期。抢占失败返回 409。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2.2 接口角色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4"/>
        </w:rPr>
        <w:t>在登录用户之上，管理类记忆接口再检查角色。require_compliance_user 只放行 tenant_admin、compliance_operator、platform_admin，其余返回 403。普通对话、本人记忆和会话接口只要求有效登录用户。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级别</w:t>
            </w:r>
          </w:p>
        </w:tc>
        <w:tc>
          <w:tcPr>
            <w:tcW w:type="dxa" w:w="232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主体</w:t>
            </w:r>
          </w:p>
        </w:tc>
        <w:tc>
          <w:tcPr>
            <w:tcW w:type="dxa" w:w="232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能做什么</w:t>
            </w:r>
          </w:p>
        </w:tc>
        <w:tc>
          <w:tcPr>
            <w:tcW w:type="dxa" w:w="232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不能做什么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未认证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无有效 JWT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不能调用 Agent、会话和记忆接口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不能进入产品主路径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登录用户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active 用户，租户来自服务端记录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本人会话、本人记忆、发起问答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不能调用合规管理接口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合规/租户/平台管理员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上述三角色之一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在登录能力之上访问管理记忆接口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角色本身不自动打开高风险工具人审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2.3 工具分级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4"/>
        </w:rPr>
        <w:t>工具注册时带有 ToolSpec：risk_level（low / medium / high / critical）、read_only、requires_human_approval、超时和重试。产品菜单由 harness/tools/providers.py 装配。当前问财、知识库、财务事实、计算和天气均登记为 low 且 read_only。记忆写入和删除不是只读，并且不可与其他工具并行。天眼查一类 MCP 工具默认 risk_level 为 medium，未配置环境变量时不进入菜单。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4"/>
        </w:rPr>
        <w:t>遗留执行入口 tools/core/execution.py 会调用 can_use_tool。权限列表为空时默认拒绝；名单中有该 tool_id 或含 “*” 才允许。AgentRuntimeContext.from_user 对 admin 角色给予 “*”，对 user 角色给予一份只读工具白名单，其他角色为空因而默认拒绝。这条检查位于遗留执行函数，产品主循环的 scheduler 按工具名解析后直接进入 ToolPipeline，不调用 can_use_tool。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4"/>
        </w:rPr>
        <w:t>人审开关是 requires_human_approval。为真时，调度器不执行 handler，写入 approval/asked，同批其他调用记为 deferred_for_approval。恢复时先确认该审批仍处于待处理，allow 才执行，否则写入 denied。同一审批不能执行两次。当前产品工具注册没有把该字段设为 True，默认值为 False。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2.4 数据与输出边界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4"/>
        </w:rPr>
        <w:t>FAQ 使用同一检索库，用 domain 枚举区分 capital_market 与 corporate_finance，检索时按该字段过滤。PDF 是另一套目录，只返回已收录且通过质量准入的文档。联网搜索提供 allowlist 与 open 两种范围，默认白名单包含交易所、监管和主流财经域名。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4"/>
        </w:rPr>
        <w:t>用户输入在进入 Agent 前做凭据检测，命中私钥、JWT、常见令牌或带标签的秘密值时返回 400，不进入工具参数。系统提示要求密钥不得进入工具参数、日志或回答。发布前 compliance/review.py 扫描“保证收益、稳赚、一定上涨、必涨、直接买入”，命中则用固定合规拒答替换正文。工具结果上的 evidence_id 留在事件日志中供追踪，不作为发布闸门。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3. 已知风险清单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4"/>
        </w:rPr>
        <w:t>下列事项是当前实现与设计约束之间的差距，或控制范围明确偏窄的地方。严重程度按对外部用户和数据边界的影响估计。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232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风险</w:t>
            </w:r>
          </w:p>
        </w:tc>
        <w:tc>
          <w:tcPr>
            <w:tcW w:type="dxa" w:w="232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现状</w:t>
            </w:r>
          </w:p>
        </w:tc>
        <w:tc>
          <w:tcPr>
            <w:tcW w:type="dxa" w:w="232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建议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R1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产品主路径未执行工具白名单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登录用户拿到的是 ToolRuntime.product() 全量菜单。can_use_tool 的用户白名单只在遗留 execute_tool 中生效。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调度前按角色过滤 tool_id；普通用户不暴露写工具和管理工具。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R2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人审开关未在产品工具上打开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设计说明要求问财和财务事实工具审批后执行。代码默认 requires_human_approval 为 False，仅测试构造了 True 的例子。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对外部数据源或高影响查询按 ToolSpec 打开人审，并保持无人审批时不执行。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R3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管理员通配权限过宽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from_user 对 admin 角色设置 permissions=('*')。若该上下文被接到执行入口，管理员可调用全部已注册工具。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管理员接口与工具执行分开授权，避免用角色通配代替工具名单。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R4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合规规则是关键词拦截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发布前只匹配少量禁用表达。同义荐股、承诺收益的改写可能通过。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保留关键词网关，并补充可回归的案例集；不把 evidence_id 误写成已经做了事实核对。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R5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回答不与证据绑定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finalization 明确不做 evidence 绑定闸门。模型可以在无引用的情况下发布正文。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对数字类回答增加引用或来源检查；不能通过时明确说明未查到。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R6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联网搜索可离开白名单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域名边界同时支持 allowlist 和 open。open 不再受默认金融站点限制。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产品默认固定 allowlist；open 仅对受控调试入口开放。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R7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外部工具凭据与结果缓存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问财依赖 API Key。成功的只读结果按 skill、版本和查询参数缓存在 Redis，行情类 TTL 默认 30 秒，文档类更长。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密钥只放环境变量；缓存键不含凭据明文；失败结果不缓存。</w:t>
            </w:r>
          </w:p>
        </w:tc>
      </w:tr>
      <w:tr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R8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MCP 客户端仍是有会话的旧调用方式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mcp/client.py 先 initialize，再携带会话头调用工具，协议版本为 2024-11-05。未配置的 MCP 不注册。</w:t>
            </w:r>
          </w:p>
        </w:tc>
        <w:tc>
          <w:tcPr>
            <w:tcW w:type="dxa" w:w="232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接入新版本协议时保持按服务器配置启用，不为未配置服务暴露工具。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4. 结论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4"/>
        </w:rPr>
        <w:t>当前产品已经具备登录鉴权、租户来自服务端、会话互斥、输入凭据拦截、工具超时和错误分类、发布前关键词合规，以及只读工具与写工具的区分。权限分级的接口层是有效的。工具执行层的白名单和人审已经有代码位置，但没有接到产品主循环，因此不能写成已经对全部工具生效。</w:t>
      </w:r>
    </w:p>
    <w:p>
      <w:pPr>
        <w:spacing w:after="120" w:line="324" w:lineRule="auto"/>
      </w:pPr>
      <w:r>
        <w:rPr>
          <w:rFonts w:ascii="宋体" w:hAnsi="宋体" w:eastAsia="宋体"/>
          <w:b w:val="0"/>
          <w:sz w:val="24"/>
        </w:rPr>
        <w:t>自评结论：身份和会话边界可以说明；工具权限分级只完成了元数据和遗留入口，产品菜单尚未按角色裁剪，人审默认关闭。上表 R1、R2 应在对外承诺权限分级之前补上。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5. 主要证据</w:t>
      </w:r>
    </w:p>
    <w:p>
      <w:pPr>
        <w:spacing w:after="40" w:line="324" w:lineRule="auto"/>
      </w:pPr>
      <w:r>
        <w:rPr>
          <w:rFonts w:ascii="宋体" w:hAnsi="宋体" w:eastAsia="宋体"/>
          <w:b w:val="0"/>
          <w:sz w:val="22"/>
        </w:rPr>
        <w:t>app/backend/app/core/security.py：JWT 校验与合规角色</w:t>
      </w:r>
    </w:p>
    <w:p>
      <w:pPr>
        <w:spacing w:after="40" w:line="324" w:lineRule="auto"/>
      </w:pPr>
      <w:r>
        <w:rPr>
          <w:rFonts w:ascii="宋体" w:hAnsi="宋体" w:eastAsia="宋体"/>
          <w:b w:val="0"/>
          <w:sz w:val="22"/>
        </w:rPr>
        <w:t>app/backend/app/api/agent.py：查询入口的凭据检测与登录依赖</w:t>
      </w:r>
    </w:p>
    <w:p>
      <w:pPr>
        <w:spacing w:after="40" w:line="324" w:lineRule="auto"/>
      </w:pPr>
      <w:r>
        <w:rPr>
          <w:rFonts w:ascii="宋体" w:hAnsi="宋体" w:eastAsia="宋体"/>
          <w:b w:val="0"/>
          <w:sz w:val="22"/>
        </w:rPr>
        <w:t>harness/agent/postgres_leases.py：会话租约</w:t>
      </w:r>
    </w:p>
    <w:p>
      <w:pPr>
        <w:spacing w:after="40" w:line="324" w:lineRule="auto"/>
      </w:pPr>
      <w:r>
        <w:rPr>
          <w:rFonts w:ascii="宋体" w:hAnsi="宋体" w:eastAsia="宋体"/>
          <w:b w:val="0"/>
          <w:sz w:val="22"/>
        </w:rPr>
        <w:t>tools/core/base.py、harness/tools/providers.py：工具风险、只读和人审字段</w:t>
      </w:r>
    </w:p>
    <w:p>
      <w:pPr>
        <w:spacing w:after="40" w:line="324" w:lineRule="auto"/>
      </w:pPr>
      <w:r>
        <w:rPr>
          <w:rFonts w:ascii="宋体" w:hAnsi="宋体" w:eastAsia="宋体"/>
          <w:b w:val="0"/>
          <w:sz w:val="22"/>
        </w:rPr>
        <w:t>harness/policy.py、tools/core/execution.py：遗留工具权限检查</w:t>
      </w:r>
    </w:p>
    <w:p>
      <w:pPr>
        <w:spacing w:after="40" w:line="324" w:lineRule="auto"/>
      </w:pPr>
      <w:r>
        <w:rPr>
          <w:rFonts w:ascii="宋体" w:hAnsi="宋体" w:eastAsia="宋体"/>
          <w:b w:val="0"/>
          <w:sz w:val="22"/>
        </w:rPr>
        <w:t>agents/runtime_context.py：按角色生成工具权限</w:t>
      </w:r>
    </w:p>
    <w:p>
      <w:pPr>
        <w:spacing w:after="40" w:line="324" w:lineRule="auto"/>
      </w:pPr>
      <w:r>
        <w:rPr>
          <w:rFonts w:ascii="宋体" w:hAnsi="宋体" w:eastAsia="宋体"/>
          <w:b w:val="0"/>
          <w:sz w:val="22"/>
        </w:rPr>
        <w:t>harness/tools/scheduler.py：人审暂停与恢复前的执行点</w:t>
      </w:r>
    </w:p>
    <w:p>
      <w:pPr>
        <w:spacing w:after="40" w:line="324" w:lineRule="auto"/>
      </w:pPr>
      <w:r>
        <w:rPr>
          <w:rFonts w:ascii="宋体" w:hAnsi="宋体" w:eastAsia="宋体"/>
          <w:b w:val="0"/>
          <w:sz w:val="22"/>
        </w:rPr>
        <w:t>compliance/rules.py、harness/finalization/submit.py：发布前合规</w:t>
      </w:r>
    </w:p>
    <w:p>
      <w:pPr>
        <w:spacing w:after="40" w:line="324" w:lineRule="auto"/>
      </w:pPr>
      <w:r>
        <w:rPr>
          <w:rFonts w:ascii="宋体" w:hAnsi="宋体" w:eastAsia="宋体"/>
          <w:b w:val="0"/>
          <w:sz w:val="22"/>
        </w:rPr>
        <w:t>tools/web_domains.py：联网搜索域名边界</w:t>
      </w:r>
    </w:p>
    <w:p>
      <w:pPr>
        <w:spacing w:after="40" w:line="324" w:lineRule="auto"/>
      </w:pPr>
      <w:r>
        <w:rPr>
          <w:rFonts w:ascii="宋体" w:hAnsi="宋体" w:eastAsia="宋体"/>
          <w:b w:val="0"/>
          <w:sz w:val="22"/>
        </w:rPr>
        <w:t>harness/adr/00-runtime.md：人审与证据编号的设计约束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