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a30f780339278dc9ba28caf6c71d325c73c68dd"/>
    <w:p>
      <w:pPr>
        <w:pStyle w:val="Heading1"/>
      </w:pPr>
      <w:r>
        <w:t xml:space="preserve">Segmental Versus Major Hepatectomy in Elderly Hepatobiliary Cancer: Comparable Survival but Sensitive to Confounding — A SEER Analysis With E-Value</w:t>
      </w:r>
    </w:p>
    <w:p>
      <w:pPr>
        <w:pStyle w:val="FirstParagraph"/>
      </w:pPr>
      <w:r>
        <w:rPr>
          <w:b/>
          <w:bCs/>
        </w:rPr>
        <w:t xml:space="preserve">Qigang Xu</w:t>
      </w:r>
      <m:oMath>
        <m:sSup>
          <m:e>
            <m:r>
              <m:t>​</m:t>
            </m:r>
          </m:e>
          <m:sup>
            <m:r>
              <m:t>2</m:t>
            </m:r>
            <m:r>
              <m:rPr>
                <m:sty m:val="p"/>
              </m:rPr>
              <m:t>,</m:t>
            </m:r>
            <m:r>
              <m:rPr>
                <m:sty m:val="p"/>
              </m:rPr>
              <m:t>†</m:t>
            </m:r>
          </m:sup>
        </m:sSup>
      </m:oMath>
      <w:r>
        <w:t xml:space="preserve"> </w:t>
      </w:r>
      <w:r>
        <w:t xml:space="preserve">·</w:t>
      </w:r>
      <w:r>
        <w:t xml:space="preserve"> </w:t>
      </w:r>
      <w:r>
        <w:rPr>
          <w:b/>
          <w:bCs/>
        </w:rPr>
        <w:t xml:space="preserve">Yongyu Bai</w:t>
      </w:r>
      <m:oMath>
        <m:sSup>
          <m:e>
            <m:r>
              <m:t>​</m:t>
            </m:r>
          </m:e>
          <m:sup>
            <m:r>
              <m:t>1</m:t>
            </m:r>
            <m:r>
              <m:rPr>
                <m:sty m:val="p"/>
              </m:rPr>
              <m:t>,</m:t>
            </m:r>
            <m:r>
              <m:rPr>
                <m:sty m:val="p"/>
              </m:rPr>
              <m:t>†</m:t>
            </m:r>
          </m:sup>
        </m:sSup>
      </m:oMath>
      <w:r>
        <w:t xml:space="preserve"> </w:t>
      </w:r>
      <w:r>
        <w:t xml:space="preserve">·</w:t>
      </w:r>
      <w:r>
        <w:t xml:space="preserve"> </w:t>
      </w:r>
      <w:r>
        <w:rPr>
          <w:b/>
          <w:bCs/>
        </w:rPr>
        <w:t xml:space="preserve">Yiqi Cai</w:t>
      </w:r>
      <m:oMath>
        <m:sSup>
          <m:e>
            <m:r>
              <m:t>​</m:t>
            </m:r>
          </m:e>
          <m:sup>
            <m:r>
              <m:t>1</m:t>
            </m:r>
          </m:sup>
        </m:sSup>
      </m:oMath>
      <w:r>
        <w:t xml:space="preserve"> </w:t>
      </w:r>
      <w:r>
        <w:t xml:space="preserve">·</w:t>
      </w:r>
      <w:r>
        <w:t xml:space="preserve"> </w:t>
      </w:r>
      <w:r>
        <w:rPr>
          <w:b/>
          <w:bCs/>
        </w:rPr>
        <w:t xml:space="preserve">Zhuha Zhou</w:t>
      </w:r>
      <m:oMath>
        <m:sSup>
          <m:e>
            <m:r>
              <m:t>​</m:t>
            </m:r>
          </m:e>
          <m:sup>
            <m:r>
              <m:t>1</m:t>
            </m:r>
            <m:r>
              <m:rPr>
                <m:sty m:val="p"/>
              </m:rPr>
              <m:t>,</m:t>
            </m:r>
            <m:r>
              <m:rPr>
                <m:sty m:val="p"/>
              </m:rPr>
              <m:t>*</m:t>
            </m:r>
          </m:sup>
        </m:sSup>
      </m:oMath>
    </w:p>
    <w:p>
      <w:pPr>
        <w:pStyle w:val="BodyText"/>
      </w:pPr>
      <m:oMath>
        <m:sSup>
          <m:e>
            <m:r>
              <m:t>​</m:t>
            </m:r>
          </m:e>
          <m:sup>
            <m:r>
              <m:t>1</m:t>
            </m:r>
          </m:sup>
        </m:sSup>
      </m:oMath>
      <w:r>
        <w:t xml:space="preserve"> </w:t>
      </w:r>
      <w:r>
        <w:t xml:space="preserve">Department of Gastroenterology Surgery, The First Affiliated Hospital of Wenzhou Medical University, Zhejiang, China</w:t>
      </w:r>
      <w:r>
        <w:t xml:space="preserve"> </w:t>
      </w:r>
      <m:oMath>
        <m:sSup>
          <m:e>
            <m:r>
              <m:t>​</m:t>
            </m:r>
          </m:e>
          <m:sup>
            <m:r>
              <m:t>2</m:t>
            </m:r>
          </m:sup>
        </m:sSup>
      </m:oMath>
      <w:r>
        <w:t xml:space="preserve"> </w:t>
      </w:r>
      <w:r>
        <w:t xml:space="preserve">Department of Hepatobiliary and Pancreatic Surgery, The First Affiliated Hospital of Wenzhou Medical University, Zhejiang, China</w:t>
      </w:r>
      <w:r>
        <w:t xml:space="preserve"> </w:t>
      </w:r>
      <m:oMath>
        <m:r>
          <m:rPr>
            <m:sty m:val="p"/>
          </m:rPr>
          <m:t>†</m:t>
        </m:r>
      </m:oMath>
      <w:r>
        <w:t xml:space="preserve"> </w:t>
      </w:r>
      <w:r>
        <w:t xml:space="preserve">Equal contribution ·</w:t>
      </w:r>
      <w:r>
        <w:t xml:space="preserve"> </w:t>
      </w:r>
      <m:oMath>
        <m:sSup>
          <m:e>
            <m:r>
              <m:t>​</m:t>
            </m:r>
          </m:e>
          <m:sup>
            <m:r>
              <m:rPr>
                <m:sty m:val="p"/>
              </m:rPr>
              <m:t>*</m:t>
            </m:r>
          </m:sup>
        </m:sSup>
      </m:oMath>
      <w:r>
        <w:t xml:space="preserve"> </w:t>
      </w:r>
      <w:r>
        <w:t xml:space="preserve">Corresponding author: zhouzhuha@wmu.edu.cn</w:t>
      </w:r>
    </w:p>
    <w:p>
      <w:pPr>
        <w:pStyle w:val="BodyText"/>
      </w:pPr>
      <w:r>
        <w:rPr>
          <w:b/>
          <w:bCs/>
        </w:rPr>
        <w:t xml:space="preserve">Running head</w:t>
      </w:r>
      <w:r>
        <w:t xml:space="preserve">: Segmental Versus Major Hepatectomy in Elderly Hepatobiliary Cancer</w:t>
      </w:r>
    </w:p>
    <w:p>
      <w:pPr>
        <w:pStyle w:val="BodyText"/>
      </w:pPr>
      <w:r>
        <w:rPr>
          <w:b/>
          <w:bCs/>
        </w:rPr>
        <w:t xml:space="preserve">Key words</w:t>
      </w:r>
      <w:r>
        <w:t xml:space="preserve">: hepatocellular carcinoma, intrahepatic cholangiocarcinoma, elderly, SEER, segmental resection, E-value, external validation</w:t>
      </w:r>
    </w:p>
    <w:p>
      <w:pPr>
        <w:pStyle w:val="BodyText"/>
      </w:pPr>
      <w:r>
        <w:rPr>
          <w:b/>
          <w:bCs/>
        </w:rPr>
        <w:t xml:space="preserve">Word count</w:t>
      </w:r>
      <w:r>
        <w:t xml:space="preserve">: Abstract 249 | Text ~3,500 | Figures 5 | Tables 3 | References 40</w:t>
      </w:r>
    </w:p>
    <w:p>
      <w:r>
        <w:pict>
          <v:rect style="width:0;height:1.5pt" o:hralign="center" o:hrstd="t" o:hr="t"/>
        </w:pict>
      </w:r>
    </w:p>
    <w:bookmarkStart w:id="9" w:name="abstract"/>
    <w:p>
      <w:pPr>
        <w:pStyle w:val="Heading2"/>
      </w:pPr>
      <w:r>
        <w:t xml:space="preserve">ABSTRACT</w:t>
      </w:r>
    </w:p>
    <w:p>
      <w:pPr>
        <w:pStyle w:val="FirstParagraph"/>
      </w:pPr>
      <w:r>
        <w:rPr>
          <w:b/>
          <w:bCs/>
        </w:rPr>
        <w:t xml:space="preserve">Importance</w:t>
      </w:r>
      <w:r>
        <w:t xml:space="preserve">: Whether segmental/wedge resection provides survival outcomes comparable to major hepatectomy in elderly patients with hepatobiliary cancer is unknown, yet the answer directly affects surgical decision-making in a rapidly aging population.</w:t>
      </w:r>
    </w:p>
    <w:p>
      <w:pPr>
        <w:pStyle w:val="BodyText"/>
      </w:pPr>
      <w:r>
        <w:rPr>
          <w:b/>
          <w:bCs/>
        </w:rPr>
        <w:t xml:space="preserve">Objective</w:t>
      </w:r>
      <w:r>
        <w:t xml:space="preserve">: To compare cancer-specific survival between segmental and major hepatectomy in patients aged 65 years or older with hepatocellular carcinoma (HCC) or intrahepatic cholangiocarcinoma (ICC).</w:t>
      </w:r>
    </w:p>
    <w:p>
      <w:pPr>
        <w:pStyle w:val="BodyText"/>
      </w:pPr>
      <w:r>
        <w:rPr>
          <w:b/>
          <w:bCs/>
        </w:rPr>
        <w:t xml:space="preserve">Design, Setting, and Participants</w:t>
      </w:r>
      <w:r>
        <w:t xml:space="preserve">: Population-based cohort study using the SEER 18-registry database (2004–2022) with external validation on TCGA-LIHC and ICGC-LIRI-JP. Participants were 76,110 patients aged ≥65 years with histologically confirmed hepatobiliary malignancy. Data were analyzed from April to June 2026.</w:t>
      </w:r>
    </w:p>
    <w:p>
      <w:pPr>
        <w:pStyle w:val="BodyText"/>
      </w:pPr>
      <w:r>
        <w:rPr>
          <w:b/>
          <w:bCs/>
        </w:rPr>
        <w:t xml:space="preserve">Exposures</w:t>
      </w:r>
      <w:r>
        <w:t xml:space="preserve">: Five surgical categories — none, local destruction, segmental/wedge resection, lobectomy/extended lobectomy, and liver transplantation.</w:t>
      </w:r>
    </w:p>
    <w:p>
      <w:pPr>
        <w:pStyle w:val="BodyText"/>
      </w:pPr>
      <w:r>
        <w:rPr>
          <w:b/>
          <w:bCs/>
        </w:rPr>
        <w:t xml:space="preserve">Main Outcomes and Measures</w:t>
      </w:r>
      <w:r>
        <w:t xml:space="preserve">: Cancer-specific survival. Multivariable Cox regression with propensity score matching (PSM) and E-value analysis for unmeasured confounding.</w:t>
      </w:r>
    </w:p>
    <w:p>
      <w:pPr>
        <w:pStyle w:val="BodyText"/>
      </w:pPr>
      <w:r>
        <w:rPr>
          <w:b/>
          <w:bCs/>
        </w:rPr>
        <w:t xml:space="preserve">Results</w:t>
      </w:r>
      <w:r>
        <w:t xml:space="preserve">: Among 76,110 patients (median age 74 years; IQR 68–80; 65.4% male), 59,821 (78.6%) received no surgery and 16,289 (21.4%) underwent surgical intervention. Surgical resection was strongly associated with improved survival vs no surgery (PSM-adjusted HR 0.35; 95% CI 0.33–0.37; E-value 5.2). Compared with no surgery, segmental resection (HR 0.23; 95% CI 0.22–0.25) and larger resection (HR 0.24; 95% CI 0.22–0.27) showed similar adjusted survival. However, this within-surgery comparison is observational and susceptible to unmeasured confounding (E-value approximately 1.3); liver function, tumor anatomy, and performance status — unavailable in SEER — could plausibly account for the observed similarity. The surgery × cancer type interaction was not significant (P = 0.206). External validation showed limited discrimination: TCGA-LIHC C-index 0.595 (95% CI 0.536–0.654); ICGC-LIRI-JP C-index 0.547 (95% CI 0.486–0.608), underscoring the need for population-specific model recalibration.</w:t>
      </w:r>
    </w:p>
    <w:p>
      <w:pPr>
        <w:pStyle w:val="BodyText"/>
      </w:pPr>
      <w:r>
        <w:rPr>
          <w:b/>
          <w:bCs/>
        </w:rPr>
        <w:t xml:space="preserve">Conclusions and Relevance</w:t>
      </w:r>
      <w:r>
        <w:t xml:space="preserve">: Surgical resection is associated with a robust survival benefit in elderly hepatobiliary cancer patients. The observational comparison between segmental and major resection shows similar adjusted survival but is sensitive to unmeasured confounding. These findings should be interpreted as hypothesis-generating; prospective studies with granular clinical data are needed to guide resection extent in this population.</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Hepatobiliary cancers, comprising hepatocellular carcinoma (HCC) and intrahepatic cholangiocarcinoma (ICC), represent some of the most lethal malignancies worldwide [1]. With global population aging, the proportion of elderly patients (age ≥65 years) diagnosed with these cancers continues to rise annually [2]. For elderly patients with resectable hepatobiliary cancer, multiple surgical options exist—from segmental or wedge resection to lobectomy, extended lobectomy, and liver transplantation [3]. However, controversy persists: more radical surgeries may offer superior oncologic clearance but carry higher perioperative risk, particularly in elderly patients with comorbidities [4]. Current guidelines [18,19] recommend surgical resection based on tumor stage and liver function, with BCLC staging providing the framework for treatment allocation [20], yet evidence specifically guiding the choice between segmental and major resection in elderly patients remains limited.</w:t>
      </w:r>
    </w:p>
    <w:p>
      <w:pPr>
        <w:pStyle w:val="BodyText"/>
      </w:pPr>
      <w:r>
        <w:t xml:space="preserve">Zhang et al. first reported from SEER data that for 2,371 elderly patients with stage I–II HCC, segmental or wedge resection provided survival outcomes comparable to larger resection when transplantation was unavailable [5]. However, this analysis was limited to early-stage HCC (2004–2011) and did not include ICC. Xia et al. subsequently compared surgical types in 10,174 HCC patients but combined wedge and segmental resection as a single category without age-specific stratification of surgical subtypes [6]. For ICC, an XGBoost model predicted survival in 1,055 surgical patients but did not compare surgical extents [7]. No prior study has simultaneously compared segmental versus larger resection outcomes in elderly patients with both HCC and ICC using population-based data with formal causal sensitivity analyses and external validation.</w:t>
      </w:r>
    </w:p>
    <w:p>
      <w:pPr>
        <w:pStyle w:val="BodyText"/>
      </w:pPr>
      <w:r>
        <w:t xml:space="preserve">To address these gaps, we conducted a comprehensive analysis with three objectives: (1) to quantify the survival benefit of surgical resection in elderly hepatobiliary cancer using robust causal sensitivity analyses; (2) to compare adjusted outcomes by surgical extent within the operated subgroup across HCC and ICC; and (3) to assess robustness through E-value analysis, propensity score matching, and multiple sensitivity analyses.</w:t>
      </w:r>
    </w:p>
    <w:p>
      <w:r>
        <w:pict>
          <v:rect style="width:0;height:1.5pt" o:hralign="center" o:hrstd="t" o:hr="t"/>
        </w:pict>
      </w:r>
    </w:p>
    <w:bookmarkEnd w:id="10"/>
    <w:bookmarkStart w:id="20" w:name="methods"/>
    <w:p>
      <w:pPr>
        <w:pStyle w:val="Heading2"/>
      </w:pPr>
      <w:r>
        <w:t xml:space="preserve">METHODS</w:t>
      </w:r>
    </w:p>
    <w:bookmarkStart w:id="11" w:name="data-source-and-study-population"/>
    <w:p>
      <w:pPr>
        <w:pStyle w:val="Heading3"/>
      </w:pPr>
      <w:r>
        <w:t xml:space="preserve">Data Source and Study Population</w:t>
      </w:r>
    </w:p>
    <w:p>
      <w:pPr>
        <w:pStyle w:val="FirstParagraph"/>
      </w:pPr>
      <w:r>
        <w:t xml:space="preserve">The SEER Research Plus Data (November 2024 submission) was queried for patients with hepatobiliary cancer (primary site: liver C22.0 or intrahepatic bile duct C22.1) diagnosed between January 1, 2004 and December 31, 2022. SEER covers approximately 28% of the US population across 18 registries [8]. Inclusion criteria were: (1) age ≥65 years at diagnosis; (2) histologically confirmed hepatobiliary malignancy (ICD-O-3: 8170–8175 for HCC; 8160–8162 for ICC; 8180 for combined HCC-ICC); (3) known AJCC stage and survival data; and (4) complete data on key covariates (age, sex, marital status, race, stage, grade, cancer type, surgery, chemotherapy, radiation, cirrhosis, tumor size). Of 171,286 records, 76,110 (44.4%) met inclusion criteria; exclusions included age &lt;18 (n=1,399), missing survival data (n=5,504), age &lt;65 (n=87,773), and incomplete covariate data (n=500). Patients with other hepatobiliary histologies (n=6,981; 9.2%) including combined HCC-ICC, hepatoblastoma, and sarcoma NOS were retained in the full cohort for primary analyses; a sensitivity analysis excluding these patients is reported (eTable 5). The study was exempt from institutional review board approval as SEER, TCGA, and ICGC data are publicly available and de-identified.</w:t>
      </w:r>
    </w:p>
    <w:bookmarkEnd w:id="11"/>
    <w:bookmarkStart w:id="12" w:name="statistical-power"/>
    <w:p>
      <w:pPr>
        <w:pStyle w:val="Heading3"/>
      </w:pPr>
      <w:r>
        <w:t xml:space="preserve">Statistical Power</w:t>
      </w:r>
    </w:p>
    <w:p>
      <w:pPr>
        <w:pStyle w:val="FirstParagraph"/>
      </w:pPr>
      <w:r>
        <w:t xml:space="preserve">With N=76,110 and approximately 82.7% mortality, the study has &gt;99% power at α=0.05 to detect a hazard ratio of 1.1 or smaller for the surgery-versus-none comparison. For the surgical subgroup comparison (segmental vs larger resection, n≈3,185), the study has 80% power to detect a HR of 1.25 or greater. This is adequate for the primary comparison; subgroup analyses (e.g., within individual age-cancer type strata) have proportionally lower power and are interpreted with caution.</w:t>
      </w:r>
    </w:p>
    <w:bookmarkEnd w:id="12"/>
    <w:bookmarkStart w:id="13" w:name="variable-definitions"/>
    <w:p>
      <w:pPr>
        <w:pStyle w:val="Heading3"/>
      </w:pPr>
      <w:r>
        <w:t xml:space="preserve">Variable Definitions</w:t>
      </w:r>
    </w:p>
    <w:p>
      <w:pPr>
        <w:pStyle w:val="FirstParagraph"/>
      </w:pPr>
      <w:r>
        <w:t xml:space="preserve">The primary exposure was surgical treatment categorized into five groups: (1) None (no cancer-directed surgery); (2) Local Destruction (radiofrequency ablation, percutaneous ethanol injection, cryoablation; SEER codes 10–27); (3) Segmental Resection (wedge or segmental resection; codes 30–38); (4) Larger Resection (lobectomy, extended lobectomy; codes 50–59); and (5) Liver Transplantation (codes 60–66).</w:t>
      </w:r>
    </w:p>
    <w:p>
      <w:pPr>
        <w:pStyle w:val="BodyText"/>
      </w:pPr>
      <w:r>
        <w:t xml:space="preserve">Due to changes in AJCC staging across the study period (3rd, 6th, 7th editions, and EOD 2018), a unified staging algorithm was implemented that harmonized stage groups to I–IV by prioritizing the most granular staging system for each diagnosis year, consistent with prior SEER-based hepatobiliary cancer studies [5,6].</w:t>
      </w:r>
    </w:p>
    <w:p>
      <w:pPr>
        <w:pStyle w:val="BodyText"/>
      </w:pPr>
      <w:r>
        <w:t xml:space="preserve">Primary outcomes were overall survival (OS) and cancer-specific survival (CSS).</w:t>
      </w:r>
    </w:p>
    <w:bookmarkEnd w:id="13"/>
    <w:bookmarkStart w:id="14" w:name="statistical-analysis"/>
    <w:p>
      <w:pPr>
        <w:pStyle w:val="Heading3"/>
      </w:pPr>
      <w:r>
        <w:t xml:space="preserve">Statistical Analysis</w:t>
      </w:r>
    </w:p>
    <w:p>
      <w:pPr>
        <w:pStyle w:val="FirstParagraph"/>
      </w:pPr>
      <w:r>
        <w:t xml:space="preserve">Baseline characteristics were compared using Student’s t-test (continuous) and χ² test (categorical). Kaplan-Meier curves were generated with log-rank tests. Univariate and multivariate Cox proportional hazards regression were conducted for CSS. Stratified analyses were performed by age band (65–69, 70–74, 75–79, 80+), AJCC stage (I–IV), and cancer type (HCC, ICC). Formal interaction testing was conducted between surgery and cancer type, age, and stage.</w:t>
      </w:r>
    </w:p>
    <w:bookmarkEnd w:id="14"/>
    <w:bookmarkStart w:id="15" w:name="propensity-score-matching"/>
    <w:p>
      <w:pPr>
        <w:pStyle w:val="Heading3"/>
      </w:pPr>
      <w:r>
        <w:t xml:space="preserve">Propensity Score Matching</w:t>
      </w:r>
    </w:p>
    <w:p>
      <w:pPr>
        <w:pStyle w:val="FirstParagraph"/>
      </w:pPr>
      <w:r>
        <w:t xml:space="preserve">1:1 propensity score matching was performed using logistic regression with nearest-neighbor matching (caliper=0.05) [9]. Covariates included age, sex, marital status, stage, grade, cancer type, chemotherapy, radiation, and tumor size. Standardized mean differences (SMD) were calculated before and after matching; SMD &lt;0.1 was considered adequate balance [10].</w:t>
      </w:r>
    </w:p>
    <w:bookmarkEnd w:id="15"/>
    <w:bookmarkStart w:id="16" w:name="machine-learning-models"/>
    <w:p>
      <w:pPr>
        <w:pStyle w:val="Heading3"/>
      </w:pPr>
      <w:r>
        <w:t xml:space="preserve">Machine Learning Models</w:t>
      </w:r>
    </w:p>
    <w:p>
      <w:pPr>
        <w:pStyle w:val="FirstParagraph"/>
      </w:pPr>
      <w:r>
        <w:t xml:space="preserve">Four survival models were trained: L2-regularized Cox PH, Random Survival Forest (100 trees, min_samples_leaf=20) [11], XGBoost (survival:cox objective, max_depth=4, learning_rate=0.05) [11], and DeepSurv (3-layer MLP: 17→64→32→16→1 with ReLU activations, batch normalization, dropout=0.3, trained with the negative log partial likelihood of the Cox model; Adam optimizer, lr=1e-3, weight_decay=1e-5, batch_size=256, 200 epochs with early stopping patience=15). Models were trained using temporal split (2004–2017 train, 2018–2022 test). A 5-fold cross-validated 4-model ensemble combined Cox, RSF, XGBoost, and DeepSurv predictions via z-score standardization and equal-weight averaging of out-of-fold risk scores. Performance was assessed using Harrell’s C-index with Uno’s concordance correction [12]. Feature importance was evaluated using permutation importance and SHAP values [10]. Model calibration was assessed at 12, 36, and 60 months using time-dependent Brier scores and calibration-in-the-large [13] (eTable 7).</w:t>
      </w:r>
    </w:p>
    <w:bookmarkEnd w:id="16"/>
    <w:bookmarkStart w:id="17" w:name="external-validation"/>
    <w:p>
      <w:pPr>
        <w:pStyle w:val="Heading3"/>
      </w:pPr>
      <w:r>
        <w:t xml:space="preserve">External Validation</w:t>
      </w:r>
    </w:p>
    <w:p>
      <w:pPr>
        <w:pStyle w:val="FirstParagraph"/>
      </w:pPr>
      <w:r>
        <w:t xml:space="preserve">Two independent cohorts served for external validation: TCGA-LIHC (n=269, all-surgical HCC, US multi-center) [14] and ICGC-LIRI-JP (n=260, all-surgical HCC, Japanese) [15]. SEER-trained models were applied to external cohorts without retraining.</w:t>
      </w:r>
    </w:p>
    <w:bookmarkEnd w:id="17"/>
    <w:bookmarkStart w:id="18" w:name="sensitivity-analyses"/>
    <w:p>
      <w:pPr>
        <w:pStyle w:val="Heading3"/>
      </w:pPr>
      <w:r>
        <w:t xml:space="preserve">Sensitivity Analyses</w:t>
      </w:r>
    </w:p>
    <w:p>
      <w:pPr>
        <w:pStyle w:val="Compact"/>
        <w:numPr>
          <w:ilvl w:val="0"/>
          <w:numId w:val="1001"/>
        </w:numPr>
      </w:pPr>
      <w:r>
        <w:t xml:space="preserve">E-value analysis for unmeasured confounding [16]; (2) Cause-specific hazard regression and subdistribution hazard (Fine-Gray) models for competing risks [17]; (3) Leave-one-out analysis excluding key subgroups, including exclusion of non-HCC/ICC histologies; (4) Sequential model specification testing; (5) Restricted cubic splines for non-linear age effects; (6) Geriatric Risk Index (GRI) using age, stage, and grade; (7) Landmark conditional survival analysis at 12 and 24 months; (8) Schoenfeld residual tests for proportional hazards assumption with time-varying coefficient estimates.</w:t>
      </w:r>
    </w:p>
    <w:bookmarkEnd w:id="18"/>
    <w:bookmarkStart w:id="19" w:name="Xf5a8b01cc25f4eb0717f0fca322195bedc3d023"/>
    <w:p>
      <w:pPr>
        <w:pStyle w:val="Heading3"/>
      </w:pPr>
      <w:r>
        <w:t xml:space="preserve">Temporal, Geographic, and Clinical Tool Development</w:t>
      </w:r>
    </w:p>
    <w:p>
      <w:pPr>
        <w:pStyle w:val="FirstParagraph"/>
      </w:pPr>
      <w:r>
        <w:t xml:space="preserve">Annual trends (2004–2022) were analyzed. Geographic variation was assessed across socioeconomic quartiles. COVID-19 era (2020–2022) was compared to the pre-COVID period (2017–2019). A 7-variable Hepatobiliary Cancer Index (HBI) risk score was derived and validated, with a clinical nomogram and decision matrix constructed.</w:t>
      </w:r>
    </w:p>
    <w:p>
      <w:pPr>
        <w:pStyle w:val="BodyText"/>
      </w:pPr>
      <w:r>
        <w:t xml:space="preserve">This study follows the TRIPOD (Transparent Reporting of a multivariable prediction model for Individual Prognosis Or Diagnosis) statement for prediction model development with external validation (Type 3). All statistical tests were two-sided with α=0.05. Analyses used Python 3.13 (scikit-survival v0.22, lifelines v0.28, xgboost v2.1, PyTorch 2.5) and R 4.4.</w:t>
      </w:r>
    </w:p>
    <w:p>
      <w:r>
        <w:pict>
          <v:rect style="width:0;height:1.5pt" o:hralign="center" o:hrstd="t" o:hr="t"/>
        </w:pict>
      </w:r>
    </w:p>
    <w:bookmarkEnd w:id="19"/>
    <w:bookmarkEnd w:id="20"/>
    <w:bookmarkStart w:id="30" w:name="results"/>
    <w:p>
      <w:pPr>
        <w:pStyle w:val="Heading2"/>
      </w:pPr>
      <w:r>
        <w:t xml:space="preserve">RESULTS</w:t>
      </w:r>
    </w:p>
    <w:bookmarkStart w:id="21" w:name="study-population"/>
    <w:p>
      <w:pPr>
        <w:pStyle w:val="Heading3"/>
      </w:pPr>
      <w:r>
        <w:t xml:space="preserve">Study Population</w:t>
      </w:r>
    </w:p>
    <w:p>
      <w:pPr>
        <w:pStyle w:val="FirstParagraph"/>
      </w:pPr>
      <w:r>
        <w:rPr>
          <w:b/>
          <w:bCs/>
        </w:rPr>
        <w:t xml:space="preserve">eFigure 1</w:t>
      </w:r>
      <w:r>
        <w:t xml:space="preserve"> </w:t>
      </w:r>
      <w:r>
        <w:t xml:space="preserve">summarizes cohort selection. The analytic cohort comprised 76,110 elderly patients: 57,380 HCC (75.4%), 11,749 ICC (15.4%), and 6,981 other hepatobiliary malignancies (9.2%; including combined HCC-ICC, hepatoblastoma, and sarcoma NOS). Median age was 74 years (IQR 68–80); 65.4% were male. Median follow-up was 49 months (IQR 16–96) for OS and 74 months (IQR 24–120) for CSS, computed by the reverse Kaplan-Meier method.</w:t>
      </w:r>
    </w:p>
    <w:bookmarkEnd w:id="21"/>
    <w:bookmarkStart w:id="22" w:name="baseline-characteristics-and-survival"/>
    <w:p>
      <w:pPr>
        <w:pStyle w:val="Heading3"/>
      </w:pPr>
      <w:r>
        <w:t xml:space="preserve">Baseline Characteristics and Survival</w:t>
      </w:r>
    </w:p>
    <w:p>
      <w:pPr>
        <w:pStyle w:val="FirstParagraph"/>
      </w:pPr>
      <w:r>
        <w:rPr>
          <w:b/>
          <w:bCs/>
        </w:rPr>
        <w:t xml:space="preserve">Table 1</w:t>
      </w:r>
      <w:r>
        <w:t xml:space="preserve"> </w:t>
      </w:r>
      <w:r>
        <w:t xml:space="preserve">presents baseline characteristics (full version:</w:t>
      </w:r>
      <w:r>
        <w:t xml:space="preserve"> </w:t>
      </w:r>
      <w:r>
        <w:rPr>
          <w:b/>
          <w:bCs/>
        </w:rPr>
        <w:t xml:space="preserve">eTable 1</w:t>
      </w:r>
      <w:r>
        <w:t xml:space="preserve">). Of 76,110 patients, 59,821 (78.6%) received no surgery and 16,289 (21.4%) underwent surgical intervention. Non-surgery patients were older (74.6 vs 72.4 years, p&lt;0.001) and more likely Stage IV (26.0% vs 9.7%). Cirrhosis was paradoxically more prevalent in the surgery group (12.9% vs 8.4%, p&lt;0.001).</w:t>
      </w:r>
    </w:p>
    <w:p>
      <w:pPr>
        <w:pStyle w:val="BodyText"/>
      </w:pPr>
      <w:r>
        <w:rPr>
          <w:b/>
          <w:bCs/>
        </w:rPr>
        <w:t xml:space="preserve">Figure 1</w:t>
      </w:r>
      <w:r>
        <w:t xml:space="preserve"> </w:t>
      </w:r>
      <w:r>
        <w:t xml:space="preserve">displays Kaplan-Meier curves. Median OS by surgery type was: None 4m, Local Destruction 28m, Segmental Resection 30m, Larger Resection 24m, and Transplant 42m (log-rank p&lt;0.0001). In multivariate Cox regression (C-index 0.739;</w:t>
      </w:r>
      <w:r>
        <w:t xml:space="preserve"> </w:t>
      </w:r>
      <w:r>
        <w:rPr>
          <w:b/>
          <w:bCs/>
        </w:rPr>
        <w:t xml:space="preserve">Figure 2</w:t>
      </w:r>
      <w:r>
        <w:t xml:space="preserve">,</w:t>
      </w:r>
      <w:r>
        <w:t xml:space="preserve"> </w:t>
      </w:r>
      <w:r>
        <w:rPr>
          <w:b/>
          <w:bCs/>
        </w:rPr>
        <w:t xml:space="preserve">eTable 2</w:t>
      </w:r>
      <w:r>
        <w:t xml:space="preserve">), the strongest protective factors were transplant (HR 0.15 [0.14–0.17]), segmental (HR 0.23 [0.22–0.25]), and larger resection (HR 0.24 [0.22–0.27]). Chemotherapy (HR 0.57 [0.56–0.59]) and radiation (HR 0.52 [0.50–0.53]) were independently protective.</w:t>
      </w:r>
    </w:p>
    <w:bookmarkEnd w:id="22"/>
    <w:bookmarkStart w:id="23" w:name="primary-finding"/>
    <w:p>
      <w:pPr>
        <w:pStyle w:val="Heading3"/>
      </w:pPr>
      <w:r>
        <w:t xml:space="preserve">Primary Finding</w:t>
      </w:r>
    </w:p>
    <w:p>
      <w:pPr>
        <w:pStyle w:val="FirstParagraph"/>
      </w:pPr>
      <w:r>
        <w:rPr>
          <w:b/>
          <w:bCs/>
        </w:rPr>
        <w:t xml:space="preserve">Table 2</w:t>
      </w:r>
      <w:r>
        <w:t xml:space="preserve"> </w:t>
      </w:r>
      <w:r>
        <w:t xml:space="preserve">presents age-stratified surgery CSS HRs. Across ALL age bands ≥70 years, segmental resection was equivalent or numerically superior to larger resection. At age 70–74: segmental HR 0.27 vs larger HR 0.25. Age 75–79: 0.29 vs 0.33. Age 80+: 0.26 vs 0.31. Only at age 65–69 did larger resection show marginal advantage (0.33 vs 0.35).</w:t>
      </w:r>
    </w:p>
    <w:p>
      <w:pPr>
        <w:pStyle w:val="BodyText"/>
      </w:pPr>
      <w:r>
        <w:rPr>
          <w:b/>
          <w:bCs/>
        </w:rPr>
        <w:t xml:space="preserve">Figure 3</w:t>
      </w:r>
      <w:r>
        <w:t xml:space="preserve"> </w:t>
      </w:r>
      <w:r>
        <w:t xml:space="preserve">compares HCC and ICC. For HCC: segmental HR 0.26 [0.24–0.28] ≈ larger HR 0.26 [0.22–0.30]. For ICC: segmental HR 0.22 [0.19–0.24] vs larger HR 0.26 [0.22–0.31]. The surgery × cancer type interaction was not significant (p=0.206), indicating that the relative benefit of segmental over larger resection did not differ significantly between HCC and ICC. This non-significant interaction does not confirm equivalence; the study may be underpowered for this test within surgical subgroups.</w:t>
      </w:r>
    </w:p>
    <w:bookmarkEnd w:id="23"/>
    <w:bookmarkStart w:id="24" w:name="propensity-score-matching-1"/>
    <w:p>
      <w:pPr>
        <w:pStyle w:val="Heading3"/>
      </w:pPr>
      <w:r>
        <w:t xml:space="preserve">Propensity Score Matching</w:t>
      </w:r>
    </w:p>
    <w:p>
      <w:pPr>
        <w:pStyle w:val="FirstParagraph"/>
      </w:pPr>
      <w:r>
        <w:t xml:space="preserve">After 1:1 PSM, 6,434 matched pairs were obtained (SMD 0.190→0.030;</w:t>
      </w:r>
      <w:r>
        <w:t xml:space="preserve"> </w:t>
      </w:r>
      <w:r>
        <w:rPr>
          <w:b/>
          <w:bCs/>
        </w:rPr>
        <w:t xml:space="preserve">eFigure 5</w:t>
      </w:r>
      <w:r>
        <w:t xml:space="preserve">). PSM-adjusted surgery HR was 0.35 (0.33–0.37).</w:t>
      </w:r>
    </w:p>
    <w:bookmarkEnd w:id="24"/>
    <w:bookmarkStart w:id="25" w:name="machine-learning-and-external-validation"/>
    <w:p>
      <w:pPr>
        <w:pStyle w:val="Heading3"/>
      </w:pPr>
      <w:r>
        <w:t xml:space="preserve">Machine Learning and External Validation</w:t>
      </w:r>
    </w:p>
    <w:p>
      <w:pPr>
        <w:pStyle w:val="FirstParagraph"/>
      </w:pPr>
      <w:r>
        <w:t xml:space="preserve">All survival models demonstrated discrimination in the moderate range: Cox PH (C-index 0.739), RSF (0.736), XGBoost (0.746), and DeepSurv (0.751). The four models were combined into a 5-fold cross-validated ensemble, yielding C-index 0.756 ± 0.003 — a marginal improvement of 0.017 over Cox alone (</w:t>
      </w:r>
      <w:r>
        <w:rPr>
          <w:b/>
          <w:bCs/>
        </w:rPr>
        <w:t xml:space="preserve">eFigure 3</w:t>
      </w:r>
      <w:r>
        <w:t xml:space="preserve">). Model calibration was assessed via time-dependent Brier scores (12/36/60 months): RSF 0.157/0.092/0.059, Cox PH 0.165/0.100/0.066 (</w:t>
      </w:r>
      <w:r>
        <w:rPr>
          <w:b/>
          <w:bCs/>
        </w:rPr>
        <w:t xml:space="preserve">eFigure 4</w:t>
      </w:r>
      <w:r>
        <w:t xml:space="preserve">). SHAP feature importance analysis identified surgery_any as the dominant predictor, followed by stage_4, stage_3, age_c, and chemotherapy (</w:t>
      </w:r>
      <w:r>
        <w:rPr>
          <w:b/>
          <w:bCs/>
        </w:rPr>
        <w:t xml:space="preserve">eFigure 2</w:t>
      </w:r>
      <w:r>
        <w:t xml:space="preserve">).</w:t>
      </w:r>
    </w:p>
    <w:p>
      <w:pPr>
        <w:pStyle w:val="BodyText"/>
      </w:pPr>
      <w:r>
        <w:t xml:space="preserve">External validation (</w:t>
      </w:r>
      <w:r>
        <w:rPr>
          <w:b/>
          <w:bCs/>
        </w:rPr>
        <w:t xml:space="preserve">Figure 4</w:t>
      </w:r>
      <w:r>
        <w:t xml:space="preserve">): TCGA-LIHC C-indices were 0.595 (95% CI 0.536–0.654, Cox), 0.567 (95% CI 0.508–0.626, RSF), 0.592 (95% CI 0.533–0.651, XGBoost). ICGC C-indices: 0.522 (95% CI 0.461–0.583, Cox), 0.551 (95% CI 0.490–0.612, RSF), 0.547 (95% CI 0.486–0.608, XGBoost). The ΔC≈0.09–0.14 gap is largely attributable to predictor range restriction: in all-surgical cohorts, surgery_any has zero variance, eliminating the model’s strongest predictor. The additional 7-point TCGA–ICGC differential (0.595 vs 0.547) likely reflects population heterogeneity: ICGC is a Japanese cohort with distinct HCC etiology (predominantly hepatitis B) and staging calibration, while TCGA is US-based and demographically closer to SEER. These findings caution that SEER-trained models require population-specific recalibration before deployment in Asian populations.</w:t>
      </w:r>
    </w:p>
    <w:bookmarkEnd w:id="25"/>
    <w:bookmarkStart w:id="26" w:name="sensitivity-analyses-1"/>
    <w:p>
      <w:pPr>
        <w:pStyle w:val="Heading3"/>
      </w:pPr>
      <w:r>
        <w:t xml:space="preserve">Sensitivity Analyses</w:t>
      </w:r>
    </w:p>
    <w:p>
      <w:pPr>
        <w:pStyle w:val="FirstParagraph"/>
      </w:pPr>
      <w:r>
        <w:rPr>
          <w:b/>
          <w:bCs/>
        </w:rPr>
        <w:t xml:space="preserve">E-value</w:t>
      </w:r>
      <w:r>
        <w:t xml:space="preserve">: 5.2 for the PSM-adjusted surgery HR of 0.35 (conservative estimate), and 7.5 for the full multivariable model (HR 0.25), with CI-bound values ≥5.8 across all age strata (</w:t>
      </w:r>
      <w:r>
        <w:rPr>
          <w:b/>
          <w:bCs/>
        </w:rPr>
        <w:t xml:space="preserve">eTable 3</w:t>
      </w:r>
      <w:r>
        <w:t xml:space="preserve">). An unmeasured confounder would need to be associated with both surgery receipt and survival by a risk ratio ≥5.2 to nullify the PSM-adjusted effect — exceeding most clinically plausible confounders, including AJCC Stage IV.</w:t>
      </w:r>
    </w:p>
    <w:p>
      <w:pPr>
        <w:pStyle w:val="BodyText"/>
      </w:pPr>
      <w:r>
        <w:rPr>
          <w:b/>
          <w:bCs/>
        </w:rPr>
        <w:t xml:space="preserve">Leave-one-out</w:t>
      </w:r>
      <w:r>
        <w:t xml:space="preserve">: Surgery HR remained 0.27–0.30 excluding any major subgroup (</w:t>
      </w:r>
      <w:r>
        <w:rPr>
          <w:b/>
          <w:bCs/>
        </w:rPr>
        <w:t xml:space="preserve">eTable 5</w:t>
      </w:r>
      <w:r>
        <w:t xml:space="preserve">).</w:t>
      </w:r>
    </w:p>
    <w:p>
      <w:pPr>
        <w:pStyle w:val="BodyText"/>
      </w:pPr>
      <w:r>
        <w:rPr>
          <w:b/>
          <w:bCs/>
        </w:rPr>
        <w:t xml:space="preserve">Model specification</w:t>
      </w:r>
      <w:r>
        <w:t xml:space="preserve">: Surgery HR stable at 0.27→0.29→0.31→0.31→0.25 through sequential adjustment (</w:t>
      </w:r>
      <w:r>
        <w:rPr>
          <w:b/>
          <w:bCs/>
        </w:rPr>
        <w:t xml:space="preserve">eTable 4</w:t>
      </w:r>
      <w:r>
        <w:t xml:space="preserve">).</w:t>
      </w:r>
    </w:p>
    <w:p>
      <w:pPr>
        <w:pStyle w:val="BodyText"/>
      </w:pPr>
      <w:r>
        <w:rPr>
          <w:b/>
          <w:bCs/>
        </w:rPr>
        <w:t xml:space="preserve">Cause-Specific Hazard</w:t>
      </w:r>
      <w:r>
        <w:t xml:space="preserve">: Surgery was protective against cancer-specific death (CSH HR 0.32 [0.31–0.33]) and other-cause death (CSH HR 0.36 [0.34–0.37]), confirming that the benefit extends beyond cancer control. Subdistribution hazard (Fine-Gray) models yielded consistent estimates (data not shown).</w:t>
      </w:r>
    </w:p>
    <w:p>
      <w:pPr>
        <w:pStyle w:val="BodyText"/>
      </w:pPr>
      <w:r>
        <w:rPr>
          <w:b/>
          <w:bCs/>
        </w:rPr>
        <w:t xml:space="preserve">Within-surgery comparison</w:t>
      </w:r>
      <w:r>
        <w:t xml:space="preserve">: For the segmental versus larger resection comparison, the E-value is approximately 1.3, indicating that a weak unmeasured confounder (RR ~1.3) could nullify the observed similarity. This comparison is observational and subject to residual confounding by tumor anatomy and liver function.</w:t>
      </w:r>
    </w:p>
    <w:p>
      <w:pPr>
        <w:pStyle w:val="BodyText"/>
      </w:pPr>
      <w:r>
        <w:rPr>
          <w:b/>
          <w:bCs/>
        </w:rPr>
        <w:t xml:space="preserve">Subgroup analyses</w:t>
      </w:r>
      <w:r>
        <w:t xml:space="preserve">: The surgical benefit was consistently observed across all clinically relevant subgroups, with no significant interaction by age (P=0.42) or sex (P=0.68), while stage and chemotherapy showed significant effect modification (</w:t>
      </w:r>
      <w:r>
        <w:rPr>
          <w:b/>
          <w:bCs/>
        </w:rPr>
        <w:t xml:space="preserve">eFigure 6</w:t>
      </w:r>
      <w:r>
        <w:t xml:space="preserve">).</w:t>
      </w:r>
    </w:p>
    <w:p>
      <w:pPr>
        <w:pStyle w:val="BodyText"/>
      </w:pPr>
      <w:r>
        <w:rPr>
          <w:b/>
          <w:bCs/>
        </w:rPr>
        <w:t xml:space="preserve">Proportional Hazards</w:t>
      </w:r>
      <w:r>
        <w:t xml:space="preserve">: Schoenfeld residual tests detected violations for 9 of 12 covariates at α=0.05, expected given the large sample size (N=76,110). Clinically, surgery exhibits time-varying effects (early perioperative risk followed by long-term survival benefit). The landmark analysis at 12 and 24 months corroborates the time-averaged HRs. Full Schoenfeld results are provided in eTable 8.</w:t>
      </w:r>
    </w:p>
    <w:bookmarkEnd w:id="26"/>
    <w:bookmarkStart w:id="27" w:name="subgroup-survival-analyses"/>
    <w:p>
      <w:pPr>
        <w:pStyle w:val="Heading3"/>
      </w:pPr>
      <w:r>
        <w:t xml:space="preserve">Subgroup Survival Analyses</w:t>
      </w:r>
    </w:p>
    <w:p>
      <w:pPr>
        <w:pStyle w:val="FirstParagraph"/>
      </w:pPr>
      <w:r>
        <w:t xml:space="preserve">Exploratory subgroup analyses examined survival differences by AFP status, chemotherapy receipt, and race, stratified by surgical treatment (</w:t>
      </w:r>
      <w:r>
        <w:rPr>
          <w:b/>
          <w:bCs/>
        </w:rPr>
        <w:t xml:space="preserve">eFigure 7</w:t>
      </w:r>
      <w:r>
        <w:t xml:space="preserve">). Across all subgroups, surgery was consistently associated with improved survival (log-rank p&lt;0.001 for all comparisons).</w:t>
      </w:r>
    </w:p>
    <w:p>
      <w:pPr>
        <w:pStyle w:val="BodyText"/>
      </w:pPr>
      <w:r>
        <w:t xml:space="preserve">In the AFP-stratified analysis (</w:t>
      </w:r>
      <w:r>
        <w:rPr>
          <w:b/>
          <w:bCs/>
        </w:rPr>
        <w:t xml:space="preserve">eFigure 7 Panel A</w:t>
      </w:r>
      <w:r>
        <w:t xml:space="preserve">), median OS among AFP-positive patients was 6 months without surgery versus 46 months with surgery; among AFP-negative patients, 16 versus 63 months. The absolute survival gain from surgery was substantial in both groups (40 and 47 months, respectively).</w:t>
      </w:r>
    </w:p>
    <w:p>
      <w:pPr>
        <w:pStyle w:val="BodyText"/>
      </w:pPr>
      <w:r>
        <w:t xml:space="preserve">In the surgery-chemotherapy analysis (</w:t>
      </w:r>
      <w:r>
        <w:rPr>
          <w:b/>
          <w:bCs/>
        </w:rPr>
        <w:t xml:space="preserve">eFigure 7 Panel B</w:t>
      </w:r>
      <w:r>
        <w:t xml:space="preserve">), patients receiving neither surgery nor chemotherapy had the poorest outcomes (median OS 2 months). Surgery alone provided median OS of 45 months, compared to 36 months for surgery combined with chemotherapy. Among non-surgical patients, chemotherapy was associated with improved survival (median 12 vs 2 months).</w:t>
      </w:r>
    </w:p>
    <w:p>
      <w:pPr>
        <w:pStyle w:val="BodyText"/>
      </w:pPr>
      <w:r>
        <w:t xml:space="preserve">The race-stratified analysis (</w:t>
      </w:r>
      <w:r>
        <w:rPr>
          <w:b/>
          <w:bCs/>
        </w:rPr>
        <w:t xml:space="preserve">eFigure 7 Panel C</w:t>
      </w:r>
      <w:r>
        <w:t xml:space="preserve">) demonstrated consistent surgical benefit across all racial groups: NHW (4 vs 38 months), NHB (5 vs 44 months), NHAPI (6 vs 55 months), and Hispanic (6 vs 39 months). NHAPI patients who underwent surgery exhibited the longest median survival (55 months).</w:t>
      </w:r>
    </w:p>
    <w:bookmarkEnd w:id="27"/>
    <w:bookmarkStart w:id="28" w:name="temporal-geographic-and-frailty-analyses"/>
    <w:p>
      <w:pPr>
        <w:pStyle w:val="Heading3"/>
      </w:pPr>
      <w:r>
        <w:t xml:space="preserve">Temporal, Geographic, and Frailty Analyses</w:t>
      </w:r>
    </w:p>
    <w:p>
      <w:pPr>
        <w:pStyle w:val="FirstParagraph"/>
      </w:pPr>
      <w:r>
        <w:t xml:space="preserve">Median OS improved from 3m (2004) to 12m (2019), dipping during COVID-19 (2020–2022: 6m;</w:t>
      </w:r>
      <w:r>
        <w:t xml:space="preserve"> </w:t>
      </w:r>
      <w:r>
        <w:rPr>
          <w:b/>
          <w:bCs/>
        </w:rPr>
        <w:t xml:space="preserve">eFigure 8</w:t>
      </w:r>
      <w:r>
        <w:t xml:space="preserve">). Higher-income regions had higher surgery rates (24% vs 20%, p&lt;0.001) but all regions showed consistent parenchymal-sparing patterns (</w:t>
      </w:r>
      <w:r>
        <w:rPr>
          <w:b/>
          <w:bCs/>
        </w:rPr>
        <w:t xml:space="preserve">eTable 6</w:t>
      </w:r>
      <w:r>
        <w:t xml:space="preserve">).</w:t>
      </w:r>
    </w:p>
    <w:p>
      <w:pPr>
        <w:pStyle w:val="BodyText"/>
      </w:pPr>
      <w:r>
        <w:t xml:space="preserve">Surgery benefit persisted across all GRI strata: Fit HR 0.27, Pre-frail HR 0.32, Frail HR 0.33 (</w:t>
      </w:r>
      <w:r>
        <w:rPr>
          <w:b/>
          <w:bCs/>
        </w:rPr>
        <w:t xml:space="preserve">eFigure 9</w:t>
      </w:r>
      <w:r>
        <w:t xml:space="preserve">). Frail surgical patients gained 13 months median OS over non-surgery (15m vs 2m). RCS identified the inflection point at age 86 (</w:t>
      </w:r>
      <w:r>
        <w:rPr>
          <w:b/>
          <w:bCs/>
        </w:rPr>
        <w:t xml:space="preserve">eFigure 8</w:t>
      </w:r>
      <w:r>
        <w:t xml:space="preserve">).</w:t>
      </w:r>
    </w:p>
    <w:bookmarkEnd w:id="28"/>
    <w:bookmarkStart w:id="29" w:name="clinical-decision-support"/>
    <w:p>
      <w:pPr>
        <w:pStyle w:val="Heading3"/>
      </w:pPr>
      <w:r>
        <w:t xml:space="preserve">Clinical Decision Support</w:t>
      </w:r>
    </w:p>
    <w:p>
      <w:pPr>
        <w:pStyle w:val="FirstParagraph"/>
      </w:pPr>
      <w:r>
        <w:rPr>
          <w:b/>
          <w:bCs/>
        </w:rPr>
        <w:t xml:space="preserve">Table 3</w:t>
      </w:r>
      <w:r>
        <w:t xml:space="preserve"> </w:t>
      </w:r>
      <w:r>
        <w:t xml:space="preserve">presents the decision matrix (expanded version:</w:t>
      </w:r>
      <w:r>
        <w:t xml:space="preserve"> </w:t>
      </w:r>
      <w:r>
        <w:rPr>
          <w:b/>
          <w:bCs/>
        </w:rPr>
        <w:t xml:space="preserve">eTable 9</w:t>
      </w:r>
      <w:r>
        <w:t xml:space="preserve">). The HBI risk score stratified patients: low-risk (HBI&lt;−5) median OS 22m; intermediate (−5 to 0) 5m; high-risk (&gt;0) 2m (</w:t>
      </w:r>
      <w:r>
        <w:rPr>
          <w:b/>
          <w:bCs/>
        </w:rPr>
        <w:t xml:space="preserve">Figure 5</w:t>
      </w:r>
      <w:r>
        <w:t xml:space="preserve">). The clinical nomogram for individualized survival prediction is presented in</w:t>
      </w:r>
      <w:r>
        <w:t xml:space="preserve"> </w:t>
      </w:r>
      <w:r>
        <w:rPr>
          <w:b/>
          <w:bCs/>
        </w:rPr>
        <w:t xml:space="preserve">eFigure 10</w:t>
      </w:r>
      <w:r>
        <w:t xml:space="preserve">.</w:t>
      </w:r>
    </w:p>
    <w:p>
      <w:r>
        <w:pict>
          <v:rect style="width:0;height:1.5pt" o:hralign="center" o:hrstd="t" o:hr="t"/>
        </w:pict>
      </w:r>
    </w:p>
    <w:bookmarkEnd w:id="29"/>
    <w:bookmarkEnd w:id="30"/>
    <w:bookmarkStart w:id="32" w:name="discussion"/>
    <w:p>
      <w:pPr>
        <w:pStyle w:val="Heading2"/>
      </w:pPr>
      <w:r>
        <w:t xml:space="preserve">DISCUSSION</w:t>
      </w:r>
    </w:p>
    <w:p>
      <w:pPr>
        <w:pStyle w:val="FirstParagraph"/>
      </w:pPr>
      <w:r>
        <w:t xml:space="preserve">In this population-based analysis of 76,110 elderly patients with hepatobiliary cancer, surgical resection was associated with a large and robust survival benefit (PSM-adjusted HR 0.35; E-value 5.2). This finding confirms prior SEER-based reports [5,6] and extends them across all age bands up to 80+ years, both HCC and ICC, and all frailty strata. Zhang et al. reported nearly identical adjusted HRs for segmental (0.25) and larger resection (0.27) in 2,371 elderly HCC patients [5]; our analysis of 76,110 patients reproduces this pattern (0.23 vs 0.24) while extending it to ICC. The E-value of 5.2 substantially exceeds E-values reported in comparable surgical oncology observational studies — Li et al. reported an E-value of 2.0 for laparoscopic versus open hepatectomy [26] — indicating robustness to unmeasured confounding that exceeds most clinically plausible variables, including AJCC Stage IV [16].</w:t>
      </w:r>
    </w:p>
    <w:p>
      <w:pPr>
        <w:pStyle w:val="BodyText"/>
      </w:pPr>
      <w:r>
        <w:t xml:space="preserve">The more clinically relevant question — whether segmental/wedge resection provides comparable outcomes to major hepatectomy — remains unresolved by observational data. The adjusted HRs were nearly identical (segmental 0.23 vs larger 0.24), consistent across age ≥70, both cancer types, and PSM analyses. However, the E-value of approximately 1.3 for this comparison indicates that a weak confounder (risk ratio ~1.3) could fully account for the observed similarity. Such confounders are clinically plausible: tumor proximity to major vasculature, Child-Pugh grade, and performance status — all absent from SEER. A 2023 meta-analysis of 22 propensity-matched studies comparing anatomical versus non-anatomical resection for HCC found that anatomical resection improved 5-year OS (HR 0.84) and recurrence-free survival (HR 0.80), but this benefit disappeared in cirrhotic livers [27]. Our findings in an elderly population suggest that the survival advantage of more extensive resection is attenuated with age, consistent with a 2024 meta-analysis of 56 studies comparing resection outcomes in elderly versus non-elderly HCC patients, which found no significant OS difference on multivariable analysis (HR 1.26; 95% CI 0.92–1.74) and concluded that age alone should not contraindicate resection [28]. The surgery × cancer type interaction was non-significant (P = 0.206), but this should not be interpreted as evidence of equivalence across HCC and ICC. For ICC in particular, the numerically lower HR for segmental resection (0.22 vs 0.26 for larger) likely reflects confounding by tumor location rather than true superiority, as ICC surgical planning depends heavily on nodal status and biliary involvement — data not available in SEER [21]. These observational findings support parenchymal-sparing resection when anatomically feasible — a principle validated in colorectal liver metastasis surgery where parenchymal-sparing approaches demonstrate equivalent OS with a 3.4-fold reduction in 90-day mortality (RR 3.36) [29] — but do not establish equivalence between segmental and major hepatectomy, and should not be used to justify inadequate oncologic resection.</w:t>
      </w:r>
    </w:p>
    <w:p>
      <w:pPr>
        <w:pStyle w:val="BodyText"/>
      </w:pPr>
      <w:r>
        <w:t xml:space="preserve">The 4-model ensemble achieved an internal C-index of 0.756, only 0.017 higher than Cox regression alone, suggesting limited added value from complex ML methods in this setting. This marginal improvement is consistent with He et al., who reported a Cox-derived nomogram C-index of 0.739 in 1,985 elderly HCC patients [30], and Dong et al., whose XGBoost model achieved AUCs of 0.740–0.782 in 2,038 AFP-positive HCC patients without direct Cox comparison [31]. Direct benchmarking of four architectures against Cox in the same cohort informs the relative value of each approach. External validation results were sobering: C-indices of 0.595 (TCGA-LIHC) and 0.547 (ICGC-LIRI-JP, with confidence intervals crossing 0.5). Most SEER-derived ML models lack any external validation [30,31]; those that report</w:t>
      </w:r>
      <w:r>
        <w:t xml:space="preserve"> </w:t>
      </w:r>
      <w:r>
        <w:t xml:space="preserve">“external”</w:t>
      </w:r>
      <w:r>
        <w:t xml:space="preserve"> </w:t>
      </w:r>
      <w:r>
        <w:t xml:space="preserve">validation often use temporal splits within SEER (e.g., He et al. reported C-index 0.802 using 2016 vs 2010–2015 validation [30]), which overestimates generalizability. The gap between internal and external performance is partly attributable to predictor range restriction — surgery_any has zero variance in all-surgical cohorts — but the 7-point C-index difference between TCGA (US) and ICGC (Japan) indicates true population heterogeneity. SEER-trained models require population-specific recalibration before deployment in Asian cohorts, where HCC etiology (predominantly hepatitis B virus), staging practices, and baseline risk profiles differ substantially.</w:t>
      </w:r>
    </w:p>
    <w:p>
      <w:pPr>
        <w:pStyle w:val="BodyText"/>
      </w:pPr>
      <w:r>
        <w:t xml:space="preserve">Temporal trends showed improvement in median OS from 3 months (2004) to 12 months (2019), reflecting advances in systemic therapy — sorafenib (2007), lenvatinib, regorafenib, and immune checkpoint inhibitors [23,24] — before declining to 6 months during the COVID-19 era (2020–2022). This population-level decline is consistent with national data showing a 40%–50% reduction in new cancer diagnoses during the pandemic [25] and COVID-19 as an underlying or contributing cause in 9% and 17% of HCC deaths [32], respectively, and complements single-center reports that found no significant difference in perioperative outcomes but acknowledged diagnostic delays and deferred presentations [33].</w:t>
      </w:r>
    </w:p>
    <w:p>
      <w:pPr>
        <w:pStyle w:val="BodyText"/>
      </w:pPr>
      <w:r>
        <w:t xml:space="preserve">Our frailty analysis demonstrated that surgical benefit persists across all GRI strata: Fit HR 0.27, Pre-frail HR 0.32, Frail HR 0.33, with frail surgical patients gaining 13 months median OS (15m vs 2m). This finding aligns with a growing body of evidence that frailty assessment outperforms chronological age in predicting postoperative outcomes [34]; a multicenter study of 240 octogenarians undergoing hepatectomy for HCC found that frailty independently predicted OS (HR 2.38) and CSS (HR 2.20) [35]. However, our Geriatric Risk Index is a SEER-derived surrogate lacking functional assessment components (gait speed, grip strength, activities of daily living) that are central to validated frailty tools such as the Clinical Frailty Scale and the Hospital Frailty Risk Score [36,37]. The combined assessment of frailty and sarcopenia may further improve risk stratification, as demonstrated in hepatobiliary-pancreatic cancer surgery (OR 4.74 for complications in patients with both frailty and sarcopenia) [37].</w:t>
      </w:r>
    </w:p>
    <w:p>
      <w:pPr>
        <w:pStyle w:val="BodyText"/>
      </w:pPr>
      <w:r>
        <w:t xml:space="preserve">The race-stratified analysis revealed that NHAPI patients had the longest median survival with surgery (55 months), consistent with prior SEER studies demonstrating superior survival in Asian patients (adjusted HR 0.76 vs NHW) [38] and higher rates of surgical intervention [39]. Importantly, recent evidence underscores substantial heterogeneity within aggregated Asian/Pacific Islander categories: East Asian subgroups (Chinese, Japanese, Korean) have significantly better outcomes than Southeast Asian and Native Hawaiian/Pacific Islander populations [40]. As SEER does not permit disaggregation of NHAPI beyond a single category, our findings should be interpreted as a population-level observation that warrants further investigation with granular ethnic data.</w:t>
      </w:r>
    </w:p>
    <w:p>
      <w:pPr>
        <w:pStyle w:val="BodyText"/>
      </w:pPr>
      <w:r>
        <w:t xml:space="preserve">Our findings corroborate a recent meta-analysis of 56 studies comparing resection outcomes in elderly versus non-elderly HCC patients, which found no significant OS difference (HR 1.26, 95% CI 0.92–1.74) and concluded that age alone should not contraindicate resection [28]. Our study adds surgery-type-specific comparisons, causal sensitivity analysis, and external validation at substantially larger scale.</w:t>
      </w:r>
    </w:p>
    <w:bookmarkStart w:id="31" w:name="limitations"/>
    <w:p>
      <w:pPr>
        <w:pStyle w:val="Heading3"/>
      </w:pPr>
      <w:r>
        <w:t xml:space="preserve">Limitations</w:t>
      </w:r>
    </w:p>
    <w:p>
      <w:pPr>
        <w:pStyle w:val="FirstParagraph"/>
      </w:pPr>
      <w:r>
        <w:t xml:space="preserve">This study has several important limitations. First, liver function data (Child-Pugh class, MELD score) are absent from SEER. These variables are the dominant determinants of surgical candidacy in HCC, where 80%–90% of cases arise in cirrhotic livers [18,20]; their absence limits confounding control in the surgery-versus-none comparison and precludes definitive assessment of the segmental-versus-major comparison. Second, BCLC staging — the standard framework for HCC treatment allocation [19] — cannot be approximated from SEER variables. Third, the inability to distinguish laparoscopic from open approach and the absence of margin status [22] limit surgical granularity. Fourth, both external validation cohorts are all-surgical HCC samples, providing no information on model performance for ICC or for unresected patients. Fifth, diagnosis year was not included as a covariate, so temporal changes in management (chemotherapy, immunotherapy) may introduce period effects on the estimated surgery benefit. Sixth, performance status, comorbidity burden, and detailed tumor anatomy are unavailable across all three data sources, representing a universal constraint in population-based hepatobiliary research. These limitations are counterbalanced by the population-based sample size (among the largest such analyses to date), dual external validation, and multi-layered robustness assessment including E-value analysis with bounds exceeding most clinically plausible confounders.</w:t>
      </w:r>
    </w:p>
    <w:p>
      <w:r>
        <w:pict>
          <v:rect style="width:0;height:1.5pt" o:hralign="center" o:hrstd="t" o:hr="t"/>
        </w:pict>
      </w:r>
    </w:p>
    <w:bookmarkEnd w:id="31"/>
    <w:bookmarkEnd w:id="32"/>
    <w:bookmarkStart w:id="33" w:name="conclusions"/>
    <w:p>
      <w:pPr>
        <w:pStyle w:val="Heading2"/>
      </w:pPr>
      <w:r>
        <w:t xml:space="preserve">CONCLUSIONS</w:t>
      </w:r>
    </w:p>
    <w:p>
      <w:pPr>
        <w:pStyle w:val="FirstParagraph"/>
      </w:pPr>
      <w:r>
        <w:t xml:space="preserve">Surgical resection is associated with a large and robust survival benefit in elderly patients with hepatobiliary cancer. Segmental and major hepatectomy show similar adjusted survival in observational analyses, but this comparison is sensitive to unmeasured confounding (E-value ~1.3) and should not be interpreted as evidence of equivalence. These findings support parenchymal-sparing approaches when anatomically feasible. Prospective studies with granular clinical data — including liver function, performance status, and tumor anatomy — are needed to guide the choice of resection extent in this growing population.</w:t>
      </w:r>
    </w:p>
    <w:p>
      <w:r>
        <w:pict>
          <v:rect style="width:0;height:1.5pt" o:hralign="center" o:hrstd="t" o:hr="t"/>
        </w:pict>
      </w:r>
    </w:p>
    <w:bookmarkEnd w:id="33"/>
    <w:bookmarkStart w:id="35" w:name="references"/>
    <w:p>
      <w:pPr>
        <w:pStyle w:val="Heading2"/>
      </w:pPr>
      <w:r>
        <w:t xml:space="preserve">REFERENCES</w:t>
      </w:r>
    </w:p>
    <w:p>
      <w:pPr>
        <w:pStyle w:val="Compact"/>
        <w:numPr>
          <w:ilvl w:val="0"/>
          <w:numId w:val="1002"/>
        </w:numPr>
      </w:pPr>
      <w:r>
        <w:t xml:space="preserve">Torre LA, Bray F, Siegel RL, Ferlay J, Lortet-Tieulent J, Jemal A. Global cancer statistics, 2012.</w:t>
      </w:r>
      <w:r>
        <w:t xml:space="preserve"> </w:t>
      </w:r>
      <w:r>
        <w:rPr>
          <w:i/>
          <w:iCs/>
        </w:rPr>
        <w:t xml:space="preserve">CA Cancer J Clin</w:t>
      </w:r>
      <w:r>
        <w:t xml:space="preserve">. 2015;65(2):87–108. doi:10.3322/caac.21262</w:t>
      </w:r>
    </w:p>
    <w:p>
      <w:pPr>
        <w:pStyle w:val="Compact"/>
        <w:numPr>
          <w:ilvl w:val="0"/>
          <w:numId w:val="1002"/>
        </w:numPr>
      </w:pPr>
      <w:r>
        <w:t xml:space="preserve">Oweira H, Petrausch U, Helbling D, et al. Early stage hepatocellular carcinoma in the elderly: a SEER database analysis.</w:t>
      </w:r>
      <w:r>
        <w:t xml:space="preserve"> </w:t>
      </w:r>
      <w:r>
        <w:rPr>
          <w:i/>
          <w:iCs/>
        </w:rPr>
        <w:t xml:space="preserve">J Geriatr Oncol</w:t>
      </w:r>
      <w:r>
        <w:t xml:space="preserve">. 2017;8(4):277–283. doi:10.1016/j.jgo.2017.03.002</w:t>
      </w:r>
    </w:p>
    <w:p>
      <w:pPr>
        <w:pStyle w:val="Compact"/>
        <w:numPr>
          <w:ilvl w:val="0"/>
          <w:numId w:val="1002"/>
        </w:numPr>
      </w:pPr>
      <w:r>
        <w:t xml:space="preserve">Ciccarese F, Caturelli E, Felder M, et al. Survival benefit of liver resection for patients with hepatocellular carcinoma across different BCLC stages: a multicentre study.</w:t>
      </w:r>
      <w:r>
        <w:t xml:space="preserve"> </w:t>
      </w:r>
      <w:r>
        <w:rPr>
          <w:i/>
          <w:iCs/>
        </w:rPr>
        <w:t xml:space="preserve">J Hepatol</w:t>
      </w:r>
      <w:r>
        <w:t xml:space="preserve">. 2014;62(3):617–624. doi:10.1016/j.jhep.2014.10.037</w:t>
      </w:r>
    </w:p>
    <w:p>
      <w:pPr>
        <w:pStyle w:val="Compact"/>
        <w:numPr>
          <w:ilvl w:val="0"/>
          <w:numId w:val="1002"/>
        </w:numPr>
      </w:pPr>
      <w:r>
        <w:t xml:space="preserve">Hirokawa F, Hayashi M, Miyamoto Y, et al. Surgical outcomes and clinical characteristics of elderly patients undergoing curative hepatectomy for hepatocellular carcinoma.</w:t>
      </w:r>
      <w:r>
        <w:t xml:space="preserve"> </w:t>
      </w:r>
      <w:r>
        <w:rPr>
          <w:i/>
          <w:iCs/>
        </w:rPr>
        <w:t xml:space="preserve">J Gastrointest Surg</w:t>
      </w:r>
      <w:r>
        <w:t xml:space="preserve">. 2013;17(11):1929–1937. doi:10.1007/s11605-013-2324-0</w:t>
      </w:r>
    </w:p>
    <w:p>
      <w:pPr>
        <w:pStyle w:val="Compact"/>
        <w:numPr>
          <w:ilvl w:val="0"/>
          <w:numId w:val="1002"/>
        </w:numPr>
      </w:pPr>
      <w:r>
        <w:t xml:space="preserve">Zhang QQ, Wu PYS, ALBahde M, et al. Do elderly patients with stage I–II hepatocellular carcinoma benefit from more radical surgeries? A population-based analysis.</w:t>
      </w:r>
      <w:r>
        <w:t xml:space="preserve"> </w:t>
      </w:r>
      <w:r>
        <w:rPr>
          <w:i/>
          <w:iCs/>
        </w:rPr>
        <w:t xml:space="preserve">Front Oncol</w:t>
      </w:r>
      <w:r>
        <w:t xml:space="preserve">. 2020;10:479. doi:10.3389/fonc.2020.00479</w:t>
      </w:r>
    </w:p>
    <w:p>
      <w:pPr>
        <w:pStyle w:val="Compact"/>
        <w:numPr>
          <w:ilvl w:val="0"/>
          <w:numId w:val="1002"/>
        </w:numPr>
      </w:pPr>
      <w:r>
        <w:t xml:space="preserve">Xia L, et al. Effect of surgery on overall survival and cancer-specific survival in patients with primary HCC: a study based on PSM in the SEER cohort.</w:t>
      </w:r>
      <w:r>
        <w:t xml:space="preserve"> </w:t>
      </w:r>
      <w:r>
        <w:rPr>
          <w:i/>
          <w:iCs/>
        </w:rPr>
        <w:t xml:space="preserve">Medicine</w:t>
      </w:r>
      <w:r>
        <w:t xml:space="preserve">. 2025;104(8):e41521. doi:10.1097/MD.0000000000041521</w:t>
      </w:r>
    </w:p>
    <w:p>
      <w:pPr>
        <w:pStyle w:val="Compact"/>
        <w:numPr>
          <w:ilvl w:val="0"/>
          <w:numId w:val="1002"/>
        </w:numPr>
      </w:pPr>
      <w:r>
        <w:t xml:space="preserve">Xu Q, Lu X. Development and validation of an XGBoost model to predict 5-year survival in elderly patients with intrahepatic cholangiocarcinoma after surgery: a SEER-based study.</w:t>
      </w:r>
      <w:r>
        <w:t xml:space="preserve"> </w:t>
      </w:r>
      <w:r>
        <w:rPr>
          <w:i/>
          <w:iCs/>
        </w:rPr>
        <w:t xml:space="preserve">J Gastrointest Oncol</w:t>
      </w:r>
      <w:r>
        <w:t xml:space="preserve">. 2022;13(6):3290–3299. doi:10.21037/jgo-22-1238</w:t>
      </w:r>
    </w:p>
    <w:p>
      <w:pPr>
        <w:pStyle w:val="Compact"/>
        <w:numPr>
          <w:ilvl w:val="0"/>
          <w:numId w:val="1002"/>
        </w:numPr>
      </w:pPr>
      <w:r>
        <w:t xml:space="preserve">Surveillance, Epidemiology, and End Results (SEER) Program. SEER*Stat Database: Incidence – SEER Research Plus Data, 18 Registries, Nov 2024 Sub (2000–2022). National Cancer Institute.</w:t>
      </w:r>
    </w:p>
    <w:p>
      <w:pPr>
        <w:pStyle w:val="Compact"/>
        <w:numPr>
          <w:ilvl w:val="0"/>
          <w:numId w:val="1002"/>
        </w:numPr>
      </w:pPr>
      <w:r>
        <w:t xml:space="preserve">Austin PC. Balance diagnostics for comparing the distribution of baseline covariates between treatment groups in propensity-score matched samples.</w:t>
      </w:r>
      <w:r>
        <w:t xml:space="preserve"> </w:t>
      </w:r>
      <w:r>
        <w:rPr>
          <w:i/>
          <w:iCs/>
        </w:rPr>
        <w:t xml:space="preserve">Stat Med</w:t>
      </w:r>
      <w:r>
        <w:t xml:space="preserve">. 2009;28(25):3083–3107. doi:10.1002/sim.3697</w:t>
      </w:r>
    </w:p>
    <w:p>
      <w:pPr>
        <w:pStyle w:val="Compact"/>
        <w:numPr>
          <w:ilvl w:val="0"/>
          <w:numId w:val="1002"/>
        </w:numPr>
      </w:pPr>
      <w:r>
        <w:t xml:space="preserve">Ishwaran H, Kogalur UB, Blackstone EH, Lauer MS. Random survival forests.</w:t>
      </w:r>
      <w:r>
        <w:t xml:space="preserve"> </w:t>
      </w:r>
      <w:r>
        <w:rPr>
          <w:i/>
          <w:iCs/>
        </w:rPr>
        <w:t xml:space="preserve">Ann Appl Stat</w:t>
      </w:r>
      <w:r>
        <w:t xml:space="preserve">. 2008;2(3):841–860. doi:10.1214/08-AOAS169</w:t>
      </w:r>
    </w:p>
    <w:p>
      <w:pPr>
        <w:pStyle w:val="Compact"/>
        <w:numPr>
          <w:ilvl w:val="0"/>
          <w:numId w:val="1002"/>
        </w:numPr>
      </w:pPr>
      <w:r>
        <w:t xml:space="preserve">Chen T, Guestrin C. XGBoost: a scalable tree boosting system.</w:t>
      </w:r>
      <w:r>
        <w:t xml:space="preserve"> </w:t>
      </w:r>
      <w:r>
        <w:rPr>
          <w:i/>
          <w:iCs/>
        </w:rPr>
        <w:t xml:space="preserve">KDD</w:t>
      </w:r>
      <w:r>
        <w:t xml:space="preserve">. 2016. doi:10.1145/2939672.2939785</w:t>
      </w:r>
    </w:p>
    <w:p>
      <w:pPr>
        <w:pStyle w:val="Compact"/>
        <w:numPr>
          <w:ilvl w:val="0"/>
          <w:numId w:val="1002"/>
        </w:numPr>
      </w:pPr>
      <w:r>
        <w:t xml:space="preserve">Uno H, Cai T, Pencina MJ, D’Agostino RB, Wei LJ. On the C-statistics for evaluating overall adequacy of risk prediction procedures with censored survival data.</w:t>
      </w:r>
      <w:r>
        <w:t xml:space="preserve"> </w:t>
      </w:r>
      <w:r>
        <w:rPr>
          <w:i/>
          <w:iCs/>
        </w:rPr>
        <w:t xml:space="preserve">Stat Med</w:t>
      </w:r>
      <w:r>
        <w:t xml:space="preserve">. 2011;30(10):1105–1117. doi:10.1002/sim.4154</w:t>
      </w:r>
    </w:p>
    <w:p>
      <w:pPr>
        <w:pStyle w:val="Compact"/>
        <w:numPr>
          <w:ilvl w:val="0"/>
          <w:numId w:val="1002"/>
        </w:numPr>
      </w:pPr>
      <w:r>
        <w:t xml:space="preserve">Steyerberg EW, Vickers AJ, Cook NR, et al. Assessing the performance of prediction models: a framework for traditional and novel measures.</w:t>
      </w:r>
      <w:r>
        <w:t xml:space="preserve"> </w:t>
      </w:r>
      <w:r>
        <w:rPr>
          <w:i/>
          <w:iCs/>
        </w:rPr>
        <w:t xml:space="preserve">Epidemiology</w:t>
      </w:r>
      <w:r>
        <w:t xml:space="preserve">. 2010;21(1):128–138. doi:10.1097/EDE.0b013e3181c30fb2</w:t>
      </w:r>
    </w:p>
    <w:p>
      <w:pPr>
        <w:pStyle w:val="Compact"/>
        <w:numPr>
          <w:ilvl w:val="0"/>
          <w:numId w:val="1002"/>
        </w:numPr>
      </w:pPr>
      <w:r>
        <w:t xml:space="preserve">Cancer Genome Atlas Research Network. Comprehensive and integrative genomic characterization of hepatocellular carcinoma.</w:t>
      </w:r>
      <w:r>
        <w:t xml:space="preserve"> </w:t>
      </w:r>
      <w:r>
        <w:rPr>
          <w:i/>
          <w:iCs/>
        </w:rPr>
        <w:t xml:space="preserve">Cell</w:t>
      </w:r>
      <w:r>
        <w:t xml:space="preserve">. 2017;169(7):1327–1341. doi:10.1016/j.cell.2017.05.046</w:t>
      </w:r>
    </w:p>
    <w:p>
      <w:pPr>
        <w:pStyle w:val="Compact"/>
        <w:numPr>
          <w:ilvl w:val="0"/>
          <w:numId w:val="1002"/>
        </w:numPr>
      </w:pPr>
      <w:r>
        <w:t xml:space="preserve">Totoki Y, Tatsuno K, Covington KR, et al. Trans-ancestry mutational landscape of hepatocellular carcinoma genomes.</w:t>
      </w:r>
      <w:r>
        <w:t xml:space="preserve"> </w:t>
      </w:r>
      <w:r>
        <w:rPr>
          <w:i/>
          <w:iCs/>
        </w:rPr>
        <w:t xml:space="preserve">Nat Genet</w:t>
      </w:r>
      <w:r>
        <w:t xml:space="preserve">. 2014;46:1267–1273. doi:10.1038/ng.3126</w:t>
      </w:r>
    </w:p>
    <w:p>
      <w:pPr>
        <w:pStyle w:val="Compact"/>
        <w:numPr>
          <w:ilvl w:val="0"/>
          <w:numId w:val="1002"/>
        </w:numPr>
      </w:pPr>
      <w:r>
        <w:t xml:space="preserve">VanderWeele TJ, Ding P. Sensitivity analysis in observational research: introducing the E-value.</w:t>
      </w:r>
      <w:r>
        <w:t xml:space="preserve"> </w:t>
      </w:r>
      <w:r>
        <w:rPr>
          <w:i/>
          <w:iCs/>
        </w:rPr>
        <w:t xml:space="preserve">Ann Intern Med</w:t>
      </w:r>
      <w:r>
        <w:t xml:space="preserve">. 2017;167(4):268–274. doi:10.7326/M16-2607</w:t>
      </w:r>
    </w:p>
    <w:p>
      <w:pPr>
        <w:pStyle w:val="Compact"/>
        <w:numPr>
          <w:ilvl w:val="0"/>
          <w:numId w:val="1002"/>
        </w:numPr>
      </w:pPr>
      <w:r>
        <w:t xml:space="preserve">Fine JP, Gray RJ. A proportional hazards model for the subdistribution of a competing risk.</w:t>
      </w:r>
      <w:r>
        <w:t xml:space="preserve"> </w:t>
      </w:r>
      <w:r>
        <w:rPr>
          <w:i/>
          <w:iCs/>
        </w:rPr>
        <w:t xml:space="preserve">J Am Stat Assoc</w:t>
      </w:r>
      <w:r>
        <w:t xml:space="preserve">. 1999;94(446):496–509. doi:10.1080/01621459.1999.10474144</w:t>
      </w:r>
    </w:p>
    <w:p>
      <w:pPr>
        <w:pStyle w:val="Compact"/>
        <w:numPr>
          <w:ilvl w:val="0"/>
          <w:numId w:val="1002"/>
        </w:numPr>
      </w:pPr>
      <w:r>
        <w:t xml:space="preserve">European Association for the Study of the Liver. EASL Clinical Practice Guidelines: management of hepatocellular carcinoma.</w:t>
      </w:r>
      <w:r>
        <w:t xml:space="preserve"> </w:t>
      </w:r>
      <w:r>
        <w:rPr>
          <w:i/>
          <w:iCs/>
        </w:rPr>
        <w:t xml:space="preserve">J Hepatol</w:t>
      </w:r>
      <w:r>
        <w:t xml:space="preserve">. 2018;69(1):182–236. doi:10.1016/j.jhep.2018.03.019</w:t>
      </w:r>
    </w:p>
    <w:p>
      <w:pPr>
        <w:pStyle w:val="Compact"/>
        <w:numPr>
          <w:ilvl w:val="0"/>
          <w:numId w:val="1002"/>
        </w:numPr>
      </w:pPr>
      <w:r>
        <w:t xml:space="preserve">Heimbach JK, Kulik LM, Finn RS, et al. AASLD guidelines for the treatment of hepatocellular carcinoma.</w:t>
      </w:r>
      <w:r>
        <w:t xml:space="preserve"> </w:t>
      </w:r>
      <w:r>
        <w:rPr>
          <w:i/>
          <w:iCs/>
        </w:rPr>
        <w:t xml:space="preserve">Hepatology</w:t>
      </w:r>
      <w:r>
        <w:t xml:space="preserve">. 2018;67(1):358–380. doi:10.1002/hep.29086</w:t>
      </w:r>
    </w:p>
    <w:p>
      <w:pPr>
        <w:pStyle w:val="Compact"/>
        <w:numPr>
          <w:ilvl w:val="0"/>
          <w:numId w:val="1002"/>
        </w:numPr>
      </w:pPr>
      <w:r>
        <w:t xml:space="preserve">Marrero JA, Kulik LM, Sirlin CB, et al. Diagnosis, staging, and management of hepatocellular carcinoma: 2018 practice guidance by the American Association for the Study of Liver Diseases.</w:t>
      </w:r>
      <w:r>
        <w:t xml:space="preserve"> </w:t>
      </w:r>
      <w:r>
        <w:rPr>
          <w:i/>
          <w:iCs/>
        </w:rPr>
        <w:t xml:space="preserve">Hepatology</w:t>
      </w:r>
      <w:r>
        <w:t xml:space="preserve">. 2018;68(2):723–750. doi:10.1002/hep.29913</w:t>
      </w:r>
    </w:p>
    <w:p>
      <w:pPr>
        <w:pStyle w:val="Compact"/>
        <w:numPr>
          <w:ilvl w:val="0"/>
          <w:numId w:val="1002"/>
        </w:numPr>
      </w:pPr>
      <w:r>
        <w:t xml:space="preserve">Mavros MN, Mayo SC, Hyder O, et al. A systematic review of the outcomes of hepatic resection for intrahepatic cholangiocarcinoma.</w:t>
      </w:r>
      <w:r>
        <w:t xml:space="preserve"> </w:t>
      </w:r>
      <w:r>
        <w:rPr>
          <w:i/>
          <w:iCs/>
        </w:rPr>
        <w:t xml:space="preserve">Ann Surg Oncol</w:t>
      </w:r>
      <w:r>
        <w:t xml:space="preserve">. 2014;21(8):2672–2680. doi:10.1245/s10434-014-3608-8</w:t>
      </w:r>
    </w:p>
    <w:p>
      <w:pPr>
        <w:pStyle w:val="Compact"/>
        <w:numPr>
          <w:ilvl w:val="0"/>
          <w:numId w:val="1002"/>
        </w:numPr>
      </w:pPr>
      <w:r>
        <w:t xml:space="preserve">Cauchy F, Fuks D, Nomi T, et al. Incidence, risk factors and consequences of positive resection margin after hepatectomy for colorectal liver metastases.</w:t>
      </w:r>
      <w:r>
        <w:t xml:space="preserve"> </w:t>
      </w:r>
      <w:r>
        <w:rPr>
          <w:i/>
          <w:iCs/>
        </w:rPr>
        <w:t xml:space="preserve">Eur J Surg Oncol</w:t>
      </w:r>
      <w:r>
        <w:t xml:space="preserve">. 2016;42(3):357–364. doi:10.1016/j.ejso.2015.12.008</w:t>
      </w:r>
    </w:p>
    <w:p>
      <w:pPr>
        <w:pStyle w:val="Compact"/>
        <w:numPr>
          <w:ilvl w:val="0"/>
          <w:numId w:val="1002"/>
        </w:numPr>
      </w:pPr>
      <w:r>
        <w:t xml:space="preserve">Llovet JM, Kelley RK, Villanueva A, et al. Hepatocellular carcinoma.</w:t>
      </w:r>
      <w:r>
        <w:t xml:space="preserve"> </w:t>
      </w:r>
      <w:r>
        <w:rPr>
          <w:i/>
          <w:iCs/>
        </w:rPr>
        <w:t xml:space="preserve">Nat Rev Dis Primers</w:t>
      </w:r>
      <w:r>
        <w:t xml:space="preserve">. 2021;7(1):6. doi:10.1038/s41572-020-00240-3</w:t>
      </w:r>
    </w:p>
    <w:p>
      <w:pPr>
        <w:pStyle w:val="Compact"/>
        <w:numPr>
          <w:ilvl w:val="0"/>
          <w:numId w:val="1002"/>
        </w:numPr>
      </w:pPr>
      <w:r>
        <w:t xml:space="preserve">Finn RS, Qin S, Ikeda M, et al. Atezolizumab plus bevacizumab in unresectable hepatocellular carcinoma.</w:t>
      </w:r>
      <w:r>
        <w:t xml:space="preserve"> </w:t>
      </w:r>
      <w:r>
        <w:rPr>
          <w:i/>
          <w:iCs/>
        </w:rPr>
        <w:t xml:space="preserve">N Engl J Med</w:t>
      </w:r>
      <w:r>
        <w:t xml:space="preserve">. 2020;382(20):1894–1905. doi:10.1056/NEJMoa1915745</w:t>
      </w:r>
    </w:p>
    <w:p>
      <w:pPr>
        <w:pStyle w:val="Compact"/>
        <w:numPr>
          <w:ilvl w:val="0"/>
          <w:numId w:val="1002"/>
        </w:numPr>
      </w:pPr>
      <w:r>
        <w:t xml:space="preserve">Kaufman HW, Chen Z, Niles J, Fesko Y. Changes in the number of US patients with newly identified cancer before and during the coronavirus disease 2019 (COVID-19) pandemic.</w:t>
      </w:r>
      <w:r>
        <w:t xml:space="preserve"> </w:t>
      </w:r>
      <w:r>
        <w:rPr>
          <w:i/>
          <w:iCs/>
        </w:rPr>
        <w:t xml:space="preserve">JAMA Netw Open</w:t>
      </w:r>
      <w:r>
        <w:t xml:space="preserve">. 2020;3(8):e2017267. doi:10.1001/jamanetworkopen.2020.17267</w:t>
      </w:r>
    </w:p>
    <w:p>
      <w:pPr>
        <w:pStyle w:val="Compact"/>
        <w:numPr>
          <w:ilvl w:val="0"/>
          <w:numId w:val="1002"/>
        </w:numPr>
      </w:pPr>
      <w:r>
        <w:t xml:space="preserve">Li Y, Guo Y, Zhou J, et al. Laparoscopic versus open surgery for liver resection: a multicenter cohort study with E-value analysis.</w:t>
      </w:r>
      <w:r>
        <w:t xml:space="preserve"> </w:t>
      </w:r>
      <w:r>
        <w:rPr>
          <w:i/>
          <w:iCs/>
        </w:rPr>
        <w:t xml:space="preserve">Sci Rep</w:t>
      </w:r>
      <w:r>
        <w:t xml:space="preserve">. 2024;14:26410. doi:10.1038/s41598-024-76260-w</w:t>
      </w:r>
    </w:p>
    <w:p>
      <w:pPr>
        <w:pStyle w:val="Compact"/>
        <w:numPr>
          <w:ilvl w:val="0"/>
          <w:numId w:val="1002"/>
        </w:numPr>
      </w:pPr>
      <w:r>
        <w:t xml:space="preserve">Shin SW, Kim TS, Ahn KS, Kim YH, Kang KJ. Effect of anatomical liver resection for hepatocellular carcinoma: a systematic review and meta-analysis.</w:t>
      </w:r>
      <w:r>
        <w:t xml:space="preserve"> </w:t>
      </w:r>
      <w:r>
        <w:rPr>
          <w:i/>
          <w:iCs/>
        </w:rPr>
        <w:t xml:space="preserve">Int J Surg</w:t>
      </w:r>
      <w:r>
        <w:t xml:space="preserve">. 2023;109(9):2784–2793. doi:10.1097/JS9.0000000000000503</w:t>
      </w:r>
    </w:p>
    <w:p>
      <w:pPr>
        <w:pStyle w:val="Compact"/>
        <w:numPr>
          <w:ilvl w:val="0"/>
          <w:numId w:val="1002"/>
        </w:numPr>
      </w:pPr>
      <w:r>
        <w:t xml:space="preserve">Lee JS, Park DA, Ryoo S, et al. Efficacy and safety of surgical resection in elderly patients with hepatocellular carcinoma: a systematic review and meta-analysis.</w:t>
      </w:r>
      <w:r>
        <w:t xml:space="preserve"> </w:t>
      </w:r>
      <w:r>
        <w:rPr>
          <w:i/>
          <w:iCs/>
        </w:rPr>
        <w:t xml:space="preserve">Gut Liver</w:t>
      </w:r>
      <w:r>
        <w:t xml:space="preserve">. 2024;18(4):695–708. doi:10.5009/gnl230485</w:t>
      </w:r>
    </w:p>
    <w:p>
      <w:pPr>
        <w:pStyle w:val="Compact"/>
        <w:numPr>
          <w:ilvl w:val="0"/>
          <w:numId w:val="1002"/>
        </w:numPr>
      </w:pPr>
      <w:r>
        <w:t xml:space="preserve">Deng G, Li H, Jia GQ, et al. Parenchymal-sparing versus extended hepatectomy for colorectal liver metastases: a systematic review and meta-analysis.</w:t>
      </w:r>
      <w:r>
        <w:t xml:space="preserve"> </w:t>
      </w:r>
      <w:r>
        <w:rPr>
          <w:i/>
          <w:iCs/>
        </w:rPr>
        <w:t xml:space="preserve">Cancer Med</w:t>
      </w:r>
      <w:r>
        <w:t xml:space="preserve">. 2019;8:6165–6175. doi:10.1002/cam4.2515</w:t>
      </w:r>
    </w:p>
    <w:p>
      <w:pPr>
        <w:pStyle w:val="Compact"/>
        <w:numPr>
          <w:ilvl w:val="0"/>
          <w:numId w:val="1002"/>
        </w:numPr>
      </w:pPr>
      <w:r>
        <w:t xml:space="preserve">He T, Chen T, Liu X, et al. A web-based prediction model for cancer-specific survival of elderly patients with early hepatocellular carcinoma: a study based on SEER database.</w:t>
      </w:r>
      <w:r>
        <w:t xml:space="preserve"> </w:t>
      </w:r>
      <w:r>
        <w:rPr>
          <w:i/>
          <w:iCs/>
        </w:rPr>
        <w:t xml:space="preserve">Front Public Health</w:t>
      </w:r>
      <w:r>
        <w:t xml:space="preserve">. 2022;9:789026. doi:10.3389/fpubh.2021.789026</w:t>
      </w:r>
    </w:p>
    <w:p>
      <w:pPr>
        <w:pStyle w:val="Compact"/>
        <w:numPr>
          <w:ilvl w:val="0"/>
          <w:numId w:val="1002"/>
        </w:numPr>
      </w:pPr>
      <w:r>
        <w:t xml:space="preserve">Dong B, Zhang H, Duan Y, et al. Development of a machine learning-based model to predict prognosis of alpha-fetoprotein-positive hepatocellular carcinoma.</w:t>
      </w:r>
      <w:r>
        <w:t xml:space="preserve"> </w:t>
      </w:r>
      <w:r>
        <w:rPr>
          <w:i/>
          <w:iCs/>
        </w:rPr>
        <w:t xml:space="preserve">J Transl Med</w:t>
      </w:r>
      <w:r>
        <w:t xml:space="preserve">. 2024;22:455. doi:10.1186/s12967-024-05203-w</w:t>
      </w:r>
    </w:p>
    <w:p>
      <w:pPr>
        <w:pStyle w:val="Compact"/>
        <w:numPr>
          <w:ilvl w:val="0"/>
          <w:numId w:val="1002"/>
        </w:numPr>
      </w:pPr>
      <w:r>
        <w:t xml:space="preserve">Kim D, Manikat R, Wijarnpreecha K, et al. Burden of mortality from hepatocellular carcinoma and biliary tract cancers by race and ethnicity and sex in US, 2018-2023.</w:t>
      </w:r>
      <w:r>
        <w:t xml:space="preserve"> </w:t>
      </w:r>
      <w:r>
        <w:rPr>
          <w:i/>
          <w:iCs/>
        </w:rPr>
        <w:t xml:space="preserve">Clin Mol Hepatol</w:t>
      </w:r>
      <w:r>
        <w:t xml:space="preserve">. 2024;30(4):756–770. doi:10.3350/cmh.2024.0318</w:t>
      </w:r>
    </w:p>
    <w:p>
      <w:pPr>
        <w:pStyle w:val="Compact"/>
        <w:numPr>
          <w:ilvl w:val="0"/>
          <w:numId w:val="1002"/>
        </w:numPr>
      </w:pPr>
      <w:r>
        <w:t xml:space="preserve">Ramouz A, Fakour S, Jafari M, et al. Surgical management of primary liver cancers during the COVID-19 pandemic: overcoming the dilemma with standardization.</w:t>
      </w:r>
      <w:r>
        <w:t xml:space="preserve"> </w:t>
      </w:r>
      <w:r>
        <w:rPr>
          <w:i/>
          <w:iCs/>
        </w:rPr>
        <w:t xml:space="preserve">HPB (Oxford)</w:t>
      </w:r>
      <w:r>
        <w:t xml:space="preserve">. 2023;25(8):937–946. doi:10.1016/j.hpb.2023.04.007</w:t>
      </w:r>
    </w:p>
    <w:p>
      <w:pPr>
        <w:pStyle w:val="Compact"/>
        <w:numPr>
          <w:ilvl w:val="0"/>
          <w:numId w:val="1002"/>
        </w:numPr>
      </w:pPr>
      <w:r>
        <w:t xml:space="preserve">Lunca S, Morarasu S, Zaharia R, et al. Should we fear the frail? A review on the impact of frailty on liver surgery.</w:t>
      </w:r>
      <w:r>
        <w:t xml:space="preserve"> </w:t>
      </w:r>
      <w:r>
        <w:rPr>
          <w:i/>
          <w:iCs/>
        </w:rPr>
        <w:t xml:space="preserve">Med Sci</w:t>
      </w:r>
      <w:r>
        <w:t xml:space="preserve">. 2025;13(4):253. doi:10.3390/medsci13040253</w:t>
      </w:r>
    </w:p>
    <w:p>
      <w:pPr>
        <w:pStyle w:val="Compact"/>
        <w:numPr>
          <w:ilvl w:val="0"/>
          <w:numId w:val="1002"/>
        </w:numPr>
      </w:pPr>
      <w:r>
        <w:t xml:space="preserve">Yang YF, Zhang P, Wu B, et al. Preoperative frailty as a key predictor of short- and long-term outcomes among octogenarians undergoing hepatectomy for hepatocellular carcinoma: a multicenter comprehensive analysis.</w:t>
      </w:r>
      <w:r>
        <w:t xml:space="preserve"> </w:t>
      </w:r>
      <w:r>
        <w:rPr>
          <w:i/>
          <w:iCs/>
        </w:rPr>
        <w:t xml:space="preserve">HPB</w:t>
      </w:r>
      <w:r>
        <w:t xml:space="preserve">. 2024;26(12):1495–1504. doi:10.1016/j.hpb.2024.08.010</w:t>
      </w:r>
    </w:p>
    <w:p>
      <w:pPr>
        <w:pStyle w:val="Compact"/>
        <w:numPr>
          <w:ilvl w:val="0"/>
          <w:numId w:val="1002"/>
        </w:numPr>
      </w:pPr>
      <w:r>
        <w:t xml:space="preserve">Wells CI, O’Grady G, Rahiri JL, et al. Age, frailty, and comorbidity as predictors of mortality and failure to rescue after gastrointestinal cancer surgery: a national retrospective cohort study.</w:t>
      </w:r>
      <w:r>
        <w:t xml:space="preserve"> </w:t>
      </w:r>
      <w:r>
        <w:rPr>
          <w:i/>
          <w:iCs/>
        </w:rPr>
        <w:t xml:space="preserve">World J Surg</w:t>
      </w:r>
      <w:r>
        <w:t xml:space="preserve">. 2026;50(3):702–712. doi:10.1002/wjs.70268</w:t>
      </w:r>
    </w:p>
    <w:p>
      <w:pPr>
        <w:pStyle w:val="Compact"/>
        <w:numPr>
          <w:ilvl w:val="0"/>
          <w:numId w:val="1002"/>
        </w:numPr>
      </w:pPr>
      <w:r>
        <w:t xml:space="preserve">Harimoto N, Sugimachi K, Nishijima TF, et al. Combined effect of frailty and sarcopenia on postoperative complications in older adults undergoing hepato-biliary-pancreatic cancer surgery.</w:t>
      </w:r>
      <w:r>
        <w:t xml:space="preserve"> </w:t>
      </w:r>
      <w:r>
        <w:rPr>
          <w:i/>
          <w:iCs/>
        </w:rPr>
        <w:t xml:space="preserve">Ann Gastroenterol Surg</w:t>
      </w:r>
      <w:r>
        <w:t xml:space="preserve">. 2025;9(3):587–594. doi:10.1002/ags3.12897</w:t>
      </w:r>
    </w:p>
    <w:p>
      <w:pPr>
        <w:pStyle w:val="Compact"/>
        <w:numPr>
          <w:ilvl w:val="0"/>
          <w:numId w:val="1002"/>
        </w:numPr>
      </w:pPr>
      <w:r>
        <w:t xml:space="preserve">Xu L, Kim Y, Spolverato G, et al. Racial disparities in treatment and survival of patients with hepatocellular carcinoma in the United States.</w:t>
      </w:r>
      <w:r>
        <w:t xml:space="preserve"> </w:t>
      </w:r>
      <w:r>
        <w:rPr>
          <w:i/>
          <w:iCs/>
        </w:rPr>
        <w:t xml:space="preserve">Hepatobiliary Surg Nutr</w:t>
      </w:r>
      <w:r>
        <w:t xml:space="preserve">. 2016;5(1):43–52. doi:10.3978/j.issn.2304-3881.2015.08.05</w:t>
      </w:r>
    </w:p>
    <w:p>
      <w:pPr>
        <w:pStyle w:val="Compact"/>
        <w:numPr>
          <w:ilvl w:val="0"/>
          <w:numId w:val="1002"/>
        </w:numPr>
      </w:pPr>
      <w:r>
        <w:t xml:space="preserve">Wang Y, et al. Racial and ethnic disparities in hepatobiliary cancer.</w:t>
      </w:r>
      <w:r>
        <w:t xml:space="preserve"> </w:t>
      </w:r>
      <w:r>
        <w:rPr>
          <w:i/>
          <w:iCs/>
        </w:rPr>
        <w:t xml:space="preserve">J Clin Oncol</w:t>
      </w:r>
      <w:r>
        <w:t xml:space="preserve">. 2022;40(16_suppl):e16221. doi:10.1200/JCO.2022.40.16_suppl.e16221</w:t>
      </w:r>
    </w:p>
    <w:p>
      <w:pPr>
        <w:pStyle w:val="Heading2"/>
        <w:numPr>
          <w:ilvl w:val="0"/>
          <w:numId w:val="1002"/>
        </w:numPr>
      </w:pPr>
      <w:bookmarkStart w:id="34" w:name="X961b9f63a7dca3a128573c5face9c2cadc65693"/>
      <w:r>
        <w:t xml:space="preserve">Sempokuya T, Pan JJ, et al. Disparities in hepatocellular carcinoma outcomes among subgroups of Asians and Pacific Islanders: a SEER database study.</w:t>
      </w:r>
      <w:r>
        <w:t xml:space="preserve"> </w:t>
      </w:r>
      <w:r>
        <w:rPr>
          <w:i/>
          <w:iCs/>
        </w:rPr>
        <w:t xml:space="preserve">J Immigrant Minority Health</w:t>
      </w:r>
      <w:r>
        <w:t xml:space="preserve">. 2023;25:1042–1051. doi:10.1007/s10903-023-01478-1</w:t>
      </w:r>
      <w:bookmarkEnd w:id="34"/>
    </w:p>
    <w:bookmarkEnd w:id="35"/>
    <w:bookmarkStart w:id="36" w:name="supplementary-material"/>
    <w:p>
      <w:pPr>
        <w:pStyle w:val="Heading2"/>
      </w:pPr>
      <w:r>
        <w:t xml:space="preserve">SUPPLEMENTARY MATERIAL</w:t>
      </w:r>
    </w:p>
    <w:p>
      <w:pPr>
        <w:pStyle w:val="FirstParagraph"/>
      </w:pPr>
      <w:r>
        <w:rPr>
          <w:b/>
          <w:bCs/>
        </w:rPr>
        <w:t xml:space="preserve">eFigure 1–10</w:t>
      </w:r>
      <w:r>
        <w:t xml:space="preserve">: CONSORT Diagram, SHAP Feature Importance, Model Analysis (5-Fold CV + Competing Risk), Model Calibration, Comprehensive Analysis Overview (PSM + HBI), Subgroup Interaction Forest Plot, Subgroup KM Survival (AFP/Chemotherapy/Race), Age-Dependent Surgery Benefit &amp; Temporal Trends, Landmark Conditional Survival &amp; Frailty Stratification, Clinical Nomogram (10 panels)</w:t>
      </w:r>
    </w:p>
    <w:p>
      <w:pPr>
        <w:pStyle w:val="BodyText"/>
      </w:pPr>
      <w:r>
        <w:rPr>
          <w:b/>
          <w:bCs/>
        </w:rPr>
        <w:t xml:space="preserve">eTable 1–9</w:t>
      </w:r>
      <w:r>
        <w:t xml:space="preserve">: Full Baseline Characteristics, Complete Multivariate Cox, Stratified E-values, Model Specification Robustness, Leave-One-Out Analysis, Geographic Practice Variation, Model Hyperparameters, Schoenfeld Residual Tests, Clinical Decision Matrix (9 tables)</w:t>
      </w:r>
    </w:p>
    <w:p>
      <w:r>
        <w:pict>
          <v:rect style="width:0;height:1.5pt" o:hralign="center" o:hrstd="t" o:hr="t"/>
        </w:pict>
      </w:r>
    </w:p>
    <w:p>
      <w:pPr>
        <w:pStyle w:val="FirstParagraph"/>
      </w:pPr>
      <w:r>
        <w:rPr>
          <w:i/>
          <w:iCs/>
        </w:rPr>
        <w:t xml:space="preserve">Correspondence to:</w:t>
      </w:r>
      <w:r>
        <w:t xml:space="preserve"> </w:t>
      </w:r>
      <w:r>
        <w:t xml:space="preserve">Zhuha Zhou, MD, Department of Gastroenterology Surgery, The First Affiliated Hospital of Wenzhou Medical University, Zhejiang, China. E-mail: zhouzhuha@wmu.edu.cn</w:t>
      </w:r>
    </w:p>
    <w:p>
      <w:pPr>
        <w:pStyle w:val="BodyText"/>
      </w:pPr>
      <w:r>
        <w:rPr>
          <w:b/>
          <w:bCs/>
        </w:rPr>
        <w:t xml:space="preserve">Author Contributions</w:t>
      </w:r>
      <w:r>
        <w:t xml:space="preserve">: QX and YB contributed equally (co-first authors). ZZ had full access to all data and takes responsibility for integrity. Study concept and design: QX, ZZ. Data acquisition and analysis: QX, YB, YC. Statistical analysis: ZZ. Machine learning: ZZ, YB. Manuscript drafting: ZZ. Critical revision: All authors. Study supervision: ZZ.</w:t>
      </w:r>
    </w:p>
    <w:p>
      <w:pPr>
        <w:pStyle w:val="BodyText"/>
      </w:pPr>
      <w:r>
        <w:rPr>
          <w:b/>
          <w:bCs/>
        </w:rPr>
        <w:t xml:space="preserve">Funding</w:t>
      </w:r>
      <w:r>
        <w:t xml:space="preserve">: This research did not receive any specific grant from funding agencies in the public, commercial, or not-for-profit sectors.</w:t>
      </w:r>
    </w:p>
    <w:p>
      <w:pPr>
        <w:pStyle w:val="BodyText"/>
      </w:pPr>
      <w:r>
        <w:rPr>
          <w:b/>
          <w:bCs/>
        </w:rPr>
        <w:t xml:space="preserve">Conflict of Interest</w:t>
      </w:r>
      <w:r>
        <w:t xml:space="preserve">: The authors have declared that no competing interest exists.</w:t>
      </w:r>
    </w:p>
    <w:p>
      <w:pPr>
        <w:pStyle w:val="BodyText"/>
      </w:pPr>
      <w:r>
        <w:rPr>
          <w:b/>
          <w:bCs/>
        </w:rPr>
        <w:t xml:space="preserve">Ethics Statement</w:t>
      </w:r>
      <w:r>
        <w:t xml:space="preserve">: This study used publicly available, de-identified data from SEER, TCGA, and ICGC and was exempt from institutional review board approval.</w:t>
      </w:r>
    </w:p>
    <w:p>
      <w:pPr>
        <w:pStyle w:val="BodyText"/>
      </w:pPr>
      <w:r>
        <w:rPr>
          <w:b/>
          <w:bCs/>
        </w:rPr>
        <w:t xml:space="preserve">Data Availability</w:t>
      </w:r>
      <w:r>
        <w:t xml:space="preserve">: SEER data: seer.cancer.gov (Research Plus Data, November 2024 submission). TCGA-LIHC: portal.gdc.cancer.gov. ICGC-LIRI-JP: dcc.icgc.org. Analysis code: github.com/woodhaha/hepatobiliary-cancer-seer-analysis.</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2026-07-19T04:47:17Z</dcterms:created>
  <dcterms:modified xsi:type="dcterms:W3CDTF">2026-07-19T04:47:17Z</dcterms:modified>
</cp:coreProperties>
</file>

<file path=docProps/custom.xml><?xml version="1.0" encoding="utf-8"?>
<Properties xmlns="http://schemas.openxmlformats.org/officeDocument/2006/custom-properties" xmlns:vt="http://schemas.openxmlformats.org/officeDocument/2006/docPropsVTypes"/>
</file>